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2146300</wp:posOffset>
            </wp:positionH>
            <wp:positionV relativeFrom="paragraph">
              <wp:posOffset>-205740</wp:posOffset>
            </wp:positionV>
            <wp:extent cx="2849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204" w:lineRule="exact"/>
        <w:rPr>
          <w:sz w:val="24"/>
          <w:szCs w:val="24"/>
          <w:color w:val="auto"/>
        </w:rPr>
      </w:pPr>
    </w:p>
    <w:p>
      <w:pPr>
        <w:ind w:left="4040" w:right="2840" w:hanging="4039"/>
        <w:spacing w:after="0" w:line="497" w:lineRule="auto"/>
        <w:tabs>
          <w:tab w:leader="none" w:pos="19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204" w:lineRule="exact"/>
        <w:rPr>
          <w:sz w:val="24"/>
          <w:szCs w:val="24"/>
          <w:color w:val="auto"/>
        </w:rPr>
      </w:pPr>
    </w:p>
    <w:p>
      <w:pPr>
        <w:ind w:left="3060" w:right="2500" w:hanging="3059"/>
        <w:spacing w:after="0" w:line="495" w:lineRule="auto"/>
        <w:tabs>
          <w:tab w:leader="none" w:pos="186"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color w:val="auto"/>
        </w:rPr>
        <w:t>For the transition period from ________________ to __________________</w:t>
      </w:r>
    </w:p>
    <w:p>
      <w:pPr>
        <w:ind w:left="436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Commission file number 001-34951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2146300</wp:posOffset>
            </wp:positionH>
            <wp:positionV relativeFrom="paragraph">
              <wp:posOffset>144780</wp:posOffset>
            </wp:positionV>
            <wp:extent cx="2849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XTANT MEDICAL HOLDINGS,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480" w:type="dxa"/>
            <w:vAlign w:val="bottom"/>
            <w:gridSpan w:val="2"/>
          </w:tcPr>
          <w:p>
            <w:pPr>
              <w:jc w:val="center"/>
              <w:ind w:left="916"/>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80" w:type="dxa"/>
            <w:vAlign w:val="bottom"/>
          </w:tcPr>
          <w:p>
            <w:pPr>
              <w:jc w:val="right"/>
              <w:ind w:right="2256"/>
              <w:spacing w:after="0"/>
              <w:rPr>
                <w:sz w:val="20"/>
                <w:szCs w:val="20"/>
                <w:color w:val="auto"/>
              </w:rPr>
            </w:pPr>
            <w:r>
              <w:rPr>
                <w:rFonts w:ascii="Times New Roman" w:cs="Times New Roman" w:eastAsia="Times New Roman" w:hAnsi="Times New Roman"/>
                <w:sz w:val="17"/>
                <w:szCs w:val="17"/>
                <w:b w:val="1"/>
                <w:bCs w:val="1"/>
                <w:color w:val="auto"/>
              </w:rPr>
              <w:t>20-5313323</w:t>
            </w:r>
          </w:p>
        </w:tc>
      </w:tr>
      <w:tr>
        <w:trPr>
          <w:trHeight w:val="202"/>
        </w:trPr>
        <w:tc>
          <w:tcPr>
            <w:tcW w:w="20" w:type="dxa"/>
            <w:vAlign w:val="bottom"/>
          </w:tcPr>
          <w:p>
            <w:pPr>
              <w:spacing w:after="0"/>
              <w:rPr>
                <w:sz w:val="17"/>
                <w:szCs w:val="17"/>
                <w:color w:val="auto"/>
              </w:rPr>
            </w:pPr>
          </w:p>
        </w:tc>
        <w:tc>
          <w:tcPr>
            <w:tcW w:w="4480" w:type="dxa"/>
            <w:vAlign w:val="bottom"/>
            <w:gridSpan w:val="2"/>
          </w:tcPr>
          <w:p>
            <w:pPr>
              <w:jc w:val="center"/>
              <w:ind w:left="916"/>
              <w:spacing w:after="0"/>
              <w:rPr>
                <w:sz w:val="20"/>
                <w:szCs w:val="20"/>
                <w:color w:val="auto"/>
              </w:rPr>
            </w:pPr>
            <w:r>
              <w:rPr>
                <w:rFonts w:ascii="Times New Roman" w:cs="Times New Roman" w:eastAsia="Times New Roman" w:hAnsi="Times New Roman"/>
                <w:sz w:val="17"/>
                <w:szCs w:val="17"/>
                <w:color w:val="auto"/>
                <w:w w:val="99"/>
              </w:rPr>
              <w:t>(State or other jurisdiction of</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80" w:type="dxa"/>
            <w:vAlign w:val="bottom"/>
          </w:tcPr>
          <w:p>
            <w:pPr>
              <w:jc w:val="center"/>
              <w:ind w:right="1636"/>
              <w:spacing w:after="0"/>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20" w:type="dxa"/>
            <w:vAlign w:val="bottom"/>
          </w:tcPr>
          <w:p>
            <w:pPr>
              <w:spacing w:after="0"/>
              <w:rPr>
                <w:sz w:val="18"/>
                <w:szCs w:val="18"/>
                <w:color w:val="auto"/>
              </w:rPr>
            </w:pPr>
          </w:p>
        </w:tc>
        <w:tc>
          <w:tcPr>
            <w:tcW w:w="4480" w:type="dxa"/>
            <w:vAlign w:val="bottom"/>
            <w:gridSpan w:val="2"/>
          </w:tcPr>
          <w:p>
            <w:pPr>
              <w:jc w:val="center"/>
              <w:ind w:left="936"/>
              <w:spacing w:after="0"/>
              <w:rPr>
                <w:sz w:val="20"/>
                <w:szCs w:val="20"/>
                <w:color w:val="auto"/>
              </w:rPr>
            </w:pPr>
            <w:r>
              <w:rPr>
                <w:rFonts w:ascii="Times New Roman" w:cs="Times New Roman" w:eastAsia="Times New Roman" w:hAnsi="Times New Roman"/>
                <w:sz w:val="17"/>
                <w:szCs w:val="17"/>
                <w:color w:val="auto"/>
                <w:w w:val="98"/>
              </w:rPr>
              <w:t>incorporation or organization)</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80" w:type="dxa"/>
            <w:vAlign w:val="bottom"/>
          </w:tcPr>
          <w:p>
            <w:pPr>
              <w:jc w:val="center"/>
              <w:ind w:right="1636"/>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409"/>
        </w:trPr>
        <w:tc>
          <w:tcPr>
            <w:tcW w:w="20" w:type="dxa"/>
            <w:vAlign w:val="bottom"/>
          </w:tcPr>
          <w:p>
            <w:pPr>
              <w:spacing w:after="0"/>
              <w:rPr>
                <w:sz w:val="24"/>
                <w:szCs w:val="24"/>
                <w:color w:val="auto"/>
              </w:rPr>
            </w:pPr>
          </w:p>
        </w:tc>
        <w:tc>
          <w:tcPr>
            <w:tcW w:w="4480" w:type="dxa"/>
            <w:vAlign w:val="bottom"/>
            <w:gridSpan w:val="2"/>
          </w:tcPr>
          <w:p>
            <w:pPr>
              <w:jc w:val="center"/>
              <w:ind w:left="916"/>
              <w:spacing w:after="0"/>
              <w:rPr>
                <w:sz w:val="20"/>
                <w:szCs w:val="20"/>
                <w:color w:val="auto"/>
              </w:rPr>
            </w:pPr>
            <w:r>
              <w:rPr>
                <w:rFonts w:ascii="Times New Roman" w:cs="Times New Roman" w:eastAsia="Times New Roman" w:hAnsi="Times New Roman"/>
                <w:sz w:val="17"/>
                <w:szCs w:val="17"/>
                <w:b w:val="1"/>
                <w:bCs w:val="1"/>
                <w:color w:val="auto"/>
                <w:w w:val="97"/>
              </w:rPr>
              <w:t>664 Cruiser Lane</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4480" w:type="dxa"/>
            <w:vAlign w:val="bottom"/>
            <w:gridSpan w:val="2"/>
          </w:tcPr>
          <w:p>
            <w:pPr>
              <w:jc w:val="center"/>
              <w:ind w:left="936"/>
              <w:spacing w:after="0"/>
              <w:rPr>
                <w:sz w:val="20"/>
                <w:szCs w:val="20"/>
                <w:color w:val="auto"/>
              </w:rPr>
            </w:pPr>
            <w:r>
              <w:rPr>
                <w:rFonts w:ascii="Times New Roman" w:cs="Times New Roman" w:eastAsia="Times New Roman" w:hAnsi="Times New Roman"/>
                <w:sz w:val="17"/>
                <w:szCs w:val="17"/>
                <w:b w:val="1"/>
                <w:bCs w:val="1"/>
                <w:color w:val="auto"/>
                <w:w w:val="98"/>
              </w:rPr>
              <w:t>Belgrade, Montana</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80" w:type="dxa"/>
            <w:vAlign w:val="bottom"/>
          </w:tcPr>
          <w:p>
            <w:pPr>
              <w:jc w:val="right"/>
              <w:ind w:right="2456"/>
              <w:spacing w:after="0"/>
              <w:rPr>
                <w:sz w:val="20"/>
                <w:szCs w:val="20"/>
                <w:color w:val="auto"/>
              </w:rPr>
            </w:pPr>
            <w:r>
              <w:rPr>
                <w:rFonts w:ascii="Times New Roman" w:cs="Times New Roman" w:eastAsia="Times New Roman" w:hAnsi="Times New Roman"/>
                <w:sz w:val="17"/>
                <w:szCs w:val="17"/>
                <w:b w:val="1"/>
                <w:bCs w:val="1"/>
                <w:color w:val="auto"/>
              </w:rPr>
              <w:t>59714</w:t>
            </w:r>
          </w:p>
        </w:tc>
      </w:tr>
      <w:tr>
        <w:trPr>
          <w:trHeight w:val="218"/>
        </w:trPr>
        <w:tc>
          <w:tcPr>
            <w:tcW w:w="20" w:type="dxa"/>
            <w:vAlign w:val="bottom"/>
          </w:tcPr>
          <w:p>
            <w:pPr>
              <w:spacing w:after="0"/>
              <w:rPr>
                <w:sz w:val="18"/>
                <w:szCs w:val="18"/>
                <w:color w:val="auto"/>
              </w:rPr>
            </w:pPr>
          </w:p>
        </w:tc>
        <w:tc>
          <w:tcPr>
            <w:tcW w:w="4480" w:type="dxa"/>
            <w:vAlign w:val="bottom"/>
            <w:gridSpan w:val="2"/>
          </w:tcPr>
          <w:p>
            <w:pPr>
              <w:jc w:val="center"/>
              <w:ind w:left="916"/>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80" w:type="dxa"/>
            <w:vAlign w:val="bottom"/>
          </w:tcPr>
          <w:p>
            <w:pPr>
              <w:jc w:val="center"/>
              <w:ind w:right="1636"/>
              <w:spacing w:after="0"/>
              <w:rPr>
                <w:sz w:val="20"/>
                <w:szCs w:val="20"/>
                <w:color w:val="auto"/>
              </w:rPr>
            </w:pPr>
            <w:r>
              <w:rPr>
                <w:rFonts w:ascii="Times New Roman" w:cs="Times New Roman" w:eastAsia="Times New Roman" w:hAnsi="Times New Roman"/>
                <w:sz w:val="17"/>
                <w:szCs w:val="17"/>
                <w:color w:val="auto"/>
                <w:w w:val="98"/>
              </w:rPr>
              <w:t>(Zip Code)</w:t>
            </w:r>
          </w:p>
        </w:tc>
      </w:tr>
      <w:tr>
        <w:trPr>
          <w:trHeight w:val="38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(406) 388-0480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440" w:type="dxa"/>
            <w:vAlign w:val="bottom"/>
            <w:gridSpan w:val="5"/>
          </w:tcPr>
          <w:p>
            <w:pPr>
              <w:ind w:left="3820"/>
              <w:spacing w:after="0"/>
              <w:rPr>
                <w:sz w:val="20"/>
                <w:szCs w:val="20"/>
                <w:color w:val="auto"/>
              </w:rPr>
            </w:pPr>
            <w:r>
              <w:rPr>
                <w:rFonts w:ascii="Times New Roman" w:cs="Times New Roman" w:eastAsia="Times New Roman" w:hAnsi="Times New Roman"/>
                <w:sz w:val="17"/>
                <w:szCs w:val="17"/>
                <w:color w:val="auto"/>
                <w:w w:val="99"/>
              </w:rPr>
              <w:t>(Registrant’s telephone number, including area code)</w:t>
            </w:r>
          </w:p>
        </w:tc>
        <w:tc>
          <w:tcPr>
            <w:tcW w:w="3780" w:type="dxa"/>
            <w:vAlign w:val="bottom"/>
          </w:tcPr>
          <w:p>
            <w:pPr>
              <w:spacing w:after="0"/>
              <w:rPr>
                <w:sz w:val="18"/>
                <w:szCs w:val="18"/>
                <w:color w:val="auto"/>
              </w:rPr>
            </w:pPr>
          </w:p>
        </w:tc>
      </w:tr>
      <w:tr>
        <w:trPr>
          <w:trHeight w:val="403"/>
        </w:trPr>
        <w:tc>
          <w:tcPr>
            <w:tcW w:w="4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09"/>
        </w:trPr>
        <w:tc>
          <w:tcPr>
            <w:tcW w:w="20" w:type="dxa"/>
            <w:vAlign w:val="bottom"/>
          </w:tcPr>
          <w:p>
            <w:pPr>
              <w:spacing w:after="0"/>
              <w:rPr>
                <w:sz w:val="24"/>
                <w:szCs w:val="24"/>
                <w:color w:val="auto"/>
              </w:rPr>
            </w:pPr>
          </w:p>
        </w:tc>
        <w:tc>
          <w:tcPr>
            <w:tcW w:w="4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Title of each class</w:t>
            </w:r>
          </w:p>
        </w:tc>
        <w:tc>
          <w:tcPr>
            <w:tcW w:w="2960" w:type="dxa"/>
            <w:vAlign w:val="bottom"/>
            <w:gridSpan w:val="3"/>
          </w:tcPr>
          <w:p>
            <w:pPr>
              <w:jc w:val="right"/>
              <w:ind w:right="1300"/>
              <w:spacing w:after="0"/>
              <w:rPr>
                <w:sz w:val="20"/>
                <w:szCs w:val="20"/>
                <w:color w:val="auto"/>
              </w:rPr>
            </w:pPr>
            <w:r>
              <w:rPr>
                <w:rFonts w:ascii="Times New Roman" w:cs="Times New Roman" w:eastAsia="Times New Roman" w:hAnsi="Times New Roman"/>
                <w:sz w:val="17"/>
                <w:szCs w:val="17"/>
                <w:color w:val="auto"/>
              </w:rPr>
              <w:t>Trading Symbol(s)</w:t>
            </w:r>
          </w:p>
        </w:tc>
        <w:tc>
          <w:tcPr>
            <w:tcW w:w="3780" w:type="dxa"/>
            <w:vAlign w:val="bottom"/>
          </w:tcPr>
          <w:p>
            <w:pPr>
              <w:jc w:val="center"/>
              <w:ind w:right="596"/>
              <w:spacing w:after="0"/>
              <w:rPr>
                <w:sz w:val="20"/>
                <w:szCs w:val="20"/>
                <w:color w:val="auto"/>
              </w:rPr>
            </w:pPr>
            <w:r>
              <w:rPr>
                <w:rFonts w:ascii="Times New Roman" w:cs="Times New Roman" w:eastAsia="Times New Roman" w:hAnsi="Times New Roman"/>
                <w:sz w:val="17"/>
                <w:szCs w:val="17"/>
                <w:color w:val="auto"/>
                <w:w w:val="98"/>
              </w:rPr>
              <w:t>Name of each exchange on which registered</w:t>
            </w:r>
          </w:p>
        </w:tc>
      </w:tr>
      <w:tr>
        <w:trPr>
          <w:trHeight w:val="218"/>
        </w:trPr>
        <w:tc>
          <w:tcPr>
            <w:tcW w:w="20" w:type="dxa"/>
            <w:vAlign w:val="bottom"/>
          </w:tcPr>
          <w:p>
            <w:pPr>
              <w:spacing w:after="0"/>
              <w:rPr>
                <w:sz w:val="18"/>
                <w:szCs w:val="18"/>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Common stock, par value $0.000001 per share</w:t>
            </w:r>
          </w:p>
        </w:tc>
        <w:tc>
          <w:tcPr>
            <w:tcW w:w="220" w:type="dxa"/>
            <w:vAlign w:val="bottom"/>
          </w:tcPr>
          <w:p>
            <w:pPr>
              <w:spacing w:after="0"/>
              <w:rPr>
                <w:sz w:val="18"/>
                <w:szCs w:val="18"/>
                <w:color w:val="auto"/>
              </w:rPr>
            </w:pPr>
          </w:p>
        </w:tc>
        <w:tc>
          <w:tcPr>
            <w:tcW w:w="204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rPr>
              <w:t>XTNT</w:t>
            </w: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jc w:val="center"/>
              <w:ind w:right="596"/>
              <w:spacing w:after="0"/>
              <w:rPr>
                <w:sz w:val="20"/>
                <w:szCs w:val="20"/>
                <w:color w:val="auto"/>
              </w:rPr>
            </w:pPr>
            <w:r>
              <w:rPr>
                <w:rFonts w:ascii="Times New Roman" w:cs="Times New Roman" w:eastAsia="Times New Roman" w:hAnsi="Times New Roman"/>
                <w:sz w:val="17"/>
                <w:szCs w:val="17"/>
                <w:color w:val="auto"/>
                <w:w w:val="98"/>
              </w:rPr>
              <w:t>NYSE American LLC</w:t>
            </w:r>
          </w:p>
        </w:tc>
      </w:tr>
    </w:tbl>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154" w:lineRule="exact"/>
        <w:rPr>
          <w:sz w:val="24"/>
          <w:szCs w:val="24"/>
          <w:color w:val="auto"/>
        </w:rPr>
      </w:pPr>
    </w:p>
    <w:p>
      <w:pPr>
        <w:ind w:left="30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8" w:lineRule="exact"/>
        <w:rPr>
          <w:sz w:val="24"/>
          <w:szCs w:val="24"/>
          <w:color w:val="auto"/>
        </w:rPr>
      </w:pPr>
    </w:p>
    <w:p>
      <w:pPr>
        <w:ind w:left="2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6" w:lineRule="exact"/>
        <w:rPr>
          <w:sz w:val="24"/>
          <w:szCs w:val="24"/>
          <w:color w:val="auto"/>
        </w:rPr>
      </w:pPr>
    </w:p>
    <w:p>
      <w:pPr>
        <w:jc w:val="both"/>
        <w:ind w:firstLine="287"/>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jc w:val="both"/>
        <w:ind w:firstLine="287"/>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1" w:lineRule="exact"/>
        <w:rPr>
          <w:sz w:val="24"/>
          <w:szCs w:val="24"/>
          <w:color w:val="auto"/>
        </w:rPr>
      </w:pPr>
    </w:p>
    <w:p>
      <w:pPr>
        <w:jc w:val="both"/>
        <w:ind w:firstLine="291"/>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1" w:lineRule="exact"/>
        <w:rPr>
          <w:sz w:val="24"/>
          <w:szCs w:val="24"/>
          <w:color w:val="auto"/>
        </w:rPr>
      </w:pPr>
    </w:p>
    <w:p>
      <w:pPr>
        <w:spacing w:after="0" w:line="196" w:lineRule="exact"/>
        <w:tabs>
          <w:tab w:leader="none" w:pos="2020" w:val="left"/>
          <w:tab w:leader="none" w:pos="4040" w:val="left"/>
          <w:tab w:leader="none" w:pos="6280" w:val="left"/>
          <w:tab w:leader="none" w:pos="8980" w:val="left"/>
        </w:tabs>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46" w:lineRule="exact"/>
        <w:rPr>
          <w:sz w:val="24"/>
          <w:szCs w:val="24"/>
          <w:color w:val="auto"/>
        </w:rPr>
      </w:pPr>
    </w:p>
    <w:p>
      <w:pPr>
        <w:jc w:val="both"/>
        <w:ind w:firstLine="303"/>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0" w:lineRule="exact"/>
        <w:rPr>
          <w:sz w:val="24"/>
          <w:szCs w:val="24"/>
          <w:color w:val="auto"/>
        </w:rPr>
      </w:pPr>
    </w:p>
    <w:p>
      <w:pPr>
        <w:jc w:val="both"/>
        <w:ind w:firstLine="303"/>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62" w:lineRule="exact"/>
        <w:rPr>
          <w:sz w:val="24"/>
          <w:szCs w:val="24"/>
          <w:color w:val="auto"/>
        </w:rPr>
      </w:pPr>
    </w:p>
    <w:p>
      <w:pPr>
        <w:jc w:val="both"/>
        <w:ind w:firstLine="303"/>
        <w:spacing w:after="0" w:line="223"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0" w:lineRule="exact"/>
        <w:rPr>
          <w:sz w:val="24"/>
          <w:szCs w:val="24"/>
          <w:color w:val="auto"/>
        </w:rPr>
      </w:pPr>
    </w:p>
    <w:p>
      <w:pPr>
        <w:jc w:val="both"/>
        <w:ind w:firstLine="303"/>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22" w:lineRule="exact"/>
        <w:rPr>
          <w:sz w:val="24"/>
          <w:szCs w:val="24"/>
          <w:color w:val="auto"/>
        </w:rPr>
      </w:pPr>
    </w:p>
    <w:p>
      <w:pPr>
        <w:ind w:left="30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40"/>
          </w:cols>
          <w:pgMar w:left="320" w:top="700" w:right="339" w:bottom="0" w:gutter="0" w:footer="0" w:header="0"/>
        </w:sectPr>
      </w:pPr>
    </w:p>
    <w:bookmarkStart w:id="1" w:name="page2"/>
    <w:bookmarkEnd w:id="1"/>
    <w:p>
      <w:pPr>
        <w:ind w:firstLine="303"/>
        <w:spacing w:after="0" w:line="274" w:lineRule="auto"/>
        <w:rPr>
          <w:sz w:val="20"/>
          <w:szCs w:val="20"/>
          <w:color w:val="auto"/>
        </w:rPr>
      </w:pPr>
      <w:r>
        <w:rPr>
          <w:rFonts w:ascii="Times New Roman" w:cs="Times New Roman" w:eastAsia="Times New Roman" w:hAnsi="Times New Roman"/>
          <w:sz w:val="17"/>
          <w:szCs w:val="17"/>
          <w:color w:val="auto"/>
        </w:rPr>
        <w:t>The aggregate market value of the common stock held by non-affiliates as of June 30, 2025 was $45.0 million (based on the closing price of the Company’s common stock on the last business day of the Company’s most recently completed second fiscal quarter, as reported on the NYSE American).</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number of shares of the Company’s common stock, $0.000001 par value, outstanding as of March 25, 2026 was 140,068,260.</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166370</wp:posOffset>
            </wp:positionV>
            <wp:extent cx="71412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462915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40" w:type="dxa"/>
            <w:vAlign w:val="bottom"/>
            <w:gridSpan w:val="10"/>
          </w:tcPr>
          <w:p>
            <w:pPr>
              <w:ind w:left="5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700" w:type="dxa"/>
            <w:vAlign w:val="bottom"/>
            <w:gridSpan w:val="26"/>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CAUTIONARY STATEMENT REGARDING FORWARD-LOOKING STATEMENTS</w:t>
            </w:r>
          </w:p>
        </w:tc>
        <w:tc>
          <w:tcPr>
            <w:tcW w:w="1520" w:type="dxa"/>
            <w:vAlign w:val="bottom"/>
            <w:shd w:val="clear" w:color="auto" w:fill="CCEEFF"/>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PART I</w:t>
            </w: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520" w:type="dxa"/>
            <w:vAlign w:val="bottom"/>
            <w:shd w:val="clear" w:color="auto" w:fill="CCEEFF"/>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00" w:type="dxa"/>
            <w:vAlign w:val="bottom"/>
            <w:tcBorders>
              <w:right w:val="single" w:sz="8" w:color="CCEEFF"/>
            </w:tcBorders>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1.</w:t>
            </w:r>
          </w:p>
        </w:tc>
        <w:tc>
          <w:tcPr>
            <w:tcW w:w="600" w:type="dxa"/>
            <w:vAlign w:val="bottom"/>
            <w:tcBorders>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95"/>
              </w:rPr>
              <w:t>Business</w:t>
            </w:r>
          </w:p>
        </w:tc>
        <w:tc>
          <w:tcPr>
            <w:tcW w:w="8040" w:type="dxa"/>
            <w:vAlign w:val="bottom"/>
            <w:gridSpan w:val="23"/>
          </w:tcPr>
          <w:p>
            <w:pPr>
              <w:spacing w:after="0"/>
              <w:rPr>
                <w:sz w:val="15"/>
                <w:szCs w:val="15"/>
                <w:color w:val="auto"/>
              </w:rPr>
            </w:pPr>
          </w:p>
        </w:tc>
        <w:tc>
          <w:tcPr>
            <w:tcW w:w="1520" w:type="dxa"/>
            <w:vAlign w:val="bottom"/>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1 A.</w:t>
            </w:r>
          </w:p>
        </w:tc>
        <w:tc>
          <w:tcPr>
            <w:tcW w:w="840" w:type="dxa"/>
            <w:vAlign w:val="bottom"/>
            <w:tcBorders>
              <w:bottom w:val="single" w:sz="8" w:color="0000EE"/>
            </w:tcBorders>
            <w:gridSpan w:val="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5"/>
              </w:rPr>
              <w:t>Risk Factors</w:t>
            </w:r>
          </w:p>
        </w:tc>
        <w:tc>
          <w:tcPr>
            <w:tcW w:w="7800" w:type="dxa"/>
            <w:vAlign w:val="bottom"/>
            <w:tcBorders>
              <w:bottom w:val="single" w:sz="8" w:color="CCEEFF"/>
            </w:tcBorders>
            <w:gridSpan w:val="20"/>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16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1 B.</w:t>
            </w:r>
          </w:p>
        </w:tc>
        <w:tc>
          <w:tcPr>
            <w:tcW w:w="8640" w:type="dxa"/>
            <w:vAlign w:val="bottom"/>
            <w:gridSpan w:val="24"/>
          </w:tcPr>
          <w:p>
            <w:pPr>
              <w:spacing w:after="0" w:line="164" w:lineRule="exact"/>
              <w:rPr>
                <w:sz w:val="20"/>
                <w:szCs w:val="20"/>
                <w:color w:val="auto"/>
              </w:rPr>
            </w:pPr>
            <w:r>
              <w:rPr>
                <w:rFonts w:ascii="Times New Roman" w:cs="Times New Roman" w:eastAsia="Times New Roman" w:hAnsi="Times New Roman"/>
                <w:sz w:val="17"/>
                <w:szCs w:val="17"/>
                <w:color w:val="0000EE"/>
              </w:rPr>
              <w:t>Unresolved Staff Comments</w:t>
            </w:r>
          </w:p>
        </w:tc>
        <w:tc>
          <w:tcPr>
            <w:tcW w:w="1520" w:type="dxa"/>
            <w:vAlign w:val="bottom"/>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43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1 C.</w:t>
            </w:r>
          </w:p>
        </w:tc>
        <w:tc>
          <w:tcPr>
            <w:tcW w:w="940" w:type="dxa"/>
            <w:vAlign w:val="bottom"/>
            <w:tcBorders>
              <w:top w:val="single" w:sz="8" w:color="0000EE"/>
              <w:bottom w:val="single" w:sz="8" w:color="0000EE"/>
            </w:tcBorders>
            <w:gridSpan w:val="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6"/>
              </w:rPr>
              <w:t>Cybersecurity</w:t>
            </w:r>
          </w:p>
        </w:tc>
        <w:tc>
          <w:tcPr>
            <w:tcW w:w="960" w:type="dxa"/>
            <w:vAlign w:val="bottom"/>
            <w:tcBorders>
              <w:top w:val="single" w:sz="8" w:color="0000EE"/>
              <w:bottom w:val="single" w:sz="8" w:color="CCEEFF"/>
            </w:tcBorders>
            <w:gridSpan w:val="6"/>
            <w:shd w:val="clear" w:color="auto" w:fill="CCEEFF"/>
          </w:tcPr>
          <w:p>
            <w:pPr>
              <w:spacing w:after="0"/>
              <w:rPr>
                <w:sz w:val="16"/>
                <w:szCs w:val="16"/>
                <w:color w:val="auto"/>
              </w:rPr>
            </w:pPr>
          </w:p>
        </w:tc>
        <w:tc>
          <w:tcPr>
            <w:tcW w:w="6740" w:type="dxa"/>
            <w:vAlign w:val="bottom"/>
            <w:tcBorders>
              <w:bottom w:val="single" w:sz="8" w:color="CCEEFF"/>
            </w:tcBorders>
            <w:gridSpan w:val="13"/>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43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2.</w:t>
            </w:r>
          </w:p>
        </w:tc>
        <w:tc>
          <w:tcPr>
            <w:tcW w:w="680" w:type="dxa"/>
            <w:vAlign w:val="bottom"/>
            <w:tcBorders>
              <w:bottom w:val="single" w:sz="8" w:color="0000EE"/>
            </w:tcBorders>
            <w:gridSpan w:val="3"/>
          </w:tcPr>
          <w:p>
            <w:pPr>
              <w:spacing w:after="0" w:line="164" w:lineRule="exact"/>
              <w:rPr>
                <w:sz w:val="20"/>
                <w:szCs w:val="20"/>
                <w:color w:val="auto"/>
              </w:rPr>
            </w:pPr>
            <w:r>
              <w:rPr>
                <w:rFonts w:ascii="Times New Roman" w:cs="Times New Roman" w:eastAsia="Times New Roman" w:hAnsi="Times New Roman"/>
                <w:sz w:val="17"/>
                <w:szCs w:val="17"/>
                <w:color w:val="0000EE"/>
                <w:w w:val="95"/>
              </w:rPr>
              <w:t>Properties</w:t>
            </w:r>
          </w:p>
        </w:tc>
        <w:tc>
          <w:tcPr>
            <w:tcW w:w="7960" w:type="dxa"/>
            <w:vAlign w:val="bottom"/>
            <w:gridSpan w:val="21"/>
          </w:tcPr>
          <w:p>
            <w:pPr>
              <w:spacing w:after="0"/>
              <w:rPr>
                <w:sz w:val="15"/>
                <w:szCs w:val="15"/>
                <w:color w:val="auto"/>
              </w:rPr>
            </w:pPr>
          </w:p>
        </w:tc>
        <w:tc>
          <w:tcPr>
            <w:tcW w:w="1520" w:type="dxa"/>
            <w:vAlign w:val="bottom"/>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44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3.</w:t>
            </w:r>
          </w:p>
        </w:tc>
        <w:tc>
          <w:tcPr>
            <w:tcW w:w="1240" w:type="dxa"/>
            <w:vAlign w:val="bottom"/>
            <w:tcBorders>
              <w:bottom w:val="single" w:sz="8" w:color="0000EE"/>
            </w:tcBorders>
            <w:gridSpan w:val="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6"/>
              </w:rPr>
              <w:t>Legal Proceedings</w:t>
            </w:r>
          </w:p>
        </w:tc>
        <w:tc>
          <w:tcPr>
            <w:tcW w:w="7400" w:type="dxa"/>
            <w:vAlign w:val="bottom"/>
            <w:tcBorders>
              <w:bottom w:val="single" w:sz="8" w:color="CCEEFF"/>
            </w:tcBorders>
            <w:gridSpan w:val="17"/>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44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4.</w:t>
            </w:r>
          </w:p>
        </w:tc>
        <w:tc>
          <w:tcPr>
            <w:tcW w:w="8640" w:type="dxa"/>
            <w:vAlign w:val="bottom"/>
            <w:gridSpan w:val="24"/>
          </w:tcPr>
          <w:p>
            <w:pPr>
              <w:spacing w:after="0" w:line="164" w:lineRule="exact"/>
              <w:rPr>
                <w:sz w:val="20"/>
                <w:szCs w:val="20"/>
                <w:color w:val="auto"/>
              </w:rPr>
            </w:pPr>
            <w:r>
              <w:rPr>
                <w:rFonts w:ascii="Times New Roman" w:cs="Times New Roman" w:eastAsia="Times New Roman" w:hAnsi="Times New Roman"/>
                <w:sz w:val="17"/>
                <w:szCs w:val="17"/>
                <w:color w:val="0000EE"/>
              </w:rPr>
              <w:t>Mine Safety Disclosures</w:t>
            </w:r>
          </w:p>
        </w:tc>
        <w:tc>
          <w:tcPr>
            <w:tcW w:w="1520" w:type="dxa"/>
            <w:vAlign w:val="bottom"/>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44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600" w:type="dxa"/>
            <w:vAlign w:val="bottom"/>
            <w:tcBorders>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94"/>
              </w:rPr>
              <w:t>PART II</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20" w:type="dxa"/>
            <w:vAlign w:val="bottom"/>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45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5.</w:t>
            </w:r>
          </w:p>
        </w:tc>
        <w:tc>
          <w:tcPr>
            <w:tcW w:w="7540" w:type="dxa"/>
            <w:vAlign w:val="bottom"/>
            <w:tcBorders>
              <w:bottom w:val="single" w:sz="8" w:color="0000EE"/>
            </w:tcBorders>
            <w:gridSpan w:val="23"/>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Market for Registrant’s Common Equity, Related Stockholder Matters and Issuer Purchases of Equity Securities</w:t>
            </w:r>
          </w:p>
        </w:tc>
        <w:tc>
          <w:tcPr>
            <w:tcW w:w="1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45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6.</w:t>
            </w:r>
          </w:p>
        </w:tc>
        <w:tc>
          <w:tcPr>
            <w:tcW w:w="620" w:type="dxa"/>
            <w:vAlign w:val="bottom"/>
            <w:tcBorders>
              <w:bottom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7"/>
                <w:szCs w:val="17"/>
                <w:color w:val="0000EE"/>
                <w:w w:val="94"/>
              </w:rPr>
              <w:t>Reserved</w:t>
            </w:r>
          </w:p>
        </w:tc>
        <w:tc>
          <w:tcPr>
            <w:tcW w:w="8020" w:type="dxa"/>
            <w:vAlign w:val="bottom"/>
            <w:gridSpan w:val="22"/>
          </w:tcPr>
          <w:p>
            <w:pPr>
              <w:spacing w:after="0"/>
              <w:rPr>
                <w:sz w:val="15"/>
                <w:szCs w:val="15"/>
                <w:color w:val="auto"/>
              </w:rPr>
            </w:pPr>
          </w:p>
        </w:tc>
        <w:tc>
          <w:tcPr>
            <w:tcW w:w="1520" w:type="dxa"/>
            <w:vAlign w:val="bottom"/>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45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6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7.</w:t>
            </w:r>
          </w:p>
        </w:tc>
        <w:tc>
          <w:tcPr>
            <w:tcW w:w="864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1520" w:type="dxa"/>
            <w:vAlign w:val="bottom"/>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46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Borders>
              <w:top w:val="single" w:sz="8" w:color="CCEEFF"/>
            </w:tcBorders>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7A.</w:t>
            </w:r>
          </w:p>
        </w:tc>
        <w:tc>
          <w:tcPr>
            <w:tcW w:w="6020" w:type="dxa"/>
            <w:vAlign w:val="bottom"/>
            <w:tcBorders>
              <w:top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620" w:type="dxa"/>
            <w:vAlign w:val="bottom"/>
            <w:tcBorders>
              <w:top w:val="single" w:sz="8" w:color="CCEEFF"/>
            </w:tcBorders>
            <w:gridSpan w:val="4"/>
          </w:tcPr>
          <w:p>
            <w:pPr>
              <w:spacing w:after="0"/>
              <w:rPr>
                <w:sz w:val="15"/>
                <w:szCs w:val="15"/>
                <w:color w:val="auto"/>
              </w:rPr>
            </w:pPr>
          </w:p>
        </w:tc>
        <w:tc>
          <w:tcPr>
            <w:tcW w:w="1520" w:type="dxa"/>
            <w:vAlign w:val="bottom"/>
            <w:tcBorders>
              <w:top w:val="single" w:sz="8" w:color="CCEEFF"/>
            </w:tcBorders>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52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8.</w:t>
            </w:r>
          </w:p>
        </w:tc>
        <w:tc>
          <w:tcPr>
            <w:tcW w:w="4060" w:type="dxa"/>
            <w:vAlign w:val="bottom"/>
            <w:tcBorders>
              <w:top w:val="single" w:sz="8" w:color="0000EE"/>
            </w:tcBorders>
            <w:gridSpan w:val="16"/>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4580" w:type="dxa"/>
            <w:vAlign w:val="bottom"/>
            <w:gridSpan w:val="8"/>
            <w:shd w:val="clear" w:color="auto" w:fill="CCEEFF"/>
          </w:tcPr>
          <w:p>
            <w:pPr>
              <w:spacing w:after="0"/>
              <w:rPr>
                <w:sz w:val="15"/>
                <w:szCs w:val="15"/>
                <w:color w:val="auto"/>
              </w:rPr>
            </w:pPr>
          </w:p>
        </w:tc>
        <w:tc>
          <w:tcPr>
            <w:tcW w:w="1520" w:type="dxa"/>
            <w:vAlign w:val="bottom"/>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52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0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9.</w:t>
            </w:r>
          </w:p>
        </w:tc>
        <w:tc>
          <w:tcPr>
            <w:tcW w:w="8640" w:type="dxa"/>
            <w:vAlign w:val="bottom"/>
            <w:gridSpan w:val="24"/>
          </w:tcPr>
          <w:p>
            <w:pPr>
              <w:spacing w:after="0" w:line="164" w:lineRule="exact"/>
              <w:rPr>
                <w:sz w:val="20"/>
                <w:szCs w:val="20"/>
                <w:color w:val="auto"/>
              </w:rPr>
            </w:pPr>
            <w:r>
              <w:rPr>
                <w:rFonts w:ascii="Times New Roman" w:cs="Times New Roman" w:eastAsia="Times New Roman" w:hAnsi="Times New Roman"/>
                <w:sz w:val="17"/>
                <w:szCs w:val="17"/>
                <w:color w:val="0000EE"/>
              </w:rPr>
              <w:t>Changes in and Disagreements with Accountants on Accounting and Financial Disclosure</w:t>
            </w:r>
          </w:p>
        </w:tc>
        <w:tc>
          <w:tcPr>
            <w:tcW w:w="1520" w:type="dxa"/>
            <w:vAlign w:val="bottom"/>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76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6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9A.</w:t>
            </w:r>
          </w:p>
        </w:tc>
        <w:tc>
          <w:tcPr>
            <w:tcW w:w="6040" w:type="dxa"/>
            <w:vAlign w:val="bottom"/>
            <w:tcBorders>
              <w:top w:val="single" w:sz="8" w:color="0000EE"/>
            </w:tcBorders>
            <w:gridSpan w:val="21"/>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Controls and Procedures</w:t>
            </w:r>
          </w:p>
        </w:tc>
        <w:tc>
          <w:tcPr>
            <w:tcW w:w="2600" w:type="dxa"/>
            <w:vAlign w:val="bottom"/>
            <w:gridSpan w:val="3"/>
            <w:shd w:val="clear" w:color="auto" w:fill="CCEEFF"/>
          </w:tcPr>
          <w:p>
            <w:pPr>
              <w:spacing w:after="0"/>
              <w:rPr>
                <w:sz w:val="16"/>
                <w:szCs w:val="16"/>
                <w:color w:val="auto"/>
              </w:rPr>
            </w:pPr>
          </w:p>
        </w:tc>
        <w:tc>
          <w:tcPr>
            <w:tcW w:w="1520" w:type="dxa"/>
            <w:vAlign w:val="bottom"/>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76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Borders>
              <w:top w:val="single" w:sz="8" w:color="CCEEFF"/>
            </w:tcBorders>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9B.</w:t>
            </w:r>
          </w:p>
        </w:tc>
        <w:tc>
          <w:tcPr>
            <w:tcW w:w="1220" w:type="dxa"/>
            <w:vAlign w:val="bottom"/>
            <w:tcBorders>
              <w:top w:val="single" w:sz="8" w:color="0000EE"/>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color w:val="0000EE"/>
                <w:w w:val="96"/>
              </w:rPr>
              <w:t>Other Information</w:t>
            </w:r>
          </w:p>
        </w:tc>
        <w:tc>
          <w:tcPr>
            <w:tcW w:w="420" w:type="dxa"/>
            <w:vAlign w:val="bottom"/>
            <w:tcBorders>
              <w:top w:val="single" w:sz="8" w:color="0000EE"/>
            </w:tcBorders>
            <w:gridSpan w:val="3"/>
          </w:tcPr>
          <w:p>
            <w:pPr>
              <w:spacing w:after="0"/>
              <w:rPr>
                <w:sz w:val="15"/>
                <w:szCs w:val="15"/>
                <w:color w:val="auto"/>
              </w:rPr>
            </w:pPr>
          </w:p>
        </w:tc>
        <w:tc>
          <w:tcPr>
            <w:tcW w:w="7000" w:type="dxa"/>
            <w:vAlign w:val="bottom"/>
            <w:tcBorders>
              <w:top w:val="single" w:sz="8" w:color="CCEEFF"/>
            </w:tcBorders>
            <w:gridSpan w:val="15"/>
          </w:tcPr>
          <w:p>
            <w:pPr>
              <w:spacing w:after="0"/>
              <w:rPr>
                <w:sz w:val="15"/>
                <w:szCs w:val="15"/>
                <w:color w:val="auto"/>
              </w:rPr>
            </w:pPr>
          </w:p>
        </w:tc>
        <w:tc>
          <w:tcPr>
            <w:tcW w:w="1520" w:type="dxa"/>
            <w:vAlign w:val="bottom"/>
            <w:tcBorders>
              <w:top w:val="single" w:sz="8" w:color="CCEEFF"/>
            </w:tcBorders>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76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6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9C.</w:t>
            </w:r>
          </w:p>
        </w:tc>
        <w:tc>
          <w:tcPr>
            <w:tcW w:w="864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1520" w:type="dxa"/>
            <w:vAlign w:val="bottom"/>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76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0" w:type="dxa"/>
            <w:vAlign w:val="bottom"/>
            <w:tcBorders>
              <w:bottom w:val="single" w:sz="8" w:color="0000EE"/>
              <w:right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w w:val="86"/>
              </w:rPr>
              <w:t>PART III</w:t>
            </w:r>
          </w:p>
        </w:tc>
        <w:tc>
          <w:tcPr>
            <w:tcW w:w="4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77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10.</w:t>
            </w:r>
          </w:p>
        </w:tc>
        <w:tc>
          <w:tcPr>
            <w:tcW w:w="3820" w:type="dxa"/>
            <w:vAlign w:val="bottom"/>
            <w:tcBorders>
              <w:bottom w:val="single" w:sz="8" w:color="0000EE"/>
            </w:tcBorders>
            <w:gridSpan w:val="15"/>
          </w:tcPr>
          <w:p>
            <w:pPr>
              <w:spacing w:after="0" w:line="164" w:lineRule="exact"/>
              <w:rPr>
                <w:sz w:val="20"/>
                <w:szCs w:val="20"/>
                <w:color w:val="auto"/>
              </w:rPr>
            </w:pPr>
            <w:r>
              <w:rPr>
                <w:rFonts w:ascii="Times New Roman" w:cs="Times New Roman" w:eastAsia="Times New Roman" w:hAnsi="Times New Roman"/>
                <w:sz w:val="17"/>
                <w:szCs w:val="17"/>
                <w:color w:val="0000EE"/>
                <w:w w:val="98"/>
              </w:rPr>
              <w:t>Directors, Executive Officers and Corporate Governance</w:t>
            </w:r>
          </w:p>
        </w:tc>
        <w:tc>
          <w:tcPr>
            <w:tcW w:w="4820" w:type="dxa"/>
            <w:vAlign w:val="bottom"/>
            <w:gridSpan w:val="9"/>
          </w:tcPr>
          <w:p>
            <w:pPr>
              <w:spacing w:after="0"/>
              <w:rPr>
                <w:sz w:val="15"/>
                <w:szCs w:val="15"/>
                <w:color w:val="auto"/>
              </w:rPr>
            </w:pPr>
          </w:p>
        </w:tc>
        <w:tc>
          <w:tcPr>
            <w:tcW w:w="1520" w:type="dxa"/>
            <w:vAlign w:val="bottom"/>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77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11.</w:t>
            </w:r>
          </w:p>
        </w:tc>
        <w:tc>
          <w:tcPr>
            <w:tcW w:w="1680" w:type="dxa"/>
            <w:vAlign w:val="bottom"/>
            <w:tcBorders>
              <w:bottom w:val="single" w:sz="8" w:color="0000EE"/>
            </w:tcBorders>
            <w:gridSpan w:val="10"/>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7"/>
              </w:rPr>
              <w:t>Executive Compensation</w:t>
            </w:r>
          </w:p>
        </w:tc>
        <w:tc>
          <w:tcPr>
            <w:tcW w:w="6960" w:type="dxa"/>
            <w:vAlign w:val="bottom"/>
            <w:tcBorders>
              <w:bottom w:val="single" w:sz="8" w:color="CCEEFF"/>
            </w:tcBorders>
            <w:gridSpan w:val="14"/>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83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12.</w:t>
            </w:r>
          </w:p>
        </w:tc>
        <w:tc>
          <w:tcPr>
            <w:tcW w:w="8640" w:type="dxa"/>
            <w:vAlign w:val="bottom"/>
            <w:gridSpan w:val="24"/>
          </w:tcPr>
          <w:p>
            <w:pPr>
              <w:spacing w:after="0" w:line="164"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 Related Stockholder Matters</w:t>
            </w:r>
          </w:p>
        </w:tc>
        <w:tc>
          <w:tcPr>
            <w:tcW w:w="1520" w:type="dxa"/>
            <w:vAlign w:val="bottom"/>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93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6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13.</w:t>
            </w:r>
          </w:p>
        </w:tc>
        <w:tc>
          <w:tcPr>
            <w:tcW w:w="6800" w:type="dxa"/>
            <w:vAlign w:val="bottom"/>
            <w:tcBorders>
              <w:top w:val="single" w:sz="8" w:color="0000EE"/>
            </w:tcBorders>
            <w:gridSpan w:val="22"/>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1840" w:type="dxa"/>
            <w:vAlign w:val="bottom"/>
            <w:gridSpan w:val="2"/>
            <w:shd w:val="clear" w:color="auto" w:fill="CCEEFF"/>
          </w:tcPr>
          <w:p>
            <w:pPr>
              <w:spacing w:after="0"/>
              <w:rPr>
                <w:sz w:val="16"/>
                <w:szCs w:val="16"/>
                <w:color w:val="auto"/>
              </w:rPr>
            </w:pPr>
          </w:p>
        </w:tc>
        <w:tc>
          <w:tcPr>
            <w:tcW w:w="1520" w:type="dxa"/>
            <w:vAlign w:val="bottom"/>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95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Borders>
              <w:top w:val="single" w:sz="8" w:color="CCEEFF"/>
            </w:tcBorders>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14.</w:t>
            </w:r>
          </w:p>
        </w:tc>
        <w:tc>
          <w:tcPr>
            <w:tcW w:w="5080" w:type="dxa"/>
            <w:vAlign w:val="bottom"/>
            <w:tcBorders>
              <w:top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3560" w:type="dxa"/>
            <w:vAlign w:val="bottom"/>
            <w:tcBorders>
              <w:top w:val="single" w:sz="8" w:color="CCEEFF"/>
            </w:tcBorders>
            <w:gridSpan w:val="5"/>
          </w:tcPr>
          <w:p>
            <w:pPr>
              <w:spacing w:after="0"/>
              <w:rPr>
                <w:sz w:val="15"/>
                <w:szCs w:val="15"/>
                <w:color w:val="auto"/>
              </w:rPr>
            </w:pPr>
          </w:p>
        </w:tc>
        <w:tc>
          <w:tcPr>
            <w:tcW w:w="1520" w:type="dxa"/>
            <w:vAlign w:val="bottom"/>
            <w:tcBorders>
              <w:top w:val="single" w:sz="8" w:color="CCEEFF"/>
            </w:tcBorders>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97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60" w:type="dxa"/>
            <w:vAlign w:val="bottom"/>
            <w:gridSpan w:val="2"/>
          </w:tcPr>
          <w:p>
            <w:pPr>
              <w:spacing w:after="0" w:line="164" w:lineRule="exact"/>
              <w:rPr>
                <w:sz w:val="20"/>
                <w:szCs w:val="20"/>
                <w:color w:val="auto"/>
              </w:rPr>
            </w:pPr>
            <w:r>
              <w:rPr>
                <w:rFonts w:ascii="Times New Roman" w:cs="Times New Roman" w:eastAsia="Times New Roman" w:hAnsi="Times New Roman"/>
                <w:sz w:val="17"/>
                <w:szCs w:val="17"/>
                <w:color w:val="0000EE"/>
              </w:rPr>
              <w:t>PART IV</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jc w:val="center"/>
              <w:ind w:left="836"/>
              <w:spacing w:after="0" w:line="164" w:lineRule="exact"/>
              <w:rPr>
                <w:sz w:val="20"/>
                <w:szCs w:val="20"/>
                <w:color w:val="auto"/>
              </w:rPr>
            </w:pPr>
            <w:r>
              <w:rPr>
                <w:rFonts w:ascii="Times New Roman" w:cs="Times New Roman" w:eastAsia="Times New Roman" w:hAnsi="Times New Roman"/>
                <w:sz w:val="17"/>
                <w:szCs w:val="17"/>
                <w:color w:val="auto"/>
                <w:w w:val="93"/>
              </w:rPr>
              <w:t>98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7"/>
                <w:szCs w:val="17"/>
                <w:color w:val="auto"/>
              </w:rPr>
              <w:t>Item 15.</w:t>
            </w:r>
          </w:p>
        </w:tc>
        <w:tc>
          <w:tcPr>
            <w:tcW w:w="2880" w:type="dxa"/>
            <w:vAlign w:val="bottom"/>
            <w:tcBorders>
              <w:bottom w:val="single" w:sz="8" w:color="0000EE"/>
            </w:tcBorders>
            <w:gridSpan w:val="13"/>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7"/>
              </w:rPr>
              <w:t>Exhibit and Financial Statement Schedules</w:t>
            </w:r>
          </w:p>
        </w:tc>
        <w:tc>
          <w:tcPr>
            <w:tcW w:w="5760" w:type="dxa"/>
            <w:vAlign w:val="bottom"/>
            <w:tcBorders>
              <w:bottom w:val="single" w:sz="8" w:color="CCEEFF"/>
            </w:tcBorders>
            <w:gridSpan w:val="11"/>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center"/>
              <w:ind w:left="836"/>
              <w:spacing w:after="0" w:line="173" w:lineRule="exact"/>
              <w:rPr>
                <w:sz w:val="20"/>
                <w:szCs w:val="20"/>
                <w:color w:val="auto"/>
              </w:rPr>
            </w:pPr>
            <w:r>
              <w:rPr>
                <w:rFonts w:ascii="Times New Roman" w:cs="Times New Roman" w:eastAsia="Times New Roman" w:hAnsi="Times New Roman"/>
                <w:sz w:val="17"/>
                <w:szCs w:val="17"/>
                <w:color w:val="auto"/>
                <w:w w:val="93"/>
              </w:rPr>
              <w:t>98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Item 16.</w:t>
            </w:r>
          </w:p>
        </w:tc>
        <w:tc>
          <w:tcPr>
            <w:tcW w:w="1440" w:type="dxa"/>
            <w:vAlign w:val="bottom"/>
            <w:tcBorders>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7"/>
                <w:szCs w:val="17"/>
                <w:color w:val="0000EE"/>
                <w:w w:val="96"/>
              </w:rPr>
              <w:t>Form 10-K Summary</w:t>
            </w:r>
          </w:p>
        </w:tc>
        <w:tc>
          <w:tcPr>
            <w:tcW w:w="7200" w:type="dxa"/>
            <w:vAlign w:val="bottom"/>
            <w:gridSpan w:val="16"/>
          </w:tcPr>
          <w:p>
            <w:pPr>
              <w:spacing w:after="0"/>
              <w:rPr>
                <w:sz w:val="14"/>
                <w:szCs w:val="14"/>
                <w:color w:val="auto"/>
              </w:rPr>
            </w:pPr>
          </w:p>
        </w:tc>
        <w:tc>
          <w:tcPr>
            <w:tcW w:w="1520" w:type="dxa"/>
            <w:vAlign w:val="bottom"/>
          </w:tcPr>
          <w:p>
            <w:pPr>
              <w:jc w:val="center"/>
              <w:ind w:left="856"/>
              <w:spacing w:after="0" w:line="164" w:lineRule="exact"/>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Annual Report on Form 10-K contains certain forward-looking statements within the meaning of Section 27A of the Securities Act of 1933, as amended, and Section 21E of the Securities Exchange Act of 1934, as amended (“Exchange Act”), and are subject to the safe harbor created by those sections. For more information, see “</w:t>
      </w:r>
      <w:r>
        <w:rPr>
          <w:rFonts w:ascii="Times New Roman" w:cs="Times New Roman" w:eastAsia="Times New Roman" w:hAnsi="Times New Roman"/>
          <w:sz w:val="17"/>
          <w:szCs w:val="17"/>
          <w:i w:val="1"/>
          <w:iCs w:val="1"/>
          <w:color w:val="auto"/>
        </w:rPr>
        <w:t>Cautionary Statement Regarding Forward-Looking Statements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used in this report, the terms “we,” “us,” “our,” “Xtant,” “Xtant Medical,” and the “Company” mean Xtant Medical Holdings, Inc. and our consolidated wholly owned subsidiaries, unless the context indicates another meaning.</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own various unregistered trademarks and service marks, including our corporate logo. Solely for convenience, the trademarks and trade names in this report are referred to without the ® and ™ symbols, but such references should not be construed as any indicator that the owner of such trademarks and trade names will not assert, to the fullest extent under applicable law, their rights thereto. We do not intend the use or display of other companies’ trademarks and trade names to imply a relationship with, or endorsement or sponsorship of us by, any other companies. We include our website address throughout this report for reference only.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information contained on or connected to our website is not incorporated by reference into this report.</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are a “smaller reporting company” as that term is defined in Rule 12b-2 promulgated under the Exchange Act. Accordingly, this report reflects the scaled reporting requirements of smaller reporting companies as set forth in Regulation S-K, promulgated under the Exchange Act.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statements contained in this Annual Report on Form 10-K that are not purely historical are forward-looking statements within the meaning of the Private Securities Litigation Reform Act of 1995. Our forward-looking statements include, but are not limited to, statements regarding our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and “would,” as well as similar expressions, may identify forward-looking statements, but the absence of these words does not mean that a statement is not forward looking.</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 xml:space="preserve">A forward-looking statement is neither a prediction nor a guarantee of future events or circumstances and those future events or circumstances may not occur. You should not place undue reliance on forward-looking statements, which speak only as of the date of this Form 10-K. The forward-looking statements contained in this Form 10-K are based on currently available operating, financial and competitive information and our current expectations and beliefs concerning future developments and their potential effects on us. These forward-looking statements involve a number of risks, uncertainties, or assumptions, many of which are beyond our control, which may cause actual results or performance to be materially different from those expressed or implied by these forward-looking statements. These risks and uncertainties include, but are not limited to, those factors described in the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of this Form 10-K. Should one or more of these risks or uncertainties materialize, or should any of our assumptions prove incorrect, actual results may vary in material respects from those projected in these forward-looking statements. We are including this cautionary statement to make applicable and take advantage of the safe harbor provisions of the Private Securities Litigation Reform Act of 1995 for forward-looking statements. We undertake no obligation to update or revise any forward-looking statements, whether as a result of new information, future events, or otherwise, except as may be required under applicable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Xtant Medical Holdings, Inc. is a global medical technology company focused on the design, development, and commercialization of a comprehensive portfolio of orthobiologics and spinal implant fixation systems to facilitate spinal fusion in complex spine, deformity, and degenerative procedures. Our products are used by orthopedic spine surgeons and neurosurgeons to treat a variety of spinal disorders in the cervical, thoracolumbar, and interbody spine. In addition, Xtant’s biologics are utilized in trauma, foot and ankle, sports medicine, total joint, along with several surgical repair and wound care applications.</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promote our products in the United States through independent distributors and stocking agents, supported by direct employees. We have an extensive sales channel of independent commissioned agents and stocking distributors in the United States representing some or all of our products. We also maintain a national accounts program to enable our agents to gain access to integrated delivery network (“IDN”) hospitals and through group purchasing organizations (“GPOs”). We have biologics contracts with major GPOs, as well as extensive access to IDNs across the United States for both biologics and spine hardware systems. While our focus is the United States market, we promote and sell our products internationally through stocking distribution partners in Europe, Canada, Mexico, South America, and certain Pacific region countries. We have recently made and intend to continue to make measured and targeted investments in the expansion of our commercial team to support our new products and maximize the reach of our broad portfolio of orthobiologics solutions.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have focused and intend to continue to focus primarily on four key growth initiatives: (1) introduce new products, including our recently launched nanOss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Strata™, an advanced synthetic bone graft designed to closely resemble natural bone; CollagenX™, a bovine collagen particulate product for surgical wound closure;</w:t>
      </w:r>
    </w:p>
    <w:p>
      <w:pPr>
        <w:spacing w:after="0" w:line="193" w:lineRule="auto"/>
        <w:rPr>
          <w:sz w:val="20"/>
          <w:szCs w:val="20"/>
          <w:color w:val="auto"/>
        </w:rPr>
      </w:pPr>
      <w:r>
        <w:rPr>
          <w:rFonts w:ascii="Times New Roman" w:cs="Times New Roman" w:eastAsia="Times New Roman" w:hAnsi="Times New Roman"/>
          <w:sz w:val="17"/>
          <w:szCs w:val="17"/>
          <w:color w:val="auto"/>
        </w:rPr>
        <w:t>OsteoFactor Pro</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an allogenic growth factor solution; and Trivium™, a next-generation demineralized bone matrix, in addition to our introductions in 2024:</w:t>
      </w:r>
    </w:p>
    <w:p>
      <w:pPr>
        <w:jc w:val="both"/>
        <w:spacing w:after="0" w:line="222" w:lineRule="auto"/>
        <w:rPr>
          <w:sz w:val="20"/>
          <w:szCs w:val="20"/>
          <w:color w:val="auto"/>
        </w:rPr>
      </w:pPr>
      <w:r>
        <w:rPr>
          <w:rFonts w:ascii="Times New Roman" w:cs="Times New Roman" w:eastAsia="Times New Roman" w:hAnsi="Times New Roman"/>
          <w:sz w:val="17"/>
          <w:szCs w:val="17"/>
          <w:color w:val="auto"/>
        </w:rPr>
        <w:t>Cortera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Posterior Fixation System, viable bone matrix; OsteoVive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Plus, and amniotic membrane allografts, SimpliGraft™ and SimpliMax™; (2) expand our distribution network; (3) penetrate adjacent markets; and (4) leverage our growth platform with technology and strategic acquisitions. While the intent of these four key growth initiatives is to increase our future revenues, no assurance can be provided that we will be successful in implementing these growth initiatives or increasing our future revenues.</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Since one of our key growth initiatives is to leverage our growth platform with technology and strategic acquisitions and explore other strategic transactions with respect to our products and our company, including licenses, business collaborations and other business combinations or transactions with other companies, we, as a matter of course, often engage in discussions with third parties regarding such matters.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discussed in more detail elsewhere in this report, we recognized $18.7 million in license revenue in 2025 that likely will not repeat in 2026 due primarily to changes in the reimbursement environment for our SimpliMax™ product effective January 1, 2026 and which changes also will adversely affect a portion of our product revenue in 2026. The loss of this license and product revenue will have an adverse impact on our 2026 revenues and other operating results, including in particular, our gross margins.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 of Coflex/CoFix Assets and International Hardware Business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December 1, 2025, we completed the sale of certain assets relating to our Coflex and CoFix products (the “Coflex/CoFix Divestiture”) to Companion Spine, LLC and one of its affiliates, Companion Spine SAS (collectively, “Companion Spine”), pursuant to an Asset Purchase Agreement dated July 7, 2025 (the “Coflex/CoFix Agreement”). The total purchase price of the Coflex/CoFix Divestiture was $17.5 million (subject to a closing inventory valuation adjustment set forth in the Coflex/CoFix Agreement). Of the total purchase price, an aggregate of $7.5 million was paid to us in cash as non-refundable deposits during third and fourth quarters of 2025, $1.8 million was paid to us in cash at the closing, and $8.2 million was paid to us as an unsecured promissory note issued by Companion Spine to us at the closing (the “Companion Spine Note”). Pursuant to subsequent amendments to the Coflex/CoFix Agreement, the maturity date of the Companion Spine Note was extended to January 31, 2026. The outstanding principal balance of the Companion Spine Note, together with the related accrued interest, totaling $8.5 million, was paid to us on February 27, 2026.</w:t>
      </w:r>
    </w:p>
    <w:p>
      <w:pPr>
        <w:spacing w:after="0" w:line="18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Also, on December 1, 2025, we completed the sale of all of our shares of equity securities of Paradigm Spine GmbH, one of our then wholly owned subsidiaries engaged in the operation of our hardware business outside of the United States (“Paradigm”), which constituted 100% of the issued and outstanding shares of equity securities of Paradigm (the “Paradigm Divestiture” and together with the Coflex/CoFix Divestiture, the “Divestitures”), to Companion Spine SAS pursuant to an Equity Purchase Agreement dated July 7, 2025 between us, Paradigm and Companion Spine (the “Paradigm Agreement” and together with the Coflex/CoFix Agreement, the “Divestiture Agreements”). The total purchase price of the Paradigm Divestiture was $3.9 million (the “Paradigm Purchase Price”), $1.7 million of which was paid to us in cash at the closing of the Paradigm Divestiture and $2.2 million of which was paid to us on February 27, 2026 in settlement of the net working capital and other purchase price adjustments.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aggregate purchase price associated with the two Divestitures was $21.4 million.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Industry and Market Overview</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orthopedic biomaterials market includes organic, inorganic, and synthetic materials designed for implantation or application in or near bone to support healing and structural restoration. These materials are used to facilitate bone growth, augment areas with insufficient bone tissue, and provide structural support during the repair process. Orthopedic biomaterials are commonly used as alternatives to autograft tissue, reducing the need for harvesting bone from a secondary site in the patient.</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Fixation is often instrumental in allowing the body to heal and regenerate tissue. Fixation provides the constructive support necessary for reestablishing stability, by immobilizing the regenerative site, and relieving stress. Fixation also can help hold the biomaterial in place in order to achieve a better outcome. Examples of fixation products can include, but are not limited to, plates, screws, pins, rods, spacers, and staples. Fixation products may be made from various metals and polymer materials.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Orthobiologics Products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Our primary biomaterial products are described below, and along with other allografts, are used across a range of orthopedic and clinical applications.</w:t>
      </w:r>
    </w:p>
    <w:p>
      <w:pPr>
        <w:spacing w:after="0" w:line="208" w:lineRule="exact"/>
        <w:rPr>
          <w:sz w:val="20"/>
          <w:szCs w:val="20"/>
          <w:color w:val="auto"/>
        </w:rPr>
      </w:pPr>
    </w:p>
    <w:p>
      <w:pPr>
        <w:jc w:val="both"/>
        <w:ind w:left="900" w:hanging="294"/>
        <w:spacing w:after="0" w:line="256"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OsteoSponge is a 100% human demineralized bone matrix (“DBM”) derived from trabecular bone. It provides a natural scaffold for cellular in-growth and exposes bone-forming proteins to support the healing process. Its malleable structure allows it to conform to and fill defects. OsteoSponge’s mechanical and osteoconductive properties make it suitable for a range of orthopedic applications, including spine, neurological, cranio/maxillofacial, trauma, plastic/reconstructive, and other procedures requiring new bone formation.</w:t>
      </w:r>
    </w:p>
    <w:p>
      <w:pPr>
        <w:spacing w:after="0" w:line="174"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OsteoSelect DBM Putty is a moldable demineralized bone matrix used to fill bony voids. The product is manufactured using a low dose, low temperature gamma sterilization method intended to provide device level sterility while maintaining its validated osteoinductive potential. OsteoSelect DBM Putty is cleared for use as a bone void filler and bone graft substitute in defects not intrinsic to structural stability, including surgically created and traumatic osseous defects, and may be used in the extremities, pelvis, and posterolateral spine.</w:t>
      </w:r>
    </w:p>
    <w:p>
      <w:pPr>
        <w:spacing w:after="0" w:line="174"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OsteoSelect PLUS DBM Putty combines the cohesive characteristics of OsteoSelect DBM Putty with demineralized cortical chunks. OsteoSelect PLUS is designed to deliver differentiated handling properties and ensure patient safety through validated, terminal sterilization.</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85"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3Demin is a line of allograft bone products composed of 100% demineralized cortical bone. These allografts are processed to enhance osteoconductivity and retain the osteoinductive potential of human bone. The products exhibit malleable handling characteristics, are provided sterile, and can be hydrated with biocompatible liquids for use in a range of bone grafting applications. 3Demin allografts are most commonly utilized in spinal fusion procedures.</w:t>
      </w:r>
    </w:p>
    <w:p>
      <w:pPr>
        <w:spacing w:after="0" w:line="151" w:lineRule="exact"/>
        <w:rPr>
          <w:rFonts w:ascii="Times New Roman" w:cs="Times New Roman" w:eastAsia="Times New Roman" w:hAnsi="Times New Roman"/>
          <w:sz w:val="16"/>
          <w:szCs w:val="16"/>
          <w:color w:val="auto"/>
        </w:rPr>
      </w:pPr>
    </w:p>
    <w:p>
      <w:pPr>
        <w:jc w:val="both"/>
        <w:ind w:left="900" w:hanging="294"/>
        <w:spacing w:after="0" w:line="256"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OsteoFactor Pro is an allograft that retains a broad spectrum of naturally occurring growth factors present in human bone. Unlike products formulated with a single recombinant or isolated growth factor, OsteoFactor Pro contains multiple proteins and peptides associated with bone formation and remodeling. The product may be used as a stand alone graft or combined with our other allograft scaffolds to enhance the osteoinductive potential of those grafts.</w:t>
      </w:r>
    </w:p>
    <w:p>
      <w:pPr>
        <w:spacing w:after="0" w:line="174"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OsteoVive Plus is a viable bone allograft produced using a proprietary method designed to preserve native bone components, including growth factors and viable cells. The graft provides osteoconductive, osteoinductive, and osteogenic potential as an alternative to autograft. The inclusion of our PurLoc fiber technology is intended to support excellent handling characteristics.</w:t>
      </w:r>
    </w:p>
    <w:p>
      <w:pPr>
        <w:spacing w:after="0" w:line="169"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nanOss portfolio consists of synthetic bone graft substitutes that incorporate nanocrystalline hydroxyapatite designed to provide an osteoconductive scaffold for new bone formation. These products are available in various configurations that combine the ceramic phase with a porous carrier to support cellular attachment and graft handling. We recently introduced nanOss Strata, an enhanced formulation manufactured from hydroxycarbon apatite intended to improve incorporation with host bone. The nanOss products may be used in a range of orthopedic procedures requiring a synthetic osteoconductive scaffold.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jc w:val="both"/>
        <w:ind w:left="900" w:hanging="294"/>
        <w:spacing w:after="0" w:line="256"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FibreX is a demineralized cortical fiber allograft intended to provide an osteoconductive scaffold with osteoinductive potential to support new bone formation. Its elongated fiber structure is designed to promote graft cohesion and conformability when placed into bony defects. The incorporation of our PureLoc technology is intended to enhance handling characteristics and maintain graft integrity during placement. FibreX may be used by clinicians in orthopedic procedures where a moldable, fiber-based allograft scaffold is appropriate.</w:t>
      </w:r>
    </w:p>
    <w:p>
      <w:pPr>
        <w:spacing w:after="0" w:line="174"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Trivium is a next-generation demineralized cortical fiber allograft that incorporates three key components—elongated demineralized cortical fibers, trabecular cancellous chips, and demineralized bone matrix. This composition creates intertwined structures with interconnected porosity intended to support cellular attachment and tissue ingrowth. Trivium utilizes PureLoc fiber technology to produce consistent, elongated fibers designed to maintain structural integrity and enhance handling during surgical placement. Trivium may be used by clinicians in orthopedic procedures requiring a moldable allograft scaffold.</w:t>
      </w:r>
    </w:p>
    <w:p>
      <w:pPr>
        <w:spacing w:after="0" w:line="175" w:lineRule="exact"/>
        <w:rPr>
          <w:rFonts w:ascii="Times New Roman" w:cs="Times New Roman" w:eastAsia="Times New Roman" w:hAnsi="Times New Roman"/>
          <w:sz w:val="17"/>
          <w:szCs w:val="17"/>
          <w:color w:val="auto"/>
        </w:rPr>
      </w:pPr>
    </w:p>
    <w:p>
      <w:pPr>
        <w:jc w:val="both"/>
        <w:ind w:left="900" w:hanging="252"/>
        <w:spacing w:after="0" w:line="256" w:lineRule="auto"/>
        <w:tabs>
          <w:tab w:leader="none" w:pos="9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SimpliGraft and SimpliMax are dehydrated, terminally irradiated amniotic membrane allografts available in single and dual-layer configurations. These allograft membranes are intended to function as protective barriers and provide coverage for acute and chronic wounds in surgical and wound care settings. Their structural properties are designed to support a controlled environment for wound management and integration into established clinical workflows.</w:t>
      </w:r>
    </w:p>
    <w:p>
      <w:pPr>
        <w:spacing w:after="0" w:line="174"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CollagenX is a sterile, single use surgical collagen powder derived from 100% purified bovine Type I collagen and designed for use in the management of surgical and non-surgical wounds. CollagenX forms a soft, conforming barrier that helps maintain a moist wound environment.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also process and distribute sports allografts prepared for soft-tissue reconstruction applications, milled spinal allografts composed of cortical bone shaped to defined specifications, and traditional allografts used across multiple clinical specialties, including orthopedics, neurology, podiatry, oral and maxillofacial care, genitourinary care, chronic wound care, surgical repair, plastic and reconstructive medicine.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Spinal Implant Products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offer a comprehensive line of products that are used to treat a variety of spinal and sacroiliac conditions, including trauma, degeneration, deformity and tumor, including use of minimally invasive surgery techniques. Some of our key spinal implant product lines include: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Cervical Products</w:t>
      </w:r>
    </w:p>
    <w:p>
      <w:pPr>
        <w:spacing w:after="0" w:line="212" w:lineRule="exact"/>
        <w:rPr>
          <w:sz w:val="20"/>
          <w:szCs w:val="20"/>
          <w:color w:val="auto"/>
        </w:rPr>
      </w:pPr>
    </w:p>
    <w:p>
      <w:pPr>
        <w:ind w:left="900" w:hanging="294"/>
        <w:spacing w:after="0" w:line="274"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Spider Cervical Plating System consists of simple, single step locking with 3 forms of locking feedback providing confidence in Spider System construct and performance.</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Streamline OCT System allows a rigid construct to be created in the occipito-cervico-thoracic spine by offering a broad range of implants. These implants provide the ability to tailor treatment to a specific patient.</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CervAlign System is a comprehensive anterior cervical plate system designed to meet the varying clinical needs of surgeons performing anterior cervical discectomy and fusion procedures. The system is designed to accommodate semi-constrained, constrained and hybrid constructs.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Thoracolumbar Products</w:t>
      </w:r>
    </w:p>
    <w:p>
      <w:pPr>
        <w:spacing w:after="0" w:line="212" w:lineRule="exact"/>
        <w:rPr>
          <w:sz w:val="20"/>
          <w:szCs w:val="20"/>
          <w:color w:val="auto"/>
        </w:rPr>
      </w:pPr>
    </w:p>
    <w:p>
      <w:pPr>
        <w:jc w:val="both"/>
        <w:ind w:left="900" w:hanging="294"/>
        <w:spacing w:after="0" w:line="256"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Axle-X Interspinous Fusion System is an internal fixation device for spinal surgery in the non-cervical spine (T1 − S1 inclusive). It is a minimally invasive, modular interspinous fusion system with angled spikes that allows for adequate L5 − S1 engagement and other variations in patient anatomy. The Axle-X Interspinous Fusion System is designed to provide spinal stability for lumbar fusion procedures, including the treatment of degenerative disc disease, spinal tumors and trauma.</w:t>
      </w:r>
    </w:p>
    <w:p>
      <w:pPr>
        <w:spacing w:after="0" w:line="174"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Streamline MIS Spinal Fixation System allows a rigid construct to be created in the thoracolumbar spine via a percutaneous or mini-open approach using cannulated pedicle screws, set screws and rods. The system offers a broad range of implants and instruments, providing the ability to tailor treatment to a specific patient.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 w:name="page8"/>
    <w:bookmarkEnd w:id="7"/>
    <w:p>
      <w:pPr>
        <w:ind w:left="900" w:hanging="294"/>
        <w:spacing w:after="0" w:line="274"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Streamline TL Spinal Fixation System allows a rigid construct to be created in the thoracolumbar spine using pedicle screws, set screws, rods and Streamline TL Crosslinks. The system offers a broad range of implants and instruments, providing the ability to tailor treatment to a specific patient.</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Cortera Spinal Fixation System is a comprehensive posterior thoracolumbar fixation solution. Featuring innovative implants and multi-functional instrumentation, Cortera provides surgeons with a safe and effective solution that is designed to improve surgical workflow and deliver value when navigating complex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Sacroiliac Joint Products</w:t>
      </w:r>
    </w:p>
    <w:p>
      <w:pPr>
        <w:spacing w:after="0" w:line="212" w:lineRule="exact"/>
        <w:rPr>
          <w:sz w:val="20"/>
          <w:szCs w:val="20"/>
          <w:color w:val="auto"/>
        </w:rPr>
      </w:pPr>
    </w:p>
    <w:p>
      <w:pPr>
        <w:ind w:left="900" w:hanging="294"/>
        <w:spacing w:after="0" w:line="274"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Silex Sacroiliac Joint Fusion System is a sacroiliac fixation system which actively compresses across the SI joint. Sacroiliac dysfunction is increasingly recognized as a frequent contributor to chronic low back pain.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Interbody Products</w:t>
      </w:r>
    </w:p>
    <w:p>
      <w:pPr>
        <w:spacing w:after="0" w:line="212" w:lineRule="exact"/>
        <w:rPr>
          <w:sz w:val="20"/>
          <w:szCs w:val="20"/>
          <w:color w:val="auto"/>
        </w:rPr>
      </w:pPr>
    </w:p>
    <w:p>
      <w:pPr>
        <w:ind w:left="900" w:hanging="294"/>
        <w:spacing w:after="0" w:line="274"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Calix is a family of polyetheretherketone, or PEEK, interbody spacers and precision instruments for both cervical and thoracolumbar applications. Calix PC is a frictional titanium plasma-coated PEEK implant that provides additional biomechanical performance and end-plate visualization.</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Irix-C Cervical Integrated Fusion System consists of an integrated titanium ring, surrounded by an outer PEEK ring and two screws. It is intended for spinal fusion procedures at one level (C3 − T1 inclusive) in skeletally mature patients for the treatment of degenerative disc disease.</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Irix-A Lumbar Integrated Fusion System consists of an integrated titanium ring, surrounded by an outer PEEK ring and three screws. It is intended for spinal fusion procedures at one or two contiguous levels of the lumbosacral spine (L2 − S1 inclusive) in skeletally mature patients for the treatment of degenerative disc disease.</w:t>
      </w:r>
    </w:p>
    <w:p>
      <w:pPr>
        <w:spacing w:after="0" w:line="169"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Fortilink is a family of implants used in a variety of fixation procedures. Fortilink implants with TiPlus Technology are manufactured with selective laser melting and are built from implant grade titanium alloy. Open mesh structure and graft windows are designed to allow bone ingrowth and facilitate fusion.</w:t>
      </w:r>
    </w:p>
    <w:p>
      <w:pPr>
        <w:spacing w:after="0" w:line="169"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Fortilink implants with TETRAfuse 3D Technology maintain bone-like mechanical properties. The unique features of the 3D printed nano-rough surface have been shown to allow bone cells to attach to the implant, increasing the potential for fusion.</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Contact ALP (Anterior Lumbar Plate) System provides anterior fixation of the lumbosacral spine (L1-S1) with a focus on efficiency and flexibility. The system uses an integrated expansion screw head locking mechanism that allows the plate to be lagged to the vertebral body while maintaining controlled screw angulation and back out protection.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distribute our products in the United States through an extensive distribution network of commissioned independent sales agents and stocking agents. As of December 31, 2025, we had over 670 independent sales agents and stocking agents. We also maintain a national accounts program to enable our agents to gain access to IDN hospitals and through GPOs. We have biologics contracts with major GPOs, including Vizient, Premier, and HealthTrust Purchasing Group, as well as extensive access to IDNs across the United States for both biologics and spine hardware systems.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international footprint includes distribution partners in Europe, Canada, Mexico, South America, and certain Pacific region countries.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Donor Procurement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mission with respect to donor procurement is: “Honoring the gift of donation, by helping our patients live as full, and complete a life as possible.”</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furtherance of our mission, we have agreements with multiple recovery agencies, and we continue to explore options to expand our network for access to donor tissue in anticipation of increased demand for our biologics products.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There are various public and private organizations that offer both orthobiologics and fixation products to their customers, including our primary competitors Medtronic plc, Johnson and Johnson, Bioventus Inc., Globus Medical, Inc., OrthoFix Medical Inc., Alphatec Holdings, Inc., Highridge Inc., SI-Bone Inc., as well as dozens of privately-owned companies. We also compete with tissue banks that do not offer spinal fixation products, such as AlloSource International, Inc., LifeNet Health, and MTF Biologics.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rely upon patents, trademarks, trade secrets and other proprietary rights to maintain and improve our competitive position. We review third-party proprietary rights, including patents and patent applications, as available, to develop an effective intellectual property strategy, avoid infringement of third-party proprietary rights, identify licensing opportunities and monitor the intellectual property owned by others.</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protect our proprietary rights through a variety of methods. As a condition of employment, we generally require employees to execute an agreement relating to the confidential nature of and company ownership of proprietary information and assigning intellectual property rights to us. We generally require confidentiality agreements with vendors, consultants, and others who may have access to proprietary information. We generally limit access to our facilities and review the release of company information in advance of public disclosure. There can be no assurances, however, that confidentiality agreements with employees, vendors, and consultants will not be breached, adequate remedies for any breach would be available, or competitors will not discover or independently develop our trade secrets. Litigation also may be necessary to protect trade secrets or techniques we own.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Although we believe that, in the aggregate, our patents are valuable, and patent protection is beneficial to our business and competitive positioning, our patent protection will not necessarily deter or prevent competitors from attempting to develop similar products. There can be no assurances that our patents will provide competitive advantages for our products or that competitors will not challenge or circumvent these rights. In addition, there can be no assurances that the United States Patent and Trademark Office (“USPTO”) or foreign patent offices will issue any of our pending patent applications. The USPTO and foreign patent offices may deny or require a significant narrowing of the claims in our pending patent applications and the patents issuing from such applications. Any patents issuing from the pending patent applications may not provide us with significant commercial protection. We could incur substantial costs in proceedings before the USPTO or foreign patent offices, including opposition and other post-grant proceedings. These proceedings could result in adverse decisions as to the patentability, priority of our inventions, and the narrowing or invalidation of claims in issued patents. Additionally, the laws of some of the countries in which our products are or may be sold may not protect our intellectual property to the same extent as the laws in the United States or at all.</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policy is to file patent applications in the United States and other countries when we believe it is commercially advantageous to do so. We do not consider our business to be materially dependent upon any individual patent. As of December 31, 2025, our biologics patent portfolio included 46 issued patents that expire between 2028 and 2041, 26 of which are issued U.S. patents. Our fixation portfolio is patent protected globally and includes 201 issued patents that expire between 2026 and 2043, 150 of which are issued U.S. patents, and 5 pending patent applications, 2 of which are U.S. patent applications. We expect that additional patent applications will be filed and prosecuted as inventions are discovered, technological improvements and processes are developed, and specific applications are identified. There can be no assurance that we will be able to obtain final approval of any patents.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Trademarks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have registered, and continue to seek registration, of trademarks and continuously monitor and aggressively pursue users of names and marks that potentially infringe upon our registered trademarks. We currently own the following registered trademarks: OsteoSponge®, OsteoVive®, OsteoWrap®, OsteoFactor®, OsteoFactor Pro®, BacFast®, OsteoSelect®, OsteoMax®, 3Demin®, Circle of Life®, ARANAX®, ASPECT®, ATRIX-C®, ATRIX-C UNION®, BACJAC®, BACFUSE®, BIGFOOT®, CLARITY®, CONTACT®, CROSS-FUSE®, INTICE®, LAT-FUSE®, MATRIFORM®, NANOSS®, NUNEC®, ORBITALWRAP®, PAC PLATE®, QUANTUM®, SLIMFUSE®, SimpliGraft®, SimpliMax®, SimpliMix®, STREAMLINE®, X-LINK®, XPRESS®, XSPAN®, ZYFIX®, ELEMAX®, UNISON®, FORTILINK®, TETRAFUSE®, CERVALIGN®, NANOSS 3D®, TIPLUS®, FIBREX®, MAXFUSE®, BIOMAX®, CORTERA®, ELEVATE YOUR BONE GRAFT®, and ELEVATED PROCEDURAL SOLUTIONS®. Under the X-spine name, we own the following registered trademarks: SILEX®, IRIX®, CALIX®, H-GRAFT®, SPIDER®, X90®, BUTREX®, FORTEX®, AXLE®, FIXCET®, and XTANT®.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Trade Secrets and Other Proprietary Rights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To safeguard our proprietary knowledge and technology, we rely upon trade secret protection and non-disclosure/confidentiality agreements with employees, consultants and third-party collaboration partners with access to our confidential information. Although we believe our proprietary technology has value, because of rapid technological changes in the medical industry, we also believe that proprietary protection is of less significance than factors such as the intrinsic knowledge and experience of our management, advisory board, consultants and personnel and their ability to identify unmet market needs and to create, invent, develop and market innovative and differentiated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Agreements</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During the first quarter of 2025, we entered into a manufacture and license agreement with a distributor pursuant to which we agreed to manufacture and supply to the distributor our SimpliGraft® product under the distributor’s name in exchange for a one-time $1.5 million cash payment and minimum SimpliGraft® product purchase obligations of the distributor. During the fourth quarter of 2024, we entered into a license agreement with a distributor granting an exclusive right and license to manufacture and commercialize in the United States our SimpliMax™ product in exchange for a one-time $1.5 million cash payment and minimum quarterly royalty payments based on the volume of product sold by the distributor. Effective January 1, 2026, the Centers for Medicare &amp; Medicaid Services (“CMS”) implemented a Local Coverage Determination with significant changes to reimbursement for cellular and tissue-based products, which impacted our SimpliMax™ and SimpliGraft® products. In addition, on July 14 and 15, 2025, CMS released the CY 2026 Physician Fee Schedule (“PFS”) proposal and the CY 2026 Hospital Outpatient Prospective Payment System (“OPPS”) proposal. Under these rules, which were implemented on January 1, 2026, CMS instituted a consistent payment approach for skin substitutes across the private office and hospital outpatient departments settings with a fixed price of $127.14 per square centimeter. Together with the Local Coverage Determination and a recently announced Wasteful and Inappropriate Service Reduction model, there are several significant potential changes to reimbursement of skin substitutes that have impacted and will likely continue to impact the industry and the sale of our SimpliMax™ and SimpliGraft® products. Because of these regulatory changes, the SimpliGraft® manufacture and license agreement was terminated effective December 31, 2025 and it is possible that the SimpliMax™ license agreement may be terminated, adversely affecting our 2026 and future license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are International Organization for Standardization (“ISO”) 13485 and MDSAP Certified and registered with the U.S. Food and Drug Administration (“FDA”) as a manufacturer of human cells, tissues, and cellular and tissue-based products (“HCT/Ps”), as well as medical devices. ISO 13485 is the internationally recognized quality management systems (“QMS”) standard specifically designed for organizations involved in the life cycle of medical devices, including design, production, installation, servicing and distribution. Medical Device Single Audit Program (“MDSAP”) is a program that allows a third-party auditor to evaluate a medical device manufacturer’s quality management system to satisfy the requirements of multiple regulatory jurisdictions simultaneously. The program is based on ISO 13485. We are an accredited member in good standing with the Association for Advancing Tissue and Biologics (“AATB”), formerly known as the American Association of Tissue Banks. In addition, we comply with all licensing requirements for distributing HCT/Ps in states with such regulations, including Florida, California, Delaware, Illinois, Louisiana, Maryland, Oregon, and New York. As our industry is highly regulated, we cannot predict the impact of future regulations on our operations or those of our customers.</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stabilization and fusion products, along with our instrumentation systems, are classified as medical devices and are therefore subject to rigorous regulation by the FDA, as well as by other domestic and international regulatory authorities. These regulations apply to a wide range of activities carried out by Xtant and our suppliers, licensors and partners both now and in the future. These regulated activities include but are not limited to, product design and development, testing, manufacturing, labeling, storage, safety, premarket clearance, advertising and promotion, product marketing, sales and distribution, post-market surveillance and post-market adverse event reporting. All products currently marketed by Xtant are regulated as HCT/Ps and/or have received 510(k) clearances from the FDA, unless they are exempt.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Human Tissue</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FDA defines HCT/Ps as articles containing or consisting of human cells or tissues that are intended for implantation, transplantation, infusion, or transfer into a human recipient. Current Good Tissue Practices (“CGTP”) requirements govern the methods used in, and the facilities and controls used for, the manufacture of HCT/Ps in a way that prevents the introduction, transmission, or spread of communicable diseases by HCT/Ps. CGTPs include but are not limited to, any or all steps in the recovery, processing, storage, labeling, packaging or distribution of any human cell or tissue, and the screening or testing of the cell or tissue donor.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 w:name="page11"/>
    <w:bookmarkEnd w:id="10"/>
    <w:p>
      <w:pPr>
        <w:ind w:left="600"/>
        <w:spacing w:after="0"/>
        <w:rPr>
          <w:sz w:val="20"/>
          <w:szCs w:val="20"/>
          <w:color w:val="auto"/>
        </w:rPr>
      </w:pPr>
      <w:r>
        <w:rPr>
          <w:rFonts w:ascii="Times New Roman" w:cs="Times New Roman" w:eastAsia="Times New Roman" w:hAnsi="Times New Roman"/>
          <w:sz w:val="17"/>
          <w:szCs w:val="17"/>
          <w:color w:val="auto"/>
        </w:rPr>
        <w:t>Core CGTP requirements are those requirements that directly relate to preventing the introduction, transmission, or spread of communicable disease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HCT/Ps. The core CGTP requirements include requirements for:</w:t>
      </w:r>
    </w:p>
    <w:p>
      <w:pPr>
        <w:spacing w:after="0" w:line="192" w:lineRule="exact"/>
        <w:rPr>
          <w:sz w:val="20"/>
          <w:szCs w:val="20"/>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Facilities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control</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Equipment</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Supplies and reagents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Processing and process controls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Labeling controls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Storage</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predistribution shipment, and distribution of an HCT/P.</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there are regulatory requirements pertaining to donor eligibility determinations, donor screening, and donor testing.</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 HCT/P is regulated solely under section 361 of the Public Health Service Act (“PHSA”) and 21 CFR Part 1271 if it meets the following four criteria:</w:t>
      </w:r>
    </w:p>
    <w:p>
      <w:pPr>
        <w:spacing w:after="0" w:line="208" w:lineRule="exact"/>
        <w:rPr>
          <w:sz w:val="20"/>
          <w:szCs w:val="20"/>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HCT/P is minimally manipulated;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HCT/P is intended for homologous use only; as reflected by the labeling, advertising, or other indications of the manufacturer’s objective intent;</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manufacture of the HCT/P does not involve the combination of the cells or tissues with another article (with limited exceptions);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HCT/P does not have a systemic effect and is not dependent upon the metabolic activity of living cells for its primary function; or</w:t>
      </w:r>
    </w:p>
    <w:p>
      <w:pPr>
        <w:spacing w:after="0" w:line="207" w:lineRule="exact"/>
        <w:rPr>
          <w:rFonts w:ascii="Times New Roman" w:cs="Times New Roman" w:eastAsia="Times New Roman" w:hAnsi="Times New Roman"/>
          <w:sz w:val="17"/>
          <w:szCs w:val="17"/>
          <w:color w:val="auto"/>
        </w:rPr>
      </w:pPr>
    </w:p>
    <w:p>
      <w:pPr>
        <w:ind w:left="1220" w:hanging="311"/>
        <w:spacing w:after="0" w:line="274" w:lineRule="auto"/>
        <w:tabs>
          <w:tab w:leader="none" w:pos="12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HCT/P has a systemic effect or is dependent upon the metabolic activity of living cells for its primary function and: is for autologous use; is for allogeneic use in a first-degree or second-degree blood relative; or is for reproductive use.</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Failure to comply with applicable regulatory requirements can result in enforcement action by the FDA, which may include sanctions such as warning or untitled letters, injunctions, or other action.</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There are many HCT/P products that must undergo regulatory review and licensure by the FDA. The approval process for a Biologics License Application (“BLA”) includes a rigorous review of the safety and efficacy of the biological product. Successful applications typically require testing and validation through a series of clinical and non-clinical studies taking place over multiple years of product development. We refer to all of our HCT/P products as biologics. In the future, Xtant may decide to strategically commercialize products in the United States that would require a BLA, but there are no plans to do so at the present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Devices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Center for Devices and Radiological Health oversees the clearance, authorization and approval of medical devices, including our stabilization and fusion products, as well as certain HCT/Ps regulated as medical devices. In the United States, medical devices are heavily regulated by the FDA under the Federal Food, Drug, and Cosmetic Act (“FDCA”) and its associated regulations, as well as other relevant federal and state laws. These regulations cover various aspects, including design, manufacture, storage, record control, approval, labeling, promotion, post-approval monitoring and reporting, distribution and import and export of medical devices. Non-compliance with these requirements can result in administrative actions such as FDA refusal to approve pending Premarket Approvals (“PMAs”), 510(k)s, issuance of warning letters, mandatory product recalls, import detentions, civil monetary penalties, and/or judicial sanctions, such as product seizures, injunctions, and criminal prosecution.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 w:name="page12"/>
    <w:bookmarkEnd w:id="11"/>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Under the FDCA, medical devices are classified into one of three classes based on the risk associated with the device and the level of control necessary to provide a reasonable assurance of safety and effectiveness. Class I devices are deemed to be low risk and are subject to the fewest regulatory controls. Class III devices are generally the highest risk devices and are subject to the highest level of regulatory control to provide reasonable assurance of safety and effectiveness. Class III devices must typically be approved by the FDA before they are marketed.</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Most Class I devices and a minority of Class II devices are completely exempt from premarket review by the FDA. Most Class II devices and a minority of Class I devices require 510(k) clearance. Devices that pose the highest risk, including life sustaining, life-supporting or implantable devices, or devices deemed not substantially equivalent to a previously 510(k)-cleared device or a “pre-amendment” Class III device in commercial distribution before May 28, 1976 for which PMA applications are not required, are placed in Class III requiring PMA approval. A novel device is placed in Class III by default, but it may be eligible to be placed in Class I or Class II via “de novo” classification if it can be shown to pose only low to moderate risk with appropriate regulatory controls.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PMA approval pathway requires proof that there is a reasonable assurance of safety and effectiveness. The 510(k)-clearance pathway is much less burdensome and time-consuming than the PMA approval pathway. The de novo pathway has an enhanced burden compared to the 510(k)-clearance pathway but is much less burdensome than a PMA approval process.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Under the 510(k)-clearance pathway, the applicant must submit to the FDA a premarket notification demonstrating that the medical device is substantially equivalent to a legally marketed predicate device. A predicate device may be a previously 510(k) cleared device, a de novo-authorized device, or a pre-amendment device (unless the FDA has issued a regulation calling for PMA applications for this device type). To be substantially equivalent, the proposed device must have the same intended use as the predicate device, and either have the same technological characteristics as the predicate device or have different technological characteristics and be shown to be equally safe and effective and not raise different questions of safety and effectiveness than the predicate device.</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By statute, the FDA is required to complete its review within 90 FDA days of receiving the 510(k) notification. As a practical matter, clearance often takes longer, typically ranging from three to nine months or more, and clearance is never assured. The FDA’s 510(k) review compares a proposed device to a predicate device with respect to intended use and technology. The information necessary to show substantial equivalence will depend on the differences between the proposed device and the predicate device, which may include bench, animal, and/or clinical studies. The discussion of what data is needed is sometimes conducted in a voluntary process called the pre-submission process whereby companies meet with the FDA to discuss the data needed for clearance.</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the FDA finds the applicant’s device is substantially equivalent to the predicate device, it will send a letter to the applicant stating that fact. This allows the applicant’s device to be commercially distributed in the United States. If the device cannot proceed through the 510(k) pathway, the applicant must fulfill the much more rigorous premarketing requirements of the PMA approval process or seek reclassification of the device through the de novo process.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After a device receives 510(k) clearance, any modification that could significantly affect its safety or effectiveness, or that would constitute a major change in its intended use, requires a new 510(k) clearance or could require reclassification through the de novo process or a PMA approval. The FDA requires each manufacturer to make this determination in the first instance, but the FDA can review any such decision. If the FDA disagrees with a manufacturer’s decision not to seek a new 510(k) clearance, the agency may require the manufacturer to seek 510(k) clearance, de novo authorization, or PMA approval. The FDA can also require a manufacturer to cease marketing and/or recall the modified device until 510(k) clearance, de novo authorization, or PMA approval is obtained.</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Another procedure for obtaining marketing authorization for a medical device is the “de novo classification” procedure. Devices of a new type that the FDA has not previously classified based on risk are automatically classified into Class III, regardless of the level of risk they pose. Additionally, in response to a 510(k) premarket notification,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 w:name="page13"/>
    <w:bookmarkEnd w:id="12"/>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advantage of the de novo classification process is that it generally requires less data than a PMA. The disadvantage is that it may require more data than a 510(k) and most often will include human clinical data. A request for de novo classification also has a longer review time as compared to a 510(k). If the de novo submission is denied, the device remains in Class III and PMA approval may be required before the device may be legally marketed in the United States. The FDA is increasingly moving devices with slightly different proposed indication statements or different technological features off the 510(k) path and onto the de novo path, resulting in more time and expense for the company.</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 device not eligible for 510(k) clearance or de novo classification must follow the PMA approval pathway, which requires proof of the reasonable assurance of the device’s safety and effectiveness. The cost of preparing and submitting a PMA is substantial and a PMA application must provide extensive preclinical and clinical trial data and also detailed information about the device and its components regarding, among other things, device design, manufacturing and labeling. Under federal law, the submission of most PMAs is additionally subject to a substantial annually adjusted application user fee. Satisfaction of FDA PMA requirements typically take years, and the actual time required may vary substantially based upon the type, complexity, and novelty of the device or disease.</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After a medical device enters commercial distribution, General Controls for Medical Devices apply. General Controls are the basic provisions (authorities) that provide the FDA with the means of regulating devices to ensure their safety and effectiveness. The General Controls apply to all medical devices. They include provisions that relate to adulteration; misbranding; device registration and listing; premarket notification; banned devices; notification, including repair or replacement, or refund; records and reports; restricted devices; and good manufacturing practices.</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FDA has broad post-market and regulatory enforcement privileges. Medical device manufacturers are subject to unannounced inspections by the FDA and other state, local and foreign regulatory authorities to assess compliance with the Quality Management System Regulation (“QMSR”)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repair, replacement, refunds, recall or seizure of our devices; operating restrictions, partial suspension or total shutdown of manufacturing; the FDA’s refusal of our requests for 510(k) clearances, de novo classification, or premarket approvals of new devices, new intended uses or modifications to existing devices; the FDA’s refusal to issue certificates to foreign governments needed to export devices for sale in other countries; and withdrawing 510(k) clearances, de novo marketing authorization, or premarket approvals that have already been granted; and criminal prosecution.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Regulation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International distribution is governed by foreign government regulations, which can vary between countries. The time needed for approval in a foreign country may be longer or shorter than that required for FDA approval process, and the specific requirements may differ. Some countries accept MDSAP Certificates, CE Marking, and/or FDA clearances as part of their medical device marketing approval process,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Fraud and Abuse</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Healthcare fraud and abuse laws apply to Xtant’s business when a customer submits a claim for an item or service that is reimbursed under Medicare, Medicaid or most other federally-funded healthcare programs. 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 care programs, such as by Medicare or Medicaid. The concerns that the Anti-Kickback Statute addresses are multiple, but primary among them are, first, that the federal government pays/reimburses health care providers for the true acquisition cost of goods and services provided to patients served by government programs. The government does not want, for example, health care providers obtaining manufacturer discounts which are not disclosed to the government on cost report forms submitted for reimbursement to the government. The government wants to be the beneficiary of such discounts. Second, for that reason, the government wants transparency in the billing process which discloses such discounts to the government. Third, the government does not want purchasing, prescription or referral decisions for medical devices biased by economics unrelated to the best choices for a patient.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 w:name="page14"/>
    <w:bookmarkEnd w:id="13"/>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Federal Anti-Kickback Statute is subject to evolving interpretations and has been applied by government enforcement officials to a number of common business arrangements in the medical device industry. Remunerative relationships with physicians in which manufacturers give health care providers gifts or pay for entertainment, sporting events, trips or other perquisites, may be viewed as an attempt to buy loyalty to the manufacturer’s products. A number of states also have anti-kickback laws that establish similar prohibitions that may apply to items or services reimbursed by government programs as well as any third-party payors, including commercial insurers. Further, federal legislation, the Patient Protection and Affordable Care Act, as amended by the Health Care and Education Reconciliation Act (collectively “PPACA”), among other things, clarified the intent requirements of the Federal Anti-Kickback Statute and the federal criminal statutes governing healthcare fraud. Specifically, a person or entity can be found to have violated the statutes without actual knowledge of these statutes or specific intent to violate them. In addition, the PPACA amended the Social Security Act to provide that the government may assert that a claim including items or services resulting from a violation of the Federal Anti-Kickback Statute constitutes a false or fraudulent claim for purposes of the Federal False Claims Act or federal civil money penalties statute. Amendments to the Federal False Claims Act provide that a violation of the Federal Anti-Kickback Statute is also a violation of the Federal False Claims Act, subjecting healthcare entities to treble damages and mandatory penalties for each false claim or statement.</w:t>
      </w:r>
    </w:p>
    <w:p>
      <w:pPr>
        <w:spacing w:after="0" w:line="18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Additionally, the civil Federal False Claims Act prohibits, among other things, knowingly presenting or causing the presentation of a false, fictitious or fraudulent claim for payment of federal funds, or knowingly making, or causing to be made, a false record or statement material to a false or fraudulent claim to avoid, decrease or conceal an obligation to pay money to the federal government. The purpose of the Federal False Claims Act is to prevent manufacturers from causing or inducing inappropriate prescriptions leading to an inappropriate government reimbursement. It often comes into play where a manufacturer suggests or assists a health care provider to bill for an off-label, uncovered use. It also can occur when the reimbursement advice given by a manufacturer results in inappropriate reimbursement claims from “upcoding,” miscoding, “stretched” coding, the use of inappropriate modifiers or inappropriate care settings. These behaviors can result in the government paying for products or procedures that should not be reimbursed by the federal government. The manufacturer must be truthful and not misleading in the reimbursement advice it gives to customers.</w:t>
      </w:r>
    </w:p>
    <w:p>
      <w:pPr>
        <w:spacing w:after="0" w:line="18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Actions under the Federal False Claims Act may be brought by the Attorney General or as a qui tam action by a private individual in the name of the government. Violations of the Federal False Claims Act can result in very significant monetary penalties and treble damages. The federal government is using the Federal False Claims Act, and the accompanying threat of significant liability, in its investigations of healthcare companies throughout the country for a wide variety of Medicare billing practices, as well as federal Anti-Kickback Statute violations and certain marketing practices, including off-label promotion, and has obtained multi-million and multi-billion dollar settlements under the Federal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suppliers’ compliance with the healthcare reimbursement rules and fraud and abuse laws.</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Federal Physician Payments Sunshine Act imposes annual reporting requirements on device manufacturers for payments and other transfers of value provided by them, directly or indirectly, to physicians (including physician family members) and teaching hospitals, as well as ownership and investment interests held by physicians. Device manufactures are also required to collect information on payments or transfers of value to physician assistants, nurse practitioners, clinical nurse specialists, certified registered nurse anesthetists, and certified nurse midwives for reporting to the Centers for Medicare &amp; Medicaid Services. A manufacturer’s failure to submit timely, accurately and completely the required information for all payments, transfers of value or ownership or investment interests may result in civil monetary penalties. Certain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operations are also subject to the U.S. Foreign Corrupt Practices Act (“FCPA”). We are required to comply with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publicly traded United States corporations and their foreign affiliates, which are intended to prevent the diversion of corporate funds to the payment of bribes and other improper payments, and to prevent the establishment of “off books” slush funds from which such improper payments can be made. We also are subject to similar anticorruption legislation implemented in certain foreign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Coverage and Reimbursement</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Xtant’s currently approved products are commonly treated as general supplies utilized in spinal and orthopedic surgery and if covered by third-party payors, are paid for as part of the surgical procedure. Accordingly, healthcare providers in the United States generally rely on third-party payors, principally private insurers and governmental payors such as Medicare and Medicaid, to cover and reimburse all or part of the cost of a spine surgery in which Xtant products are used. Sales volumes and fees for Xtant products will continue to depend in large part on the availability of coverage and reimbursement from such third-party payors. Third-party payors perform analyses on new technologies to determine if they are medically necessary before providing coverage for them. These third-party payors may still deny reimbursement on covered technologies if they determine that a device used in a procedure was not used in accordance with the payor’s coverage policy. Particularly in the United States, third-party payors continue to carefully review, and increasingly challenge, the prices charged for procedures and medical products.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 w:name="page15"/>
    <w:bookmarkEnd w:id="14"/>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the United States, a large percentage of insured individuals receive their medical care through managed care programs, which monitor and often require pre-approval of the services that a member will receive. Some managed care programs pay their providers on a per capita basis, which puts the providers at financial risk for the services provided to their patients by paying these providers a predetermined payment per member per month and, consequently, may limit the willingness of these providers to use Xtant products.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overall escalating cost of medical products and services has led to, and will likely continue to lead to, increased pressures on the healthcare industry to reduce the costs of products and services. Government or private third-party payors cannot be guaranteed to cover and reimburse the procedures using Xtant products in whole or in part in the future or that payment rates will be adequate. In addition, it is possible that future legislation, regulation or coverage and reimbursement policies of third-party payors will adversely affect the demand for Xtant products or the ability to sell them on a profitable basis.</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Internationally, reimbursement and healthcare payment systems vary substantially from country to country and include single-payor, government-managed systems as well as systems in which private payors and government managed systems exist side-by-side. Xtant’s ability to achieve market acceptance or significant sales volume in international markets will be dependent in large part on the availability of reimbursement for procedures performed using company products under the healthcare payment systems in such markets. A number of countries may require Xtant to gather additional clinical data before recognizing coverage and reimbursement for its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ISO Certification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Xtant is ISO and MDSAP Certified. ISO 13485 is the internationally recognized quality management system standard specifically designed for organizations involved in the life cycle of medical devices, including design, production, installation, servicing and distribution. MDSAP is a program that allows third-party auditors to evaluate a medical device manufacturer’s quality management system to satisfy the requirements of multiple regulatory jurisdictions simultaneously. The program is based on ISO 13485.</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Achieving ISO 13485 and MDSAP certification requires building and maintaining a robust, fully implemented QMS that demonstrates consistent control over the design, manufacture, and distribution of medical devices.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Mission, Quality Policy and Core Values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mission is to “honor the gift of donation, by allowing our patients to live as full, and complete a life as possible.” Through an effective quality system, we prioritize our commitment to our patients, our donors and donor families. We aim to improve the quality of life for our patients by designing, manufacturing and distributing human tissues for transplant and medical devices that are safe, effective and meet the needs of our customers. We honor the gift of donation by enhancing our core competencies and maximizing utilization of the gift.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mission and quality policy reflect our core values of:</w:t>
      </w:r>
    </w:p>
    <w:p>
      <w:pPr>
        <w:spacing w:after="0" w:line="208" w:lineRule="exact"/>
        <w:rPr>
          <w:sz w:val="20"/>
          <w:szCs w:val="20"/>
          <w:color w:val="auto"/>
        </w:rPr>
      </w:pPr>
    </w:p>
    <w:p>
      <w:pPr>
        <w:ind w:left="900" w:hanging="29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Respect for the individual,</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Responsiveness to our customers,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Responsibility to our stakeholders.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of December 31, 2025, we had 151 employees, all of whom were full time employees, and of whom 64 were in operations, 28 were in sales and marketing, 12 in research and development and engineering, 24 in regulatory and quality affairs, and 23 were in administrative functions. In addition, we utilize various outsourced services to manage normal business cycles.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Turnover</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continually monitor employee turnover rates as our success depends upon retaining highly trained personnel. The average tenure of our employees is approximately 5 years. The average tenure of the members of our management team is approximately 7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Unions, Collective Bargaining Agreements and Work Councils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There are no unions, collective bargaining agreements or work councils representing our employees, and we believe that our relations with our employees are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Code of Conduct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Each employee agrees to follow our Code of Conduct, which is on our corporate website, and covers a wide range of business practices and procedures. Recognizing that our Code of Conduct may not address every situation our employees may encounter, other resources exist to assist our employees in their decision-making, including our management team, training and a hotline pursuant to which employees can ask questions or report issues on an anonymous basis.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Safety, Health and Wellness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are committed to maintaining a safe workplace and promoting the health and wellness of our employees. We have an employee Health &amp; Safety Committee that is comprised of employees and recommends improvements in furtherance of employee health and safety. We also have implemented multiple safety programs and regularly perform safety hazard evaluations within our manufacturing facility. We publish a monthly newsletter which features a “Health &amp; Safety Corner” that reiterates our commitment to safety, highlights actions we have taken and intend to take to improve employee safety, and provides practical advice to employees to keep them and their families safe. We monitor conditions that could lead to safety incidents and keep track of injuries through reporting systems in accordance with the laws in the jurisdictions in which we operate.</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With respect to health and wellness, we provide our employees a variety of flexible and convenient health and wellness programs designed to support their physical and mental health. These include, among others, medical, dental and vision coverage, health savings and flexible spending accounts, flexible work schedules, family leave and care resources, and an employee assistance program.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provide competitive compensation and benefits to attract and retain superior talent and to give our employees the tools to succeed both on and off the job. In addition to salaries, our compensation and benefits, typically include annual bonuses; commission programs; a 401(k) plan with employer matching opportunities; tuition assistance; and company-sponsored short-term and long-term disability, life and accidental death and dismemberment insurance, among others.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benefit plans are available to full-time employees who work 30 or more hours per week. Eligible employees may select between four medical plan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options: two preferred provider organization plans and two health savings account compatible high-deductible plans. We provide contributions to those participating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health savings account compatible plans. Additionally, we offer employees traditional and limited purpose flex savings account options. Pharmacy benefits, as well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dental, vision, life, accidental death and disability, long and short-term disability, accident, critical illness, and hospital indemnity insurance plans are available to our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employees. We also offer all full-time and part-time employees wellbeing benefits through LifeBalance and our Employee Assistance Program.</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pride ourself on offering employment arrangements that include competitive time off policies and flexibility. Our employees are eligible for paid holidays effective immediately upon hire. Paid time off is available to all corporate employees and accrue based on length of service, and sick time is available for all commercial-sales employees.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Engagement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provide all employees with the opportunity to anonymously share their opinions and feedback directly with senior management and human resources.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Submissions are analyzed to enhance the employee experience, promote retention, drive change, and leverage the overall success of our organization.</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create opportunities for connection to the Company mission through events, communications, and programs, highlighting the significance of the work being done, fostering stronger employee relationships, and showing appreciation through employee recognition.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Development and Training</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recognize that successful execution of our strategy is dependent on attracting, developing and retaining top talent in all areas of the business. We have a robust learning management system platform that includes several modules for employee development and training. In addition, we have a professional development policy intended to promote professional development opportunities and provide support to employees who want to increase the effectiveness of their performance in their current position. We encourage employees to obtain skills, knowledge and abilities which may improve their opportunities for career development within our Company and the purpose of our professional development policy is to provide our employees with the requirements for approval, time off, and reimbursement for employee training and professional development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and Inclusion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strive to create an equal opportunity and inclusive workplace in which all employees feel respected, valued and empowered to reach their full potential.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Community Engagement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Throughout the year, we encourage our employees to engage in community outreach programs and we sponsor various community organizations in the Belgrade, Montana area. As a company, we work closely with the Donate Life Community to support our industry and promote the gift of donation.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began operations in 1998 as a spin out of the Center for Biofilm Engineering at Montana State University, or the CBE, and incorporated as “Bacterin, Inc.” in the state of Montana in January 2000. Through a series of transactions and corporate events, we eventually became Bacterin International Holdings, Inc., a Delaware corporation (“Bacterin”). Bacterin’s common stock traded on the NYSE Amex, now known as the NYSE American, under the ticker symbol “BONE.” On July 31, 2015, we acquired all of the outstanding capital stock of X-spine Systems, Inc. (“X-spine”) for approximately $60 million in cash, repayment of approximately $13 million of X-spine debt, and approximately 4.24 million shares (0.4 million shares post reverse split) of Xtant common stock. As a result of this transaction, X-spine became a wholly owned subsidiary of Bacterin International Holdings, Inc. and we immediately then changed our corporate name to “Xtant Medical Holdings, Inc.” Soon thereafter, we formed a new wholly owned subsidiary, Xtant Medical, Inc., to facilitate the integration of Bacterin and X-spine. On October 15, 2015, our common stock began trading on the NYSE MKT, now known as the NYSE American, under the ticker symbol “XTNT.”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We make available, free of charge and through our Internet website, our Annual Reports on Form 10-K, Quarterly Reports on Form 10-Q, Current Reports on Form 8-K, and any amendments to any such reports filed or furnished pursuant to Section 13(a) or 15(d) of the Securities Exchange Act of 1934, as amended, as soon as reasonably practicable after we electronically file such material with, or furnish it to, the Securities and Exchange Commission (“SEC”). Reports filed with the SEC also may be viewed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We include our website throughout this report for reference only. The information contained on or connected to our website is not incorporated by reference into this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0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i w:val="1"/>
          <w:iCs w:val="1"/>
          <w:color w:val="auto"/>
        </w:rPr>
        <w:t>Our business and an investment in our common stock are subject to a variety of risks. The following risk factors describe some of the material factors that could have a material adverse effect upon our business, operating results, financial condition, prospectus, and/or the market price of our common stock. These disclosures reflect the our beliefs and opinions as to factors that could materially and adversely affect our Company and our common stock in the future. References to past events are provided by way of example only and are not intended to be a complete listing or a representation as to whether or not such factors have occurred in the past or their likelihood of occurring in the future. Many of these risks are outside of our control. If any of these risks actually occur, our business, operating results, and financial condition may be materially adversely affected. In such case, the market price of our common stock could decline and investors in our common stock could lose all or part of their investment. In addition, risks and uncertainties not currently known to us or that we currently deem to be immaterial also may adversely affect our business, operating results, financial condition, prospectus, and/or stock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This summary is not complete and should be read in conjunction with the risk factors set forth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w:t>
      </w:r>
    </w:p>
    <w:p>
      <w:pPr>
        <w:spacing w:after="0" w:line="212" w:lineRule="exact"/>
        <w:rPr>
          <w:sz w:val="20"/>
          <w:szCs w:val="20"/>
          <w:color w:val="auto"/>
        </w:rPr>
      </w:pPr>
    </w:p>
    <w:p>
      <w:pPr>
        <w:ind w:left="300" w:hanging="299"/>
        <w:spacing w:after="0" w:line="25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we generated net income for the year ended December 31, 2025, we historically have incurred significant losses, expect to continue to incur losses, and despite our focused goal to maintain profitability, we may never achieve sustained profitability.</w:t>
      </w: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recognized a significant amount of license revenue in 2025 that likely will not repeat in 2026 and thus the loss of such revenue will have an adverse impact on our 2026 revenues and other operating results, including gross margins.</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sold certain assets relating to our Coflex and CoFix products and our international business to Companion Spine, our revenue will be adversely affected in 2026.</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substantial portion of our hardware product family revenue is conducted through independent sales agents and distributors who we do not control and our revenue in this product family has declined in recent periods compared to prior periods.</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innovate, develop, introduce, market, sell and license new products and technologies, we may experience a decrease in market share or revenue if our products become obsolete, and our business and operating results would suffer.</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Biologics products are inherently difficult and time-consuming to manufacture and we may experience manufacturing issues, which could negatively impact our business and results of operations.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biologics business is highly dependent on the availability of human donors and placentas and any disruptions in their availability could harm our business.</w:t>
      </w:r>
    </w:p>
    <w:p>
      <w:pPr>
        <w:spacing w:after="0" w:line="6"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biologics products, including our OsteoVive Plus, involve a heightened inherent risk of transmission of disease, which if materialized, could adversely affect our business, operating results, financial condition, reputation and stock price.</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Persistent inflation, tariffs and supply chain disruptions could result in delayed product launches, lost revenue, higher costs and decreased profit margins.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private label and original equipment manufacturer, or OEM, channel involves risks and may be subject to significant fluctuation.</w:t>
      </w:r>
    </w:p>
    <w:p>
      <w:pPr>
        <w:spacing w:after="0" w:line="6"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prior and any future acquisitions, dispositions or business combinations involve risks, which could adversely affect our business, operating results and financial condition.</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concerning methods of tissue recovery and screening of donor tissue in our industry could reduce demand for our biologics products and impact the supply of available donor tissue.</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a limited number of third-party suppliers for products, components and raw materials.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the continued availability of our facilities.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party to product liability litigation that could be expensive.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operating results are subject to substantial fluctuations.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our net operating loss carryforwards to offset future taxable income is limited.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identified a material weakness in our internal control over financial reporting as of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Governmental Regulation</w:t>
      </w:r>
    </w:p>
    <w:p>
      <w:pPr>
        <w:spacing w:after="0" w:line="212" w:lineRule="exact"/>
        <w:rPr>
          <w:sz w:val="20"/>
          <w:szCs w:val="20"/>
          <w:color w:val="auto"/>
        </w:rPr>
      </w:pPr>
    </w:p>
    <w:p>
      <w:pPr>
        <w:ind w:left="300" w:hanging="299"/>
        <w:spacing w:after="0" w:line="257"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our suppliers fail to comply with regulations pertaining to human cells, tissues, and cellular and tissue-based products or are deemed to be biological products requiring approval of a BLA prior to being marketed, these products could be subject to withdrawal from the market or other enforcement action.</w:t>
      </w:r>
    </w:p>
    <w:p>
      <w:pPr>
        <w:ind w:left="300" w:hanging="299"/>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AATB accreditation would have a material adverse effect on us.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regulation could restrict the use of our tissue products or our procurement of tissue.</w:t>
      </w:r>
    </w:p>
    <w:p>
      <w:pPr>
        <w:spacing w:after="0" w:line="6"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operations are required to comply with the FDA’s and other governmental authorities’ laws and regulations regarding the manufacture and production of medical devices.</w:t>
      </w:r>
    </w:p>
    <w:p>
      <w:pPr>
        <w:spacing w:after="0" w:line="1"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extensive governmental regulation, including certain product approvals and clearances and healthcare fraud and abuse laws, false claims laws, and physician payment transparency laws.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8" w:name="page19"/>
    <w:bookmarkEnd w:id="18"/>
    <w:p>
      <w:pPr>
        <w:ind w:left="300" w:hanging="299"/>
        <w:spacing w:after="0" w:line="257"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Modifications to our products may require new regulatory clearances or approvals or may require us to recall or cease marketing our products until clearances or approvals are obtained.</w:t>
      </w: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our products are cleared or approved by regulatory authorities, they could be subject to restrictions or withdrawal from the market.</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misuse or off-label use of our products may harm our image in the marketplace or result in injuries that lead to product liability suits.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products cause or contribute to a death or serious injury, or malfunction in certain ways, we will be subject to reporting regulations and likely litigation.</w:t>
      </w:r>
    </w:p>
    <w:p>
      <w:pPr>
        <w:spacing w:after="0" w:line="6"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product recall or voluntary market withdrawal of a product due to defects, enhancements and modifications or other reasons would significantly increase our costs.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regulatory reforms may adversely affect our business and our ability to sell our products.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revenues depend upon prompt and adequate coverage and reimbursement from public and private insurers and national health systems.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Human Capital Management</w:t>
      </w:r>
    </w:p>
    <w:p>
      <w:pPr>
        <w:spacing w:after="0" w:line="212" w:lineRule="exact"/>
        <w:rPr>
          <w:sz w:val="20"/>
          <w:szCs w:val="20"/>
          <w:color w:val="auto"/>
        </w:rPr>
      </w:pPr>
    </w:p>
    <w:p>
      <w:pPr>
        <w:ind w:left="300" w:hanging="299"/>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staffing and are dependent upon key employees.</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dependent on a sufficient number of qualified workers, and competition for such talent is intense.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Intellectual Property</w:t>
      </w:r>
    </w:p>
    <w:p>
      <w:pPr>
        <w:spacing w:after="0" w:line="212" w:lineRule="exact"/>
        <w:rPr>
          <w:sz w:val="20"/>
          <w:szCs w:val="20"/>
          <w:color w:val="auto"/>
        </w:rPr>
      </w:pPr>
    </w:p>
    <w:p>
      <w:pPr>
        <w:ind w:left="300" w:hanging="299"/>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required to pay damages or prevented from selling our products due to intellectual property lawsuits.</w:t>
      </w:r>
    </w:p>
    <w:p>
      <w:pPr>
        <w:spacing w:after="0" w:line="22"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obtain or protect our proprietary rights relating to our products which may cause us to lose market share to our competitors and be unable to operate our business profitably.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Information Technology, Cybersecurity and Data Protection</w:t>
      </w:r>
    </w:p>
    <w:p>
      <w:pPr>
        <w:spacing w:after="0" w:line="212" w:lineRule="exact"/>
        <w:rPr>
          <w:sz w:val="20"/>
          <w:szCs w:val="20"/>
          <w:color w:val="auto"/>
        </w:rPr>
      </w:pPr>
    </w:p>
    <w:p>
      <w:pPr>
        <w:ind w:left="300" w:hanging="299"/>
        <w:spacing w:after="0" w:line="274"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various information technology systems, and failures of, interruptions to, or unauthorized tampering with those systems could have a material adverse effect on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Outstanding Indebtedness and Financial Condition</w:t>
      </w:r>
    </w:p>
    <w:p>
      <w:pPr>
        <w:spacing w:after="0" w:line="212" w:lineRule="exact"/>
        <w:rPr>
          <w:sz w:val="20"/>
          <w:szCs w:val="20"/>
          <w:color w:val="auto"/>
        </w:rPr>
      </w:pPr>
    </w:p>
    <w:p>
      <w:pPr>
        <w:ind w:left="300" w:hanging="299"/>
        <w:spacing w:after="0" w:line="257"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indebtedness that we may be unable to repay in the ordinary course of business or replace, extend or restructure if and when needed. In addition, our indebtedness may substantially limit our ability to conduct and invest in our business.</w:t>
      </w: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additional financing to satisfy our future liquidity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Common Stock</w:t>
      </w:r>
    </w:p>
    <w:p>
      <w:pPr>
        <w:spacing w:after="0" w:line="212" w:lineRule="exact"/>
        <w:rPr>
          <w:sz w:val="20"/>
          <w:szCs w:val="20"/>
          <w:color w:val="auto"/>
        </w:rPr>
      </w:pPr>
    </w:p>
    <w:p>
      <w:pPr>
        <w:ind w:left="300" w:hanging="299"/>
        <w:spacing w:after="0" w:line="257" w:lineRule="auto"/>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Funds affiliated with Nantahala Capital Management, LLC (collectively, “Nantahala”) owns a significant percentage of our common stock and is able to exert significant control over matters subject to stockholder approval.</w:t>
      </w:r>
    </w:p>
    <w:p>
      <w:pPr>
        <w:ind w:left="300" w:hanging="299"/>
        <w:spacing w:after="0"/>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our common stock are equity securities and are subordinate to our outstanding indebtedness.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 is extremely volatile.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achieve our financial guidance may adversely affect our stock price.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issue additional common stock resulting in dilution.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Risk Factors</w:t>
      </w:r>
    </w:p>
    <w:p>
      <w:pPr>
        <w:spacing w:after="0" w:line="212" w:lineRule="exact"/>
        <w:rPr>
          <w:sz w:val="20"/>
          <w:szCs w:val="20"/>
          <w:color w:val="auto"/>
        </w:rPr>
      </w:pPr>
    </w:p>
    <w:p>
      <w:pPr>
        <w:ind w:left="300" w:hanging="299"/>
        <w:spacing w:after="0"/>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several other general risk factors, including risk regarding worldwide economic instability and social unrest and other risks.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Although we generated net income for the year ended December 31, 2025, we historically have incurred significant losses, expect to continue to incur losses, and despite our focused goal to maintain profitability, we may never achieve sustained profitability.</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Although we generated net income for the year ended December 31, 2025, we have a history of incurring net losses and expect to continue to incur net losses. Our ability to maintain and achieve sustained profitability will be influenced by many factors, including, among others, the level and timing of future revenues and expenditures; development, commercialization, market acceptance and availability and supply of our products; the impact of competing technologies and market developments; our ability to develop and introduce new products; the impact of regulatory requirements and delays; the strength of our relationships with and the success of our independent sales agents and distributors; our ability to increase our OEM sales; and our ability to attract and retain key personnel. As a result, despite our focus on profitability, we may be unsuccessful and incur operating losses. These losses would likely have an adverse impact on our operating results and financial condition and likely adversely affect our stock price.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9" w:name="page20"/>
    <w:bookmarkEnd w:id="19"/>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recognized a significant amount of license revenue in 2025 that likely will not repeat in 2026 and thus the loss of such revenue will have an adverse impact on our 2026 revenues and other operating results, including gross margins.</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2025, we recognized $18.7 million in license revenue that likely will not repeat in 2026 due primarily to changes in the reimbursement environment for our SimpliMax™ product effective January 1, 2026, which changes also will adversely affect a portion of our product revenue. The loss of this license and product revenue will have an adverse impact on our 2026 revenues and other operating results, including in particular our gross margins.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Because we recently sold certain assets relating to our Coflex and CoFix products and our international hardware business to Companion Spine, our revenue will be adversely affected in 2026.</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December 1, 2025, we sold to Companion Spine certain assets relating to our Coflex and CoFix products for a total purchase price of $17.5 million, and sold Paradigm Spine GmbH, a former wholly owned subsidiary of ours that was engaged in the operation of our hardware business outside of the United States for a total purchase price of $3.9 million, inclusive of certain cash, indebtedness and net working capital adjustments. In 2025, we recognized $20.3 million in revenue from sales of our Coflex and CoFix products and international hardware products which we sold to Companion Spine. The loss of this revenue will adversely affect our 2026 revenue.</w:t>
      </w:r>
    </w:p>
    <w:p>
      <w:pPr>
        <w:spacing w:after="0" w:line="17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 substantial portion of our hardware product family revenue is conducted through independent sales agents and distributors who we do not control and our revenue from this channel has declined in recent periods compared to prior periods.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 substantial portion of our hardware product family revenue is conducted through independent sales agents and distributors. Sales from certain independent sales agents and distributors have decreased over the past quarters compared to prior quarters and no assurance can be provided that we will not be able to reverse this trend and increase future sales from this channel. Our success is partially dependent upon our ability to retain and motivate our independent sales agents and distributors, and their representatives, to sell our products in certain territories. They may not be successful in implementing our marketing plans. Some of our independent sales agents and distributors do not sell our products exclusively and may offer similar products from other companies. Our independent sales agents and distributors may terminate their contracts with us, may devote insufficient sales efforts to our products, or may focus their sales efforts on other products that produce greater commissions or revenues for them, which could have an adverse effect on our operations and operating results.</w:t>
      </w:r>
    </w:p>
    <w:p>
      <w:pPr>
        <w:spacing w:after="0" w:line="177"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addition, because the independent sales agent or distributor often controls the customer relationships (and, in certain countries outside the United States, the regulatory relationship), there is a risk that if our relationship with the independent sales agent or distributor ends, our relationship with the customer will be lost (and, in certain countries outside the United States, that we could experience delays in amending or transferring our product registrations). Also, because we do not control the independent sales agent or field sales agents of a distributor, there is a risk we will be unable to ensure that our sales processes, compliance, and other priorities will be consistently communicated and executed by the sales agent or distributor. If we fail to maintain relationships with our key independent sales agents and distributors or fail to ensure that our independent sales agent and distributors adhere to our sales processes, compliance, and other priorities, this could have an adverse effect on our operations. Changes to or turnover within our independent sales agent or distributor organization or transitions to direct selling models also could adversely affect our business if these transitions are not managed effectively. Further, independent sales agents and distributors of companies we have acquired may decide not to renew or may decide to seek to terminate, change and/or renegotiate their relationships with us. The loss of a significant number of our sales agent or distributors could have a material adverse effect on our business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0" w:name="page21"/>
    <w:bookmarkEnd w:id="20"/>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innovate, develop, introduce, market, sell and license new products and technologies, we may experience a decrease in market share or revenue if our products become obsolete, and our business and operating results would suffer.</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may be unable to compete effectively with our competitors unless we can keep up with existing or new products and technologies in the markets in which we compete. If we do not continue to innovate, develop, introduce, market, sell and license new products and technologies, or if those products and technologies are not accepted, we may not be successful. Due to limited funding, our research and development efforts and ability to develop new products have been constrained for several years, although we have increased our development of new products over the last couple of years, including in particular our amnio and other new biologics products. Research and development efforts require a substantial investment of time and resources before we are able to determine the commercial viability of a new product, technology, material, or innovation. We also may experience delays in the research and development process and the marketing and sale of new products. Demand for our products also could change in ways we may not anticipate due to, among other factors, evolving customer needs, changes in customer health insurance coverage and reimbursement policies, changing demographics, slow industry growth rates, declines in our markets, the introduction of new competing products and technologies, evolving surgical philosophies, and evolving industry standards. Additionally, our competitors’ new products and technologies may beat our products to market, may be more effective or less expensive than our products, or may render our products obsolete. It is also important that we carefully manage our introduction of new and enhanced products and technologies. If potential customers delay purchases until new or enhanced products are available, it could negatively impact our revenue. Our new products and technologies also could reduce demand for or render our existing products obsolete and thus adversely affect sales of our existing products and lead to increased expense for excess and obsolete inventory.</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Biologics products are inherently difficult and time-consuming to manufacture. In the past, we have experienced and in the future could experience manufacturing issues, which could negatively impact our business and operating results.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Biologics products are inherently difficult and time-consuming to manufacture. Our products are manufactured using technically complex processes requiring specialized equipment and facilities and highly specific raw materials. Other production constraints, including the number of processors we are able to hire, the number of clean rooms available in our facilities, and our ability to automate certain processes by implementing labor saving technology also affect the speed and extent of our production. The complexity of these processes, as well as strict company and government standards for the manufacture and storage of our products, subject us to production risks. A shortage of the number of processors or clean rooms or inadequate levels of automation may cause us to be unable to operate at full production, which in the past has and could in the future negatively impact our business and operating results.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biologics business is highly dependent on the availability of human donors and placentas. Any disruptions in the availability of donors and placentas due to regulatory changes or otherwise could cause our customers to seek alternative providers or technologies and harm our business and operating results.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mission is “to honor the gift of donation, by allowing our patients to live as full, and complete a life as possible.” Accordingly, our biologics business is highly dependent on our ability to obtain deceased human donors and placentas as the raw material for many of our biologics products. The availability of acceptable donors and placentas is relatively limited, and we compete with many other companies for this limited availability. The availability of donors and placentas is impacted by regulatory changes, Association for Advancing Tissue Biologics (formerly, American Association of Tissue Banks) requirements, general public opinion of the donor process, and our reputation for our handling of the donor process. In 2025, the FDA published draft guidance documents with recommendations to reduce the risk of transmission of disease agents associated with sepsis by human cells, tissues, and tissue-based products and recommendations to reduce the risk of transmission of Mycobacterium tuberculosis by HCT/Ps. These new guidelines, if approved, may further reduce the number of acceptable donors and increase competition for acceptable donors. A disruption in the supply of available donors and placentas could have significant consequences on our ability to meet anticipated demand for our biologics products, which would adversely affect our revenue and other operating results.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Some of our biologics products, including our OsteoVive Plus, involve a heightened inherent risk of transmission of disease, which if materialized, could adversely affect our business, operating results, financial condition, reputation and stock price.</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Our OsteoVive Plus product is a viable bone allograft produced using a proprietary method designed to preserve native bone components, including growth factors and viable cells. Similar to other viable or cellular bone matrix products, our OsteoVive Plus product contains viable cells. Although we and our third-party contractors perform rigorous donor screening and laboratory testing, viable human tissue products carry an inherent residual risk of transmitting communicable diseases, including but not limited to Human Immunodeficiency Virus (HIV), Hepatitis B and C viruses (HBV, HCV), Human T-lymphotropic virus (HTLV), treponema pallidum (syphilis), and mycobacterium tuberculosis (Mtb). Although we process and test our OsteoVive Plus product in accordance with current regulatory standards, there is no current standardized industrial screening test for tissues to detect Mtb and testing Mtb via culture or other methods does not definitively exclude the presence of tuberculosis due to the limitations of diagnostic sensitivity, specimen viability, and potential latent infection. While our OsteoVive Plus product is intended for use by qualified medical professionals who understand the risks associated with transplantation of human tissues and are responsible for recipient counseling and clinical decision-making, if Mtb were to be transmitted as a result of the use of one of our products, including our OsteoVive Plus product, this could adversely affect our relationships and reputation throughout the industry and have a material adverse effect on our business, operating results, financial condition, reputation and stock price.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1" w:name="page22"/>
    <w:bookmarkEnd w:id="21"/>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Persistent inflation, tariffs and supply chain disruptions in the past have resulted in and in the future could result in delayed product launches, lost revenue, higher costs and decreased profit margins.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Our products are manufactured and sold within the United States, which increases our exposure to domestic inflation and fuel price increases. Inflationary pressures and supply chain disruptions resulted in increased fuel, raw material and other costs in recent years. The future implementation of inflationary policies, such as tariffs, may similarly contribute to increased fuel, raw material and other costs and also may contribute to higher overall inflation. Additionally, from time to time we have experienced shortages in certain raw materials, suppliers have been unable to meet delivery schedules due to excess demand and labor shortages, and lead times have lengthened throughout our supply chain. Our efforts to mitigate supply chain weaknesses through our own vertical integration of manufacturing activities and other means may not be successful or may have unfavorable effects. For example, efforts to purchase raw materials in advance for product manufacturing may result in increased storage costs or excess supply and inventory. If our costs rise due to continuing supply chain disruptions or due to the impact of tariffs, we may not be able to fully offset such higher costs through price increases. In addition, delays in obtaining materials from our suppliers could delay product launches or result in lost opportunities to sell our products due to their unavailability. Increased costs and decreased product availability due to supply chain issues could adversely impact our revenue and/or gross margin, and could thereby harm our business,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intense competition.</w:t>
      </w:r>
    </w:p>
    <w:p>
      <w:pPr>
        <w:spacing w:after="0" w:line="212"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The markets for our products are highly competitive and subject to rapid and profound technological change. Our success depends, in part, on our ability to maintain a competitive position in the development of technologies and products for use by our customers. Many of the companies developing or marketing competitive products enjoy several competitive advantages over us, including greater financial and human resources for product development and sales and marketing; greater name recognition; established relationships with surgeons, hospitals and third-party payors; broader product lines and the ability to offer rebates or bundle products to offer greater discounts or incentives to gain a competitive advantage; and established sales and marketing and distribution networks. Our competitors may develop and patent processes or products earlier than we do, obtain regulatory clearances or approvals for competing products more rapidly than we do, develop more effective or less expensive products or technologies that render our technology or products obsolete or non-competitive, or acquire technologies and technology licenses complementary to our products or advantageous to our business, which could adversely affect our business and operating results. Not all of our sales and other personnel have non-compete agreements. We also compete with other organizations in recruiting and retaining qualified sales and management personnel, which may exacerbate the effects of labor shortages we have experienced in the past, as described elsewhere in these risk factors. If our competitors are more successful than we are in these matters, we may be unable to compete successfully against our existing or future competitors. Our industry has been subject to increasing consolidation. Consolidation in our industry not involving our Company could result in existing competitors increasing their market share through business combinations and result in stronger competitors, which could have a material adverse effect on our business, operating results and financial condition. We may be unable to compete successfully in an increasingly consolidated industry and cannot predict with certainty how industry consolidation will affect our competitors or us.</w:t>
      </w:r>
    </w:p>
    <w:p>
      <w:pPr>
        <w:spacing w:after="0" w:line="16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private label and OEM revenue channel involves risks and may be subject to significant fluctuation on a product to product basis from period to period since we typically do not have long-term purchase agreements covering these sales and our customers could decide to use other OEMs.</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expect an increasing amount of our future revenues to be derived from our private label and original equipment manufacturer, or OEM, revenue channel. This expectation is based on our ability to internally produce all products within our orthobiologics product family allowing us to make such products available on a private label and OEM basis where compelling opportunities exist. We may not be successful, however, in retaining or expanding our private label and OEM channel. Our private label and OEM channel, although not subject to commissions, generally involves lower gross margins relative to comparable products sold through our independent agent channel which, if this business increases as a percentage of our revenue, will reduce our future gross margins. In addition, our private label and OEM channel involves other additional risks. For example, we generally do not have long-term supply agreements covering our private label and OEM customers, so they could periodically decide to use other OEMs based on cost, quality, delivery time, production capacities, competitive and regulatory considerations, or other factors. Thus, revenues from our private label and OEM customers and the products we provide them are subject to significant fluctuation on a product to product basis from period to period. The success of our private label and OEM channel is dependent upon the success of our private label and OEM customers in creating demand for and selling the products that we manufacture for them. If our private label and OEM channel significantly increases, we may experience difficulties in staffing our manufacturing facility and meeting demand. Our OEM channel sales also are dependent upon adequate reimbursement and changes in such reimbursement could adversely affect future sales. For example, a portion of our 2025 OEM channel sales likely will not repeat in 2026 or future years given a change in the reimbursement environment affecting the product involved, which could adversely affect our 2026 and future revenues.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2" w:name="page23"/>
    <w:bookmarkEnd w:id="22"/>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prior acquisitions and dispositions and any future acquisitions, dispositions or business combinations we complete involve a number of risks, the occurrence of which could adversely affect our business, operating results and financial condition.</w:t>
      </w:r>
    </w:p>
    <w:p>
      <w:pPr>
        <w:spacing w:after="0" w:line="155"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In 2023, we acquired Surgalign SPV, certain assets and liabilities of Surgalign Holdings, and certain assets of RTI. In December 2025, we sold certain assets relating to our Coflex and CoFix products and our international hardware business to Companion Spine. Our ability to complete future acquisitions, dispositions and business combinations will depend, in part, on the availability of suitable acquisition candidates or buyers at acceptable prices, terms, and conditions; our ability to compete effectively for acquisition candidates or buyers; and the availability of capital and personnel to complete such acquisitions and run the acquired business effectively. Any acquisition, disposition or business combination could impair our business, operating results and financial condition. The benefits of an acquisition, disposition or business combination may take more time than expected to develop or, in the case of an acquisition, integrate into our operations, and we cannot guarantee that prior or future acquisitions, dispositions or business combinations will, in fact, produce any benefits. Acquisitions, dispositions and business combinations may involve a number of risks, the occurrence of which could adversely affect our business, operating results and financial condition, including:</w:t>
      </w:r>
    </w:p>
    <w:p>
      <w:pPr>
        <w:spacing w:after="0" w:line="166" w:lineRule="exact"/>
        <w:rPr>
          <w:sz w:val="20"/>
          <w:szCs w:val="20"/>
          <w:color w:val="auto"/>
        </w:rPr>
      </w:pPr>
    </w:p>
    <w:p>
      <w:pPr>
        <w:ind w:left="900" w:hanging="294"/>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to our existing operations and plans or the inability to effectively manage our expanded or reduced operations;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difficulties or delays in securing, integrating, developing and assimilating information, financial systems, internal controls, operations, manufacturing processes and products or the distribution channels for acquired product lines;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 of key employees, customers, distributors, or sales representatives of the acquired businesses or adverse effects on existing business relationships with suppliers, customers, distributors, and sales representatives;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impact on overall profitability and growth, including if certain acquired products cannibalize existing product offerings or if certain disposed products or revenue reduce our ability to leverage our fixed operating costs or trigger adverse tax, accounting or other consequences;</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impact on overall profitability if our operations as affected by our acquisitions and dispositions do not achieve the efficiencies, growth or other projections, net sales, earnings, cost or revenue synergies, or other financial results projected in our valuation models, delays in the realization thereof or costs or charges incurred to achieve any revenue or cost synergies;</w:t>
      </w:r>
    </w:p>
    <w:p>
      <w:pPr>
        <w:spacing w:after="0" w:line="169"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possibility of not receiving any earnout or milestone payments;</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reallocation of amounts of capital from other operating initiatives and/or an increase in our leverage and debt service requirements to pay acquisition purchase prices or other business venture investment costs or fund acquired businesses, which could in turn restrict our ability to access additional capital when needed, pursue other important elements of our business strategy or remain in compliance with the covenants under our credit agreements;</w:t>
      </w:r>
    </w:p>
    <w:p>
      <w:pPr>
        <w:spacing w:after="0" w:line="169"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infringement by acquired businesses or other business ventures of intellectual property rights of others or violation of confidentiality, intellectual property and non-compete obligations or agreements by employees of an acquired business or lack of or inadequate formal intellectual property protection mechanisms in place at an acquired business;</w:t>
      </w:r>
    </w:p>
    <w:p>
      <w:pPr>
        <w:spacing w:after="0" w:line="169"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assessment of additional post-transaction investments, undisclosed, contingent, tax or other liabilities or problems, unanticipated costs associated with an acquisition or disposition, and an inability to recover or manage such liabilities and costs;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incorrect estimates made in the accounting for acquisitions or disposition and incurrence of non-recurring charges, including restructuring charges in connection with efforts to reduce costs and streamline operations; and</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as a result of accounting adjustments, incorrect estimates made in the accounting for the acquisitions or dispositions or the potential write-off of significant amounts of goodwill or other assets as a result of deterioration in the performance of an acquired business or product line, adverse market conditions, changes in the competitive landscape, changes in laws or regulations that restrict activities of an acquired business or product line, or as a result of a variety of other circumstances, or other potential financial accounting or reporting impacts, including those resulting from the international subsidiaries we acquired from Surgalign Holdings and then subsequently sold to Companion Spine in December 2025.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3" w:name="page24"/>
    <w:bookmarkEnd w:id="23"/>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Also, some transactions may require the consent of the lenders under our credit agreements, and we cannot predict whether such consent would be forthcoming or the terms on which the lenders would approve future transactions.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These risks, among others, could be heightened if we complete a large acquisition or other business combination or multiple transactions within a relatively short period of time or, if such approvals are not obtained, could prevent us from completing acquisitions that we believe would be beneficial to our business.</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Negative publicity concerning methods of tissue recovery and screening of donor tissue in our industry could reduce demand for our biologics products and impact the supply of available donor tissue.</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Media reports or other negative publicity concerning both alleged improper methods of tissue recovery from donors and disease transmission from donated tissue could limit widespread acceptance of some of our biologics products and reduce demand for our biologics products. Unfavorable reports of improper or illegal tissue recovery practices, both in the United States and internationally, as well as incidents of improperly processed tissue leading to the transmission of disease, may broadly affect the rate of future tissue donation and market acceptance of technologies incorporating human tissue. In addition, such negative publicity could cause the families of potential donors to become reluctant to agree to donate tissue to for-profit tissue processors.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depend on a limited number of third-party suppliers for products, components and raw materials and losing any of these suppliers, or their inability to provide us with an adequate supply of materials that meet our quality and other requirements or our failure to order a sufficient supply of products, components and raw materials, could harm our business and operating results.</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Outside suppliers, some of whom are sole-source suppliers, provide us with products and raw materials and components used in manufacturing our orthobiologics and spinal implant products. We strive to maintain sufficient inventory of products, raw materials and components so that our production will not be significantly disrupted if a particular product, raw material or component is not available to us for a period of time, including as a result of a supplier’s loss of its ISO or other certification, long required lead times, or other reasons. Despite our efforts, we sometimes experience an insufficient inventory of products, raw materials and/or components. If we fail to plan our procurement accordingly or are unable to obtain sufficient quantities of raw materials and components used in manufacturing our orthobiologics and spinal implant products that meet our quality and other requirements on a timely basis for any reason, we may not produce sufficient quantities of our products to meet market demand until a new or alternative supply source is identified and qualified and, as a result, we could lose sales and customers, our reputation could be harmed, and our business could suffer. Furthermore, an uncorrected defect or supplier’s variation in a component or raw material that is incompatible with our manufacturing, unknown to us, could harm our ability to manufacture products.</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Although we believe there are alternative supply sources, replacing our suppliers may be impractical or difficult in many instances. For example, we could have difficulty obtaining similar products from other suppliers that are acceptable to the FDA or other foreign regulatory authorities. In addition, if we are required to transition to new suppliers for certain components or raw materials of our products, the use of components or materials furnished by these alternative suppliers could require us to alter our operations, and if we are required to change the manufacturer of a critical component of our products, we will have to verify that the new manufacturer maintains facilities, procedures and operations that comply with our quality and applicable regulatory requirements, which could further impede our ability to manufacture our products in a timely manner. Transitioning to a new supplier could be time-consuming and expensive, may result in interruptions in our operations and product delivery, could affect the performance specifications of our products or could require that we modify the design of those systems.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highly dependent on the continued availability of our facilities and would be harmed if they were unavailable for any prolonged period of time.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Any failure in the physical infrastructure of our facilities could lead to significant costs and disruptions that could reduce our revenues and harm our business, operating results, and reputation. We are highly reliant on our Belgrade, Montana facilities. Any natural or man-made event that impacts our ability to utilize these facilities could have a significant impact on our operating results, reputation and ability to continue operations. The regulatory process for approval of facilities is time-consuming and our ability to rebuild facilities would take a considerable amount of time and expense and cause a significant disruption in service to our customers. Further, the FDA or some other regulatory agency could identify deficiencies in future inspections of our facilities or our supplies that could disrupt our business and harm our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party to product liability litigation that could be expensive, and our insurance coverage may not be adequate in a catastrophic situation.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manufacture and sale of medical devices and biologics expose us to significant risk of product liability claims, which are made against us from time to time. We may incur material liabilities relating to product liability claims, including product liability claims arising out of the use of our products, if the liabilities exceed or are not covered under our insurance program. No assurance can be provided that any amounts that we may be required to pay to resolve such matters in the future will be within our insurance limits.</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also could experience a material design or manufacturing failure in our products, a quality system failure, other safety issues, or heightened regulatory scrutiny that would warrant a recall of some of our products. Product liability lawsuits and claims, safety alerts and product recalls, regardless of their ultimate outcome, could result in decreased demand for our products, injury to our reputation, significant litigation and other costs, substantial monetary awards to or costly settlements with patients, product recalls, loss of revenue, increased regulatory scrutiny, and the inability to commercialize new products or product candidates, and otherwise have a material adverse effect on our business and reputation and on our ability to attract and retain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operating results are subject to substantial fluctuations, and you should not rely on them as an indication of our annual or future results.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quarterly revenue and operating results have varied and in the future may vary significantly, and period-to-period comparisons of our results of operations are not necessarily meaningful and should not be relied upon as indications of our annual results or future performance. Any shortfalls in revenue or earnings from levels expected by industry analysts or investors, as a result of such quarterly fluctuations or otherwise, could have an immediate and significant adverse effect on the market price of our common stock in any given period. Our quarterly operating results may vary significantly due to a combination of factors, many of which are beyond our control. These factors include, among others:</w:t>
      </w:r>
    </w:p>
    <w:p>
      <w:pPr>
        <w:spacing w:after="0" w:line="176" w:lineRule="exact"/>
        <w:rPr>
          <w:sz w:val="20"/>
          <w:szCs w:val="20"/>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our products;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inflation, increased interest rates and other recessionary indicators and supply chain disruptions;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competition;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timing, and significance of new products and product introductions and enhancements by us and our competitors;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introduce, and market new and enhanced versions of our products on a timely basis;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or failure to obtain regulatory clearances or approvals for our products;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pricing policies by us and our competitors;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treatment practices of our customers;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independent sales representative or distributor relationships and sales force size and composition;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material expense- or income-generating events and the related recognition of their associated financial impact;</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mix of products sold in the quarter and the geographies in which they are sold;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selling days;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components and materials;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orders and shipments;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obtain reimbursement for our products and the timing of patients’ use of their calendar year medical insurance deductibles;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stoppages or strikes in our industry;</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labor and staffing shortages at hospitals and other medical facilities on the number of elective procedures in which our products are used as well as global and local labor shortages and loss of personnel;</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acquisitions, dispositions, business combinations and license agreements;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5" w:name="page26"/>
    <w:bookmarkEnd w:id="25"/>
    <w:p>
      <w:pPr>
        <w:ind w:left="900" w:hanging="294"/>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FDA and foreign governmental regulatory policies, requirements, and enforcement practices;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estimates, and treatments;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impairment, and other special charges;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pending and any future litigation;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cost of sales due to the amount and timing of excess and obsolete inventory charges and manufacturing variances;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fluctuations and changes in tax rules;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social and other external factors;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of interest rates, which can increase the cost of borrowings under our credit agreements and generally affect the level of economic activity.</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strive to maintain a sufficient inventory of products, raw materials and components so that our production and revenues will not be significantly disrupted, especially with respect to new products. This practice, however, consumes a significant amount of our resources, reduces our cash flows, and in the past has led to, and in the future could lead to, inventory impairment charges.</w:t>
      </w:r>
    </w:p>
    <w:p>
      <w:pPr>
        <w:spacing w:after="0" w:line="16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A feature of our orthopedic hardware and implant business is the high level of product inventory required, some of which is located at customer premises and is available for customers’ immediate use (referred to as consignment inventory). Complete sets of products, including large and small sizes, have to be made available for customers; and often, certain sizes are used less frequently than standard sizes and towards the end of the product life cycle are inevitably in excess of requirements. Under applicable accounting rules, we are required to review and make adjustments to the carrying value of our inventory to anticipate this situation. We typically calculate such adjustments in accordance with a formula based on levels of inventory compared with historical and forecast usage and apply this formula on an individual product line basis, typically after a product group has been on the market for two years. While we believe based on our experience that this method of calculation is appropriate in most circumstances under applicable accounting rules, it involves management judgments on forecasted sales, effectiveness of inventory deployment, length of product lives, phase-out of old products, and efficiency of manufacturing planning systems. In the event a substantial portion of our inventory becomes obsolete, the resulting costs associated with the inventory impairment charges and costs required to replace such inventory could have a material adverse effect on our operating results and cash flows. In addition, as we introduce new products, new implant and instrument sets may be required, with a significant initial investment required to accommodate the launch of the product. If we overestimate the projected future sales of the new product or if the launch of the new product is not successful, we may be required to record inventory impairment charges, which could be significant. For example, during fourth quarter of 2025, we recorded a $1.3 million charge related to excess and obsolete inventory associated with the launch of our Cortera® Fixation System, which was launched in the second half of 2024. Depending upon future sales of this product and other new products we may launch, we may be required to record additional excess and obsolete inventory charges, which would adversely impact our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other tax attributes to offset future taxable income is limited.</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At December 31, 2025, we had total domestic federal and state net operating loss carryovers of approximately $34.1 million and $36.7 million, respectively. Federal net operating losses generated prior to 2018 and state net operating loss carryovers expire at various dates between 2026 and 2045. Federal net operating losses generated after 2017 have an indefinite carryforward and are only available to offset 80% taxable income beginning in 2021. Foreign net operating losses begin expiring in 2026.</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Section 382 of the Internal Revenue Code of 1986, as amended (“Code”), imposes restrictions on the use of a corporation’s net operating losses, as well as other tax attributes including capital loss carryforwards and other losses and credits, after an “ownership change” occurs. A Section 382 “ownership change” occurs if one or more stockholders or groups of stockholders who own at least 5% of our stock (including certain “public groups” deemed created for Section 382 purposes) increase their ownership by more than 50 percentage points over their lowest ownership percentage within a rolling three-year period. When an “ownership change” occurs, Section 382 imposes an annual limit on the amount of pre-change net operating losses and other tax attributes we can use to reduce our taxable income generally equal to the product of the total value of our outstanding equity immediately prior to the “ownership change” (subject to certain adjustments) multiplied by the applicable federal long-term tax-exempt interest rate for the month of the “ownership change.”</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have completed studies to assess whether ownership changes, as defined by Section 382 of the Code, have occurred from our formation through December 31, 2025. Based upon these studies, we determined that an ownership change occurred during 2018 and again in 2025. Accordingly, we reduced our deferred tax assets related to the federal net operating loss carryforwards that are anticipated to expire unused as a result of these ownership changes. These tax attributes were excluded from deferred tax assets with a corresponding reduction of the valuation allowance with no net effect on income tax expense or the effective tax rate. Future ownership changes may further limit our ability to utilize our remaining tax attributes. Any future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identified a material weakness in our internal control over financial reporting as of December 31, 2025, and cannot provide assurances that this weakness will be effectively remediated or that additional material weaknesses will not occur in the future.</w:t>
      </w:r>
    </w:p>
    <w:p>
      <w:pPr>
        <w:spacing w:after="0" w:line="155"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If our internal control over financial reporting or disclosure controls and procedures are not effective, we may not be able to accurately report our consolidated financial results, which may cause investors to lose confidence in our reported financial information and may lead to a decline in our stock price. Our management is responsible for establishing and maintaining adequate internal control over our financial reporting, as defined in Rule 13a-15(f) under the Exchange Act, which is designed to provide reasonable assurance regarding the reliability of financial reporting and the preparation of financial statements for external purposes in accordance with U.S.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generally accepted accounting principles, and that our receipts and expenditures are being made only in accordance with authorizations of management and directors of the Company; and (iii) provide reasonable assurance regarding prevention or timely detection of unauthorized acquisition, use, or disposition of our assets that could have a material effect on the financial statements.</w:t>
      </w:r>
    </w:p>
    <w:p>
      <w:pPr>
        <w:spacing w:after="0" w:line="168"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We identified certain control deficiencies in the design and implementation of our internal control over financial reporting as of December 31, 2025, which constitute a material weakness.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More specifically, our controls surrounding our evaluation of inventory net realizable value were insufficient and did not operate at an appropriate level of precision. Our review and evaluation of inventory failed to identify specific items not assessed for net realizable value under our existing control, which constitutes material weakness as of December 31, 2025. While we are taking steps to remediate the material weakness, we cannot provide any assurance that such remedial measures, or any other</w:t>
      </w:r>
    </w:p>
    <w:p>
      <w:pPr>
        <w:sectPr>
          <w:pgSz w:w="11900" w:h="16838" w:orient="portrait"/>
          <w:cols w:equalWidth="0" w:num="1">
            <w:col w:w="11240"/>
          </w:cols>
          <w:pgMar w:left="320" w:top="653" w:right="339" w:bottom="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7"/>
          <w:szCs w:val="17"/>
          <w:color w:val="auto"/>
        </w:rPr>
        <w:t>remedial measures we take, will be effective. If we fail to maintain effective internal control over financial reporting, we may not be able to accurately report our financial results, which may, among other adverse consequences, cause investors to lose confidence in our reported financial information and lead to a decline in our stock price. In addition, a material weakness will not be considered remediated until the applicable controls operate for a sufficient period of time and management has concluded, through testing, that these controls are designed and operating effectively.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Risks Related to Governmental Regulation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If we or our suppliers fail to comply with regulations pertaining to human cells, tissues, and cellular and tissue-based products or if any of our cellular or tissue-based products are deemed to be biological products requiring approval of a BLA, drug products requiring approval of a new drug application (“NDA”) or medical devices requiring clearance, authorization or approval prior to being marketed, these products could be subject to withdrawal from the market or other enforcement action.</w:t>
      </w:r>
    </w:p>
    <w:p>
      <w:pPr>
        <w:spacing w:after="0" w:line="17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Certain of our products are regulated as HCT/Ps. Section 361 of the PHSA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current Good Tissue Practice (“cGTPs”), when processing, storing, labeling, and distributing HCT/Ps, including required labeling information, stringent record keeping, and adverse event reporting, among other applicable requirements and laws. The FDA regulations also have additional requirements that address sub-contracted tissue services, tracking, and donor records review. If a tissue-based product is considered human tissue, the FDA requirements focus on preventing the introduction, transmission and spread of communicable diseases. A product regulated solely as a 361 HCT/P is not required to undergo 510(k) premarket clearance, de novo classification or PMA nor approval of a BLA or NDA.</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FDA may inspect facilities engaged in manufacturing 361 HCT/Ps and may issue untitled letters, warning letters, or otherwise authorize orders of retention, recall, destruction and cessation of manufacturing if the FDA has reasonable grounds to believe that an HCT/P or the facilities where it is manufactured are in violation of applicable regulations. There also are requirements relating to the import of HCT/Ps that allow the FDA to make a decision as to the HCT/Ps’ admissibility into the United States.</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An HCT/P is eligible for regulation solely as a 361 HCT/P if it is: (i) minimally manipulated; (ii) intended for homologous use as reflected by labeling, advertising or other indications of the manufacturer’s objective intent; (iii) the manufacture does not involve the combination of the HCT/P with another article, except for water, crystalloids or a sterilizing, preserving, or storage agent (not raising new clinical safety concerns for the HCT/P); and (iv) it does not have a systemic effect and is not dependent upon the metabolic activity of living cells for its primary function or, if it has a systemic effect or is dependent upon the metabolic activity of living cells for its primary function, it is intended for autologous use or allogeneic use in a first or second degree relative or for reproductive use. If any of these requirements are not met, then the HCT/P is also subject to applicable biologic, device, or drug regulation under the FDCA or the PHSA. These biologic, device or drug HCT/Ps must comply with the requirements exclusively applicable to 361 HCT/Ps and, in addition, with requirements applicable to biologics under the PHSA and FDCA, or devices or drugs under the FDCA, including licensure, clearance or approval, as the case may be.</w:t>
      </w:r>
    </w:p>
    <w:p>
      <w:pPr>
        <w:spacing w:after="0" w:line="18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Over the course of several years, the FDA issued regulations that address manufacturer activities associated with HCT/Ps. The first requires that companies that manufacture HCT/Ps register with the FDA. This set of regulations also includes the criteria that must be met in order for the HCT/P to be eligible for regulation solely under Section 361 of the PHSA and the regulations in 21 CFR Part 1271, rather than under the drug or device provisions of the FDCA or the biological product licensing provisions of the PHSA. The second set of regulations provides criteria that must be met for donors to be eligible to donate tissues and is referred to as the “Donor Eligibility” rule. The third rule governs the processing and distribution of the tissues and is often referred to as the cGTP rule. The cGTP rule covers all stages of allograft processing, from procurement of tissue to distribution of final allografts. Together these regulations are designed to ensure that sound, high quality practices are followed to reduce the risk of tissue contamination and of communicable disease transmission.</w:t>
      </w:r>
    </w:p>
    <w:p>
      <w:pPr>
        <w:spacing w:after="0" w:line="177"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At the time they came into effect approximately 20 years ago, these regulations increased regulatory scrutiny within the industry in which we operate and have led to increased enforcement action which affects the conduct of our business. In addition, these regulations can increase the cost of tissue recovery activities. The FDA periodically inspects tissue processors to determine compliance with these requirements. Allegations of violations of applicable regulations noted by the FDA during facility inspections could adversely affect the continued marketing of our products. We believe we comply with all aspects of 21 CFR Part 1271 that we are required to comply with, although there can be no assurance that we will be deemed by FDA to be in compliance. Entities that provide us with allograft bone tissue are responsible for performing donor recovery, donor screening and donor testing and our compliance with those aspects of the cGTP regulations that regulate those functions are dependent upon the actions of these independent entities. If our suppliers fail to comply with applicable requirements, our products and our business could be negatively affected. If the FDA determines that we have failed to comply with applicable regulatory requirements, it can impose a variety of regulatory actions, or enforcement actions from public warning letters, fines, injunctions, consent decrees and civil penalties to suspension or delayed issuance of approvals, seizure of our products, total or partial shutdown of our production, withdrawal of approvals, and criminal prosecutions. If any of these events were to occur, it could materially adversely affect us.</w:t>
      </w:r>
    </w:p>
    <w:p>
      <w:pPr>
        <w:spacing w:after="0" w:line="18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addition, the FDA could disagree with our conclusion that one or more of our HCT/Ps meet the criteria for marketing solely under Section 361 of the PHSA, and therefore that one or more of the HCT/Ps require licensure, approval or clearance of a marketing application. The FDA could conclude that the tissue is more than minimally manipulated, that the product is intended for a non-homologous use, that the product is combined with another article, or that the product has a systemic effect or is dependent on the metabolic activity of living cells for its primary function. The FDA could also determine that a modification to an HCT/P makes it ineligible for regulation solely as a 361 HCT/P. If the FDA were to draw these conclusions, it would likely require clinical studies conducted pursuant to an investigational new drug application (“IND”) or Investigation Device Exemption (“IDE”) and the submission and licensure, approval, authorization, or clearance of a marketing application in order for us to continue to market the product. Such an action by the FDA could cause negative publicity, decreased or discontinued product sales, and significant expense in obtaining required marketing licensure, approval, authorization, or clearance.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8" w:name="page29"/>
    <w:bookmarkEnd w:id="28"/>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Other regulatory entities with authority over our products and operations include state agencies enforcing statutes and regulations covering tissue banking. Regulations issued by Florida, New York, California, Colorado, Georgia and Maryland are particularly relevant to our business. Most states do not currently have tissue banking regulations. It is possible that others may make allegations against us or against donor recovery groups or tissue banks about non-compliance with applicable FDA regulations or other relevant statutes or regulations. Allegations like these could cause regulators or other authorities to take investigative or other action or could cause negative publicity for our business and the industry in which we operate.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of AATB accreditation would have a material adverse effect on us.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are accredited with the Association for Advancing Tissue and Biologics (formerly American Association of Tissue Banks), a private non-profit organization that accredits tissue banks and sets industry standards. Although AATB accreditation is voluntary and not required by law, as a practical matter, many of our customers would not purchase our products if we failed to maintain our AATB accreditation. Although we make every effort to maintain our AATB accreditation, the accreditation process is somewhat subjective and lacks regulatory oversight. There can be no assurance that we will continue to remain accredited with the AATB and any loss of our AATB accreditation would adversely affect our business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governmental regulation could restrict the use of our tissue products or our procurement of tissue.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the United States, the procurement and transplantation of allograft bone tissue is subject to federal law pursuant to the National Organ Transplant Act (“NOTA”), a criminal statute which prohibits the purchase and sale of human organs used in human transplantation, including bone and related tissue, for “valuable consideration.” NOTA permits reasonable payments associated with the removal, transportation, processing, preservation, quality control, implantation and storage of human bone tissue. We provide services in all of these areas in the United States, with the exception of removal and implantation, and receive payments for all such services. We make payments to certain of our clients and tissue banks for their services related to recovering allograft bone tissue on our behalf. If NOTA is interpreted or enforced in a manner which prevents us from receiving payment for services we render, or which prevents us from paying tissue banks or certain of our clients for the services they render for us, our business could be materially and adversely affected.</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are engaged through our marketing employees, independent sales agents and sales representatives in ongoing efforts designed to educate the medical community as to the benefits of our products, and we intend to continue our educational activities. Although we believe that NOTA permits payments in connection with these educational efforts as reasonable payments associated with the processing, transportation and implantation of our products, payments in connection with such education efforts are not exempt from NOTA’s restrictions and our inability to make such payments in connection with our education efforts may prevent us from paying our sales representatives for their education efforts and could adversely affect our business and prospects. No federal agency or court has determined whether NOTA is, or will be, applicable to every allograft bone tissue-based material which our processing technologies may generate. Assuming that NOTA applies to our processing of allograft bone tissue, we believe that we comply with NOTA, but there can be no assurance that more restrictive interpretations of, or amendments to, NOTA will not be adopted in the future, which would call into question one or more aspects of our method of operations.</w:t>
      </w:r>
    </w:p>
    <w:p>
      <w:pPr>
        <w:spacing w:after="0" w:line="18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May 2025, the FDA published a draft guidance document, which when finalized would contain recommendations to reduce the risk of transmission of Mycobacterium tuberculosis by HCT/Ps. If finalized, this guidance would identify Mtb as a relevant communicable disease agent or disease (“RCDAD”) and provide recommendations for tissue banks for screening and testing of donors for Mtb prior to processing. The impact of this change would dramatically slow down the production of our viable bone matrix products. We currently employ several actions to mitigate potential Mtb exposure, including a comprehensive review of the donor’s medical and social history. In addition, we have validated a post-processing Mtb test of our viable bone matrix products. Unless and until this draft guidance is finalized, Mtb is not an RCDAD, and we can rely on our processes for mitigating Mtb exposure. If this guidance is finalized, the FDA will expect compliance with the regulatory requirements for donor screening and testing for Mtb as an RCDAD and may take enforcement action in the event of noncompliance.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9" w:name="page30"/>
    <w:bookmarkEnd w:id="29"/>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manufacturing operations are required to comply with the FDA’s and other governmental authorities’ laws and regulations regarding the manufacture and production of medical devices, which is costly and could subject us to enforcement action.</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and certain of our third-party manufacturers and suppliers are required to comply with the FDA’s current Good Manufacturing Practices requirements the Quality Management System Regulation, which covers, among other things, the methods of documentation of the design, testing, production, control, quality assurance, labeling, packaging, sterilization, storage and shipping of our products. We and certain of our suppliers also are subject to the regulations of foreign jurisdictions regarding the manufacturing process for our products marketed outside of the United States. The FDA enforces the QMSR through periodic announced (routine) and unannounced (for cause or directed) inspections of manufacturing facilities. The failure by us or one of our third-party manufacturers or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77" w:lineRule="exact"/>
        <w:rPr>
          <w:sz w:val="20"/>
          <w:szCs w:val="20"/>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untitled letters, warning letters, fines, injunctions, consent decrees, disgorgement of profits, criminal and civil penalties;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notifications or repair, replacement, refunds, recall, detention or seizure of our products;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or delaying our requests for 510(k) clearance, de novo authorization, or PMA approval of new products or modified products;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withdrawing 510(k) clearances, de novo authorizations, or PMAs that have already been granted;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grant export certificates for our products; or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Any of these actions could impair our ability to produce our products in a cost-effective and timely manner in order to meet our customers’ demands. We also may be required to bear other costs or take other actions that may have a negative impact on our future revenue and other operating results.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our products cause or contribute to a death or serious injury, or malfunction in certain ways, we will be subject to reporting regulations, which can result in voluntary corrective actions or agency or other governmental enforcement actions.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Under the FDA’s reporting regulations applicable to HCT/Ps, we are required to report all adverse reactions involving a communicable disease if it is fatal, life threatening, results in permanent impairment of a body function or permanent damage to body structure, or necessitates medical or surgical intervention, including hospitalization. Under the FDA medical device reporting regulations and similar foreign governmental regulations, medical device manufacturers are required to report to the FDA or other governmental agencies information that a device has or may have caused or contributed to a death or serious injury or has malfunctioned in a way that would likely cause or contribute to a death or serious injury if the malfunction of the device or one of our similar devices were to recur. If we fail to report these events to the FDA within the required timeframes, or at all, the FDA could take enforcement action against us. Any such adverse event involving our products also could result in future voluntary corrective actions, such as recalls or customer notifications, or agency action, such as mandatory recalls, destruction, cessation of manufacturing, inspection or other enforcement action. Any corrective action, whether voluntary or involuntary, as well as defending ourselves in a lawsuit, would require the dedication of our time and capital, distract management from operating our business, and may harm our reputation and financial results. We are currently subject to certain product liability litigation, which could harm our business, financial condition or results of operations, especially if this litigation requires payments in amounts that exceed our product liability insurance coverage.</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Any future product recall or voluntary market withdrawal of a product due to defects, enhancements and modifications or other reasons would significantly increase our costs.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FDA and similar foreign governmental authorities have the authority to require the recall of commercialized products.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or for other reasons. A government-mandated or voluntary recall by us or one of our distributors could occur as a result of, among other things, component failures, manufacturing errors, design or labeling defects or other deficiencies and issues. Recalls of any of our products would divert managerial and financial resources and could have an adverse effect on our financial condition and results of operations. The FDA requires that certain recalls undertaken to reduce a risk to health be reported to the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In addition, the FDA could take enforcement action for failing to report the recalls when they were conducted.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extensive regulation, including requirements for regulatory clearances, authorizations, or approvals prior to commercial distribution of our products. If we fail to maintain regulatory clearances, authorizations, and approvals, or are unable to obtain, or experience significant delays in obtaining, FDA clearances, authorizations, or approvals for our future products or product enhancements, our ability to commercially distribute and market these products could suffer.</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products and operations are subject to extensive regulation by the FDA and various other federal, state and foreign governmental authorities.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Government regulation of our products is meant to ensure their safety and effectiveness, and may include regulation of, among other things:</w:t>
      </w:r>
    </w:p>
    <w:p>
      <w:pPr>
        <w:spacing w:after="0" w:line="192" w:lineRule="exact"/>
        <w:rPr>
          <w:sz w:val="20"/>
          <w:szCs w:val="20"/>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development and manufacturing;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labeling, packaging, content and language of instructions for use, and storage;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premarket clearance, authorization and approval;</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sales and distribution (including making product claims);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advertising and promotion;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modifications;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recordkeeping procedures;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of corrections, removals, enhancements, recalls and field corrective actions;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surveillance, including reporting of deaths or serious injuries and malfunctions that, if they were to recur, could lead to death or serious injury;</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the federal law and regulations requiring Unique Device Identifiers (“UDI”) on devices and their labeling and also requiring the submission of certain information about each device to FDA’s Global Unique Device Identification Database (“GUDID”); and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import and export.</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While a product regulated solely as a 361 HCT/P is not required to undergo 510(k) premarket clearance, de novo classification or PMA, before a new medical device, including most of our hardware products, or a new use of, or claim for, an existing product can be marketed in the United States, it must first receive either premarket clearance under Section 510(k) of the FDCA, a de novo classification or a PMA from the FDA, unless an exemption applies. The process of obtaining regulatory clearances, authorizations, or approvals to market a medical device can be costly and time-consuming, and we may not be able to obtain these clearances, authorizations or approvals on a timely basis, if at all. Most of our currently commercialized hardware products have received premarket clearances under Section 510(k) of the FDCA. In the future, the FDA may determine that more of our products will require the more costly, lengthy and uncertain de novo or PMA processes. In the process of obtaining PMA, the FDA must determine that there is a reasonable assurance that a proposed device is safe and effective for its intended use based, in part, on extensive data, including, but not limited to, technical, pre-clinical, clinical study, manufacturing and labeling data. The PMA process is typically required for devices that are deemed to pose the greatest risk, such as life-sustaining, life-supporting or implantable devices. If the FDA requires us to go through the PMA or de novo process for future products or modifications to existing products, our product introductions or modifications could be delayed or canceled, which could adversely affect our revenue. Additionally, we cannot assure you that we will be able to obtain the required clearances, authorizations, or approvals with respect to future products.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FDA can delay, limit or deny clearance, authorization or approval of a device for many reasons, including:</w:t>
      </w:r>
    </w:p>
    <w:p>
      <w:pPr>
        <w:spacing w:after="0" w:line="208" w:lineRule="exact"/>
        <w:rPr>
          <w:sz w:val="20"/>
          <w:szCs w:val="20"/>
          <w:color w:val="auto"/>
        </w:rPr>
      </w:pPr>
    </w:p>
    <w:p>
      <w:pPr>
        <w:ind w:left="900" w:hanging="294"/>
        <w:spacing w:after="0" w:line="274"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demonstrate to the FDA’s satisfaction that our products meet the standard of “substantial equivalence” for a 510(k) or meet the standard for the FDA to grant a request for de novo authorization;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1" w:name="page32"/>
    <w:bookmarkEnd w:id="31"/>
    <w:p>
      <w:pPr>
        <w:ind w:left="900" w:hanging="294"/>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demonstrate to the FDA’s satisfaction that our products are safe and effective for their intended uses;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from our pre-clinical studies (bench and/or animal) and clinical trials may be insufficient to support clearance, authorization, or approval in general or for specific, commercially desirable indications, where required;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manufacturing process or facilities we use may not meet applicable requirements;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FDA clearance, authorization, or approval policies or the adoption of new regulations may require additional data.</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even if we do obtain clearance, authorization, or approval, the FDA may not approve, authorize, or clear these products for the indications that are necessary or desirable for successful commercialization. Any delay in, or failure to receive or maintain, clearances, authorizations, or approvals for our products under development could prevent us from generating revenue from these products or achieving profitability.</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subject, directly and indirectly, to federal and state healthcare fraud and abuse laws, false claims laws, and physician payment transparency laws. Failure to comply with these laws may subject us to substantial penalties.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are subject to federal and state healthcare laws and regulations pertaining to fraud and abuse, and physician payment transparency, including false claims laws, anti-kickback laws and physician self-referral laws. Many states require compliance with different types of pricing transparency requirements such as having a code of conduct, as well as reporting remuneration paid to health care professionals or entities in a position to influence prescribing behavior. Violations of these federal and state laws can result in criminal and/or civil punishment, including fines, imprisonment and, in the United States, exclusion from participation in government healthcare programs. Greater scrutiny of marketing practices in our industry has resulted in numerous government investigations, prosecutions and settlements by various government authorities and this industry-wide enforcement activity is expected to continue. If a governmental authority were to determine that we do not comply with these laws and regulations, the Company and our directors, officers and employees could be subject to criminal and civil penalties, including exclusion from participation in U.S. federal healthcare reimbursement programs.</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Many of these healthcare laws inevitably influence company standards of conduct. Other laws tie into these standards as well, such as compliance with the advertising and promotion regulations under the FDCA, the U.S. Federal Anti-Kickback Statute, the Federal False Claims Act, the Federal Physician Payments Sunshine Act and other laws. We use many distributors and independent sales representatives in certain territories and thus rely upon their compliance with applicable laws and regulations, such as with the advertising and promotion regulations or similar laws under countries located outside the United States and other applicable federal, state or international laws. These laws include:</w:t>
      </w:r>
    </w:p>
    <w:p>
      <w:pPr>
        <w:spacing w:after="0" w:line="176" w:lineRule="exact"/>
        <w:rPr>
          <w:sz w:val="20"/>
          <w:szCs w:val="20"/>
          <w:color w:val="auto"/>
        </w:rPr>
      </w:pPr>
    </w:p>
    <w:p>
      <w:pPr>
        <w:jc w:val="both"/>
        <w:ind w:left="900" w:hanging="294"/>
        <w:spacing w:after="0" w:line="251"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U.S. Federal False Claims Act; this may constrain our marketing practices and those of our independent sales agencies, educational programs, pricing, bundling and rebate policies, grants for physician-initiated trials and continuing medical education, and other remunerative relationships with healthcare providers;</w:t>
      </w:r>
    </w:p>
    <w:p>
      <w:pPr>
        <w:spacing w:after="0" w:line="180"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false claims laws (such as the U.S. Federal False Claims Act) which prohibit, among other things, individuals or entities from knowingly presenting, or causing to be presented, claims seeking payment from Medicare, Medicaid or other federal-funded third-party payors that are false or fraudulent; this may impact the reimbursement advice we give to our customers as it cannot be inaccurate and must relate to on-label uses of our products;</w:t>
      </w:r>
    </w:p>
    <w:p>
      <w:pPr>
        <w:spacing w:after="0" w:line="174"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criminal laws that prohibit executing a scheme to defraud any federal healthcare benefit program or making false statements relating to healthcare matters;</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52"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and requires applicable manufacturers and group purchasing organizations to report annually to CMS ownership and investment interests held by the physicians described above and their immediate family members and payments or other “transfers of value” to such physician owners. We are also required to collect information on payments or transfers of value to physician assistants, nurse practitioners, clinical nurse specialists, certified registered nurse anesthetists, and certified nurse-midwives for reporting to CMS;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2" w:name="page33"/>
    <w:bookmarkEnd w:id="32"/>
    <w:p>
      <w:pPr>
        <w:jc w:val="both"/>
        <w:ind w:left="900" w:hanging="294"/>
        <w:spacing w:after="0" w:line="252"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 equivalents of each of the above federal laws, such as state anti-kickback prohibitions and false claims prohibitions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and federal law in significant ways and may not have the same effect, thus complicating compliance efforts; and</w:t>
      </w:r>
    </w:p>
    <w:p>
      <w:pPr>
        <w:spacing w:after="0" w:line="177" w:lineRule="exact"/>
        <w:rPr>
          <w:rFonts w:ascii="Times New Roman" w:cs="Times New Roman" w:eastAsia="Times New Roman" w:hAnsi="Times New Roman"/>
          <w:sz w:val="17"/>
          <w:szCs w:val="17"/>
          <w:color w:val="auto"/>
        </w:rPr>
      </w:pPr>
    </w:p>
    <w:p>
      <w:pPr>
        <w:jc w:val="both"/>
        <w:ind w:left="900" w:hanging="294"/>
        <w:spacing w:after="0" w:line="285" w:lineRule="auto"/>
        <w:tabs>
          <w:tab w:leader="none" w:pos="9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Health Insurance Portability and Accountability Act of 1996 (“HIPAA”), and its implementing regulations, which created federal criminal laws that prohibit executing a scheme to defraud any healthcare benefit program or making false statements relating to healthcare matters and which also imposes certain regulatory and contractual requirements regarding the privacy, security and transmission of individually identifiable health information.</w:t>
      </w:r>
    </w:p>
    <w:p>
      <w:pPr>
        <w:spacing w:after="0" w:line="15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Certain of these laws have exceptions and “safe harbors” which if met may protect certain arrangements from liability. For example, certain financial payments that might otherwise implicate the Federal Anti-Kickback Statute will be permitted under the state if they are structured to comply with one of various statutory exceptions or regulatory safe harbors established by the Office of Inspector General of the U.S. Department of Health and Human Services. These safe harbors include, for example, the “Discount” safe harbor which allows manufacturers of goods covered by federal payor programs to provide discounts to their customers in the form of rebates, volume discounts and the like as long as those discounts meet the express requirements of the safe harbor. Other safe harbors under the Anti-Kickback Statute may also apply to consulting, teaching and other personal service arrangements we may have with physicians and marketing personnel. These safe harbors are technical in nature and failure to meet any element of a safe harbor will cause an arrangement to lose safe harbor protection. In addition, there may not be safe harbors or exceptions for every potential financial arrangement we may enter into and, and even if there are, no assurances can be given that any of our arrangements or relationships will meet an otherwise applicable safe harbor.</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under such laws, it is possible that some of our business activities, including our relationships with customers, marketing personnel, physicians and other healthcare providers, some of whom have or may have ownership interests in the Company and recommend and/or use our products, could be subject to challenge under one or more of such laws. We are also exposed to the risk that our employees, independent contractors, principal investigators, consultants, vendors, and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or other commercial or regulatory laws or requirements.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7"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In addition, state and federal healthcare regulations are constantly evolving. Existing laws and regulations are subject to new and sometimes more restrictive interpretations on a regular basis so that arrangements we believe to be legally compliant could be deemed to be non-compliant under new interpretations. Similarly, new federal and state health care laws and regulations are being adopted on a regular basis. While we endeavor to identify and comply with these new laws and regulations, it is possible that we may be unaware of new legal requirements or interpretations which could result in our violation of these laws and/or regulations.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There is also an increasing trend toward more criminal prosecutions and compliance enforcement activities for noncompliance with the HIPAA and state data privacy laws as well as for data breaches involving protected health information (“PHI”). In the ordinary course of our business, we may receive PHI. If we are unable to comply with HIPAA or experience a data breach involving PHI, we could be subject to criminal and civil sanctions and incur substantial investigation, defense and remediation costs.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3" w:name="page34"/>
    <w:bookmarkEnd w:id="33"/>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If our operations are found to violate any of the laws described above or any other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materially adversely affect our business, results of operations and financial condition. Any action against us for violation of these laws, even if we successfully defend against it, could cause us to incur significant legal expenses and divert our management’s attention from the operation of our business.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Modifications to our products may require new regulatory clearances, authorizations, or approvals, and if we market modified products without obtaining necessary clearances, authorizations, approvals or certifications, we may be required to recall or cease marketing our products until clearances, authorizations, or approvals are obtained.</w:t>
      </w:r>
    </w:p>
    <w:p>
      <w:pPr>
        <w:spacing w:after="0" w:line="16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Any modification to a 510(k)-cleared device that could significantly affect its safety or effectiveness, including significant changes to a device’s design, materials, chemical composition, energy source, or manufacturing process, or that would constitute a major change in its intended use, may require a new 510(k) clearance, a de novo authorization, or possibly a PMA. Similarly, certain modifications to a PMA-approved device may require approval of a new PMA or a PMA supplement, or alternatively a notification or other submission to the FDA. We may make modifications to our cleared devices in the future that we believe do not require further clearance, authorization, or approval. Modifications to our products that were implemented without obtaining clearance, authorization or approval and for which FDA subsequently concludes that clearance, authorization or approval was required, may require us to recall or cease marketing the modified devices until clearance, authorization or approval is obtained, and we may be subject to significant regulatory fines or penalties. The FDA requires device manufacturers to initially make and document a determination of whether or not a modification requires a new approval, supplement, authorization, or clearance. To do that, a manufacturer must determine if a change/modification to labeling of the device is a “major” change to the intended use statement (previously cleared by the FDA) or if a physical change/modification to the device itself “could significantly affect safety or effectiveness.” If the labeling change is major and/or the physical change significantly affects safety and effectiveness, the manufacturer must file for an additional 510(k) clearance, de novo classification, or PMA for those changes before the modified device can be lawfully marketed. If the Company concludes in its own self-determination that the changes do not meet either of the thresholds of “major “or “significantly affects,” it may simply document those changes by way of an internal letter-to-file as part of the manufacturer’s quality system recording keeping. However, the FDA can review a manufacturer’s decision and may disagree. The FDA will normally review a decision made by a manufacturer in a letter-to-file during a routine plant inspection, which FDA targets to conduct every two years for high-risk (Class III) device manufacturers and less frequently for low and moderate risk (Class I and II) device manufacturers. In such a review the FDA may determine that a new clearance, authorization or approval was required before the device was put into commercial distribution.</w:t>
      </w:r>
    </w:p>
    <w:p>
      <w:pPr>
        <w:spacing w:after="0" w:line="183"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have made modifications to our products in the past that we concluded did not require a new clearance, authorization or approval, and we may make additional modifications in the future that we believe do not or will not require additional clearances, authorizations or approvals. No assurance can be given that the FDA would agree with any of our decisions not to seek 510(k) clearance, de novo authorizations, or PMA approval. The issue of whether a product modification requires clearance, authorization or approval, as opposed to a “letter-to-file” documenting the change, is not always clear and companies rely on FDA guidance to assist in making such decisions.</w:t>
      </w:r>
    </w:p>
    <w:p>
      <w:pPr>
        <w:spacing w:after="0" w:line="176"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If the FDA requires us to cease marketing and recall a modified device until we obtain a new 510(k) clearance, de novo authorization, or PMA, our business, financial condition, operating results and future growth prospects could be materially and adversely affected. Further, our products could be subject to recall if the FDA determines, for any reason, that our products are not safe or effective. Any recall or FDA requirement that we seek additional approvals, authorizations or clearances could result in significant delays, fines, increased costs associated with modification of a product, loss of revenue and potential operating restrictions imposed by the FDA. Obtaining clearances, authorizations and approvals can be a time-consuming process, and delays in obtaining required future clearances, authorizations or approvals would adversely affect our ability to introduce new or enhanced products in a timely manner, which in turn would harm our future growth.</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4" w:name="page35"/>
    <w:bookmarkEnd w:id="34"/>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Even if our medical device products are cleared, authorized or approved by regulatory authorities, 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6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Any product that we market will be subject to continued regulatory review, oversight and periodic inspections by the FDA and other domestic and foreign regulatory bodies. Such oversight will cover, among other things, the product’s design and manufacturing processes, our quality system and compliance with reporting requirements, our compliance with post-approval clinical data requirements, and our promotional activities related to our products.</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Even if regulatory clearance, authorization or approval of a product is granted, such clearance, authorization or approval may be subject to limitations on the intended uses for which the product may be marketed and reduce our potential to successfully commercialize the product and generate revenue from the product. 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spacing w:after="0" w:line="176"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In addition, we may be required to conduct costly post-market testing and surveillance to monitor the safety or effectiveness of our products. For example, we must submit periodic reports to the FDA as a condition of PMA. These reports include safety and effectiveness information about the device after its approval. Failure to submit such reports, or failure to submit the reports in a timely manner, could result in enforcement action by the FDA. Following its review of the periodic reports, the FDA might ask for additional information or initiate further investigation. Similar requirements may apply in foreign jurisdictions where we market our products.</w:t>
      </w:r>
    </w:p>
    <w:p>
      <w:pPr>
        <w:spacing w:after="0" w:line="15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Later discovery of previously unknown problems with our products, including unanticipated adverse events or adverse events of unanticipated severity or frequency, manufacturing problems, or failure to comply with regulatory requirements such as QMSR, may result in, among other things, changes to labeling, restrictions on such products or manufacturing processes, product corrections, removal of the products from the market, voluntary or mandatory recalls, a requirement to repair, replace or refund the cost of any medical device we manufacture or distribute, fines, withdrawal of regulatory clearance, authorization or approvals, delays in or refusals of new 510(k)s, de novo requests or PMA applications, untitled letters, warning letters, refusal to grant export certificates for our products, product seizures, injunctions or the imposition of civil or criminal penalties which would adversely affect our business, operating results and prospects. Our inability to maintain required regulatory clearances, or our inability to comply with regulatory requirements, could harm our business and operating results.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use, misuse or off-label use of our products may harm our image in the marketplace or result in injuries that lead to product liability suits, which could be costly to our business or result in FDA sanctions if we are deemed to have engaged in improper promotion of our products.</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Our devices currently marketed in the United States have been cleared through the FDA’s 510(k) process for use under specific circumstances. Our promotional materials and training methods must comply with FDA and other applicable laws and regulations, including the prohibition on the promotion of a medical device for a use that has not been cleared, authorized or approved by the FDA. We believe that the specific surgical procedures for which our devices are marketed fall within the general intended use of the surgical applications that have been cleared by the FDA. However, the FDA could disagree and require us to stop promoting our products for those specific indications/procedures until we obtain FDA clearance, authorization or approval for them. Use of a device outside of its cleared, authorized or approved indication is known as “off-label” use. We cannot prevent a surgeon from using our products for off-label use, as the FDA does not restrict or regulate a physician’s choice of treatment within the practice of medicine. However, if the FDA determines that our promotional activities, reimbursement advice or training of sales representatives or physicians constitute promotion of an off-label use, the FDA could request that we modify our training or promotional or reimbursement materials or subject us to regulatory or enforcement actions, including, among other things, the issuance of an untitled letter, a warning letter, injunction, seizure, disgorgement of profits, a civil fines and criminal penalties. Other federal, state or foreign governmental authorities also might take action if they consider our promotion or training materials to constitute promotion of an uncleared or unapproved use, which could result in significant fines or penalties under other statutory authorities, such as laws prohibiting false claims for reimbursement. For example, the government may take the position that off-label promotion resulted in inappropriate reimbursement for off-label use in violation of the Federal False Claims Act for which it might impose a civil fine and even pursue criminal action. In those possible events, our reputation could be damaged, and adoption of the products would be impaired. Although we train our sales force not to promote our products for off-label uses, and our instructions for use in all markets specify that our products are not intended for use outside of those indications cleared for use, the FDA or another regulatory agency could conclude that we have engaged in off-label promotion.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5" w:name="page36"/>
    <w:bookmarkEnd w:id="35"/>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There may be increased risk of injury and product liability if surgeons attempt to use our products off-label, misuse our products or do not follow recommended user techniques and guidelines. Product liability claims are expensive to defend and could divert our management’s attention and result in substantial damage awards against us. Furthermore, the use of our products for indications other than those indications for which our products have been cleared by the FDA may not effectively treat such conditions, which could harm our reputation in the marketplace among surgeons and patients. Any of these events could harm our business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regulatory reforms may adversely affect our business and our ability to sell our products.</w:t>
      </w:r>
    </w:p>
    <w:p>
      <w:pPr>
        <w:spacing w:after="0" w:line="212"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From time to time, legislation is introduced in Congress that could significantly change the statutory framework governing the regulatory approval, manufacture, marketing, or reimbursement of regulated products. In addition, FDA regulations and guidance are frequently revised, updated, or reinterpreted in ways that may materially affect our business and our products. For example, in February 2024, the FDA issued a final rule replacing the QSR with the QMSR, which incorporates by reference the requirements of ISO 13485:2016. The FDA has stated that ISO 13485:2016 is substantially similar to the existing QSR, and the final rule took effect in February 2026. Although we currently expect to be able to comply with the QMSR, implementation may result in additional costs, operational changes, or regulatory risk, and the FDA may issue further guidance or interpretations prior to or following the effective date. In addition, following the U.S. Supreme Court’s June 2024 decision overturning the Chevron doctrine, which had provided deference to federal agencies’ interpretations of statutes and regulations, there is increased uncertainty regarding how courts will interpret existing and future FDA regulations. As a result, FDA rules, guidance, and longstanding regulatory positions may be subject to increased legal challenges, and it is unclear how lower courts will apply the decision in the context of complex regulatory schemes. Such challenges could undermine regulatory certainty, disrupt FDA operations, or delay or complicate the approval, clearance, manufacture, or commercialization of our products. Any new legislation, regulations, guidance, or reinterpretations, or increased litigation challenging FDA authority, could impose additional costs, lengthen review times, or otherwise adversely affect our business. We cannot predict whether such changes will occur or the extent of their potential impact.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revenues depend upon prompt and adequate coverage and reimbursement from public and private insurers and national health systems.</w:t>
      </w:r>
    </w:p>
    <w:p>
      <w:pPr>
        <w:spacing w:after="0" w:line="212"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The ability of healthcare providers to purchase our products depends in part on the extent to which reimbursement of the costs of such materials and related treatments is and will continue to be available from governmental health administration authorities, private health coverage insurers and other organizations. In the United States, healthcare providers who purchase our products generally rely on these third-party payors to pay for all or a portion of the cost of our products as a component of a single bundled payment amount for the procedures in which the products are used. Because there is often no separate third-party payor reimbursement to the provider for our products, the additional cost associated with purchasing our products can impact the provider’s profit margin for delivering the treatment that includes are product as a component. If third-party payor reimbursement to providers for procedures involving our products is eliminated or reduced, some of our target customers may be unwilling to purchase our products and may choose to instead purchase less expensive alternatives from our competitors. In addition, third-party payors for hospital services and hospital outpatient services, including Medicare, Medicaid and private healthcare insurers, typically revise their coverage and payment policies, methodologies and amounts on an annual basis, which can result in noncoverage, stricter standards for reimbursement of hospital charges for certain medical procedures or the elimination of or reduction in reimbursement. Further, Medicare, Medicaid and private healthcare insurer cutbacks could create downward price pressure on our products. Healthcare reform legislation at the federal and state levels could result in changes in coverage of and reimbursement for our products. Finally, our revenues also depend upon timely reimbursement data input from our independent agents. All of these factors could adversely affect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Human Capital Management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limited staffing and are dependent upon key employees.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success is dependent upon the efforts of a relatively small management team and staff. We have experienced a high level of employee turnover in past years, including members of our management team, and have effected reductions in force at times, thereby increasing our dependence upon our remaining employees. While we have employment arrangements in place with our executive and other officers, none of these executive and other officers are bound legally to remain employed with Xtant for any specific term. We do not have key person life insurance policies covering our executive and other officers or any of our other employees. If key individuals were to leave Xtant, our business could be affected adversely if suitable replacement personnel are not recruited quickly.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6" w:name="page37"/>
    <w:bookmarkEnd w:id="36"/>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business is dependent upon a sufficient number of qualified workers, and competition for such talent is intense, especially around Belgrade, Montana. If we cannot attract and retain qualified personnel or if we must increase substantially our labor costs to attract and retain qualified personnel, the growth and success of our business, as well as our operating results and financial condition, may be adversely affected.</w:t>
      </w:r>
    </w:p>
    <w:p>
      <w:pPr>
        <w:spacing w:after="0" w:line="168"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The population around Belgrade, Montana, where our headquarters and production facilities are located, is small, and as a result, there is a limited number of qualified personnel available in all functional areas, which has made it difficult for us to attract and retain the qualified personnel necessary for the development, operation and growth of our business. We have been further impacted by labor shortages. Additionally, the rising cost of living in Belgrade, Montana and surrounding areas has caused some members of the labor force to leave these areas in search of more affordable living arrangements, which has worsened our local labor shortage. Our ability to maintain our productivity at competitive levels and increase production in the future may be limited by our ability to employ, train and retain personnel necessary to meet our requirements. Companies in our industry, including us, are dependent upon an available labor pool of qualified employees. We compete for qualified personnel with other companies, academic institutions, governmental entities, and other organizations. A shortage in the labor pool of workers, which we believe currently exists in Belgrade, Montana, and which has worsened in the past years, has made it more difficult for us to attract and retain qualified personnel. We cannot be certain that we will be able to maintain an adequate qualified labor force necessary to operate efficiently and to support our growth strategy and operations. The tight labor market in the Belgrade, Montana, area has resulted in us operating at less than full capacity at times and required us to enhance our wages and benefit packages to attract a sufficient number of workers, and it is possible that these increased labor costs may not be effective in recruiting and retaining a sufficient number of qualified personnel. There can be no assurance that we will be successful in retaining our current personnel or in hiring or retaining a sufficient number of qualified personnel in the future. If we cannot attract and retain qualified personnel or if we must increase substantially our labor costs to attract and retain qualified personnel, the growth and success of our business, as well as our operating results and financial condition, will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lose any future intellectual property lawsuits, a court could require us to pay significant damages or prevent us from selling our products.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medical device industry is litigious with respect to patents and other intellectual property rights. Companies in the medical device industry have used intellectual property litigation to gain a competitive advantage. Legal proceedings, regardless of the outcome, could drain our financial resources and divert the time and effort of our management. If we lose this litigation or any other similar legal proceedings of which we may become subject, a court could require us to pay significant damages to third parties, indemnify third parties from loss, require us to seek licenses from third parties, pay ongoing royalties, redesign our products, or prevent us from manufacturing, using, selling, offering for sale, or importing our products. While we do not believe that any of our products infringe any valid claims of patents or other proprietary rights held by others, we have been subject to patent infringement claims in the past. There can be no assurances that we do not infringe any patents or other proprietary rights. In addition to being costly, protracted litigation to defend or prosecute our intellectual property rights could result in our customers or potential customers deferring or limiting their purchase or use of the affected products until resolution of the litigation.</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our patents and other intellectual property rights do not adequately protect our products, we may lose market share to our competitors and be unable to operate our business profitably.</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rely on patents, trade secrets, copyrights, know-how, trademarks, license agreements, and contractual provisions to establish our intellectual property rights and protect our products. These legal means, however, afford only limited protection and may not completely protect our rights. For example, competitors may be able to design around some of our intellectual property rights to develop competing but non-infringing technologies. In addition, we cannot be assured that any of our pending patent applications will issue. The U.S. Patent and Trademark Office (or an applicable foreign intellectual property office) may deny or require a significant narrowing of the claims in its pending patent applications and the patents issuing from such applications. Any patents issuing from pending patent applications may not provide us with significant commercial protection or sufficient commercial protection to prevent competitors from utilizing similar but non-infringing technologies. We could incur substantial costs in proceedings before the U.S. Patent and Trademark Office. These proceedings could result in adverse decisions as to the priority of our inventions and the narrowing or invalidation of claims in issued patents. In addition, the laws of some of the countries in which our products are or may be sold may not protect our intellectual property to the same extent as U.S. laws or at all. We also may be unable to protect our rights in trade secrets and unpatented proprietary technology in these countries. Additionally, patents and certain other intellectual property rights are not perpetual, and third parties will be able to utilize the subject rights upon expiration.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7" w:name="page38"/>
    <w:bookmarkEnd w:id="37"/>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addition, we hold licenses from third parties that are necessary to utilize certain technologies used in the design and manufacturing of some of our products. The loss of such licenses could prevent us from manufacturing, marketing, and selling these products, which could harm our business. If we, or the other parties from whom we would license intellectual property, fail to obtain and maintain adequate patent or other intellectual property protection for intellectual property used in our products, or if any protection is reduced or eliminated, others could use the intellectual property used in our products, resulting in harm to our competitive business position.</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seek to protect our trade secrets, know-how, and other unpatented proprietary technology, in part, with confidentiality agreements with our employees, independent distributors, and consultants. We cannot be assured, however, that the agreements will not be breached, adequate remedies for any breach would be available, or our trade secrets, know-how, and other unpatented proprietary technology will not otherwise become known to or independently developed by our competitors.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obtain or protect our proprietary rights relating to our products without resorting to costly and time-consuming litigation.</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may not be able to obtain, maintain and protect certain proprietary rights necessary for the development and commercialization of our products or product candidates. Our commercial success will depend in part on obtaining and maintaining patent protection on our products, successfully asserting these patents against competitors employing infringing technology, and successfully defending these patents against third-party challenges. Even if our patents cover a competing technology, a competitor may not accede to our demands to cease and desist or license our patent rights, which will then require us to pursue costly and time-consuming litigation. Even if we were successful in any such litigation, a court may not issue an injunction, or the infringing competitor may alter its technology to no longer infringe. Our ability to commercialize our products will also depend in part on the patent positions of third parties, including those of our competitors. The patent positions of medical device and biotechnology companies can be highly uncertain and involve complex legal and factual questions. Accordingly, we cannot predict with certainty the scope and breadth of patent claims that may be afforded to other companies’ patents. We could incur substantial costs in litigation if we are required to defend against patent suits brought by third parties, or if we initiate suits to protect our patent rights. Such suits that we may need to defend extend beyond suits by our competitors and may include patent assertion entities, which acquire and assert patents as a means to generate income, due to the expensive nature of patent litigation. In the ordinary course of litigation, attorney fees are not recoverable.</w:t>
      </w:r>
    </w:p>
    <w:p>
      <w:pPr>
        <w:spacing w:after="0" w:line="18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to the risks involved with patent protection, we also face the risk that our competitors will infringe on our trademarks. Any infringement could lead to a likelihood of confusion and could result in lost sales. Similarly, while we are cautious to avoid infringing the rights of third parties, we cannot control a third party asserting its trademarks against us. There can be no assurance that we will prevail in any claims we make to protect our intellectual property, or in defense of any claims brought against us.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Future protection for our proprietary rights is uncertain which may impact our ability to successfully compete in our industry. The degree of future protection for our proprietary rights is uncertain. We cannot ensure that:</w:t>
      </w:r>
    </w:p>
    <w:p>
      <w:pPr>
        <w:spacing w:after="0" w:line="159" w:lineRule="exact"/>
        <w:rPr>
          <w:sz w:val="20"/>
          <w:szCs w:val="20"/>
          <w:color w:val="auto"/>
        </w:rPr>
      </w:pPr>
    </w:p>
    <w:p>
      <w:pPr>
        <w:ind w:left="900" w:hanging="294"/>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were the first to make the inventions covered by each of our patent applications;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were the first to file patent applications for these inventions;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will not independently develop similar or alternative technologies or duplicate any of our technologies;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pending patent applications will result in issued patents;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issued patents or those of our licensors will be valid and enforceable;</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patents issued to us or our collaborators will provide a basis for commercially viable products or will provide us with any competitive advantages or will not be challenged by third parties;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patent or other intellectual property rights in the U.S. and the technologies embodied therein will provide or be subject to similar or any protection in foreign markets;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develop additional proprietary technologies that are patentable;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will not have a material adverse effect on our business rights; or</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measures we rely on to protect the intellectual property underlying our products will be adequate to prevent third parties from using our technology, all of which could harm our ability to compete in the market.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Risks Related to Information Technology, Cybersecurity and Data Protection</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various information technology (“IT”) systems, and failures of, interruptions to, or unauthorized tampering with those systems could have a material adverse effect on our business.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rely extensively on IT systems to operate our business, including for materials procurement, manufacturing, invoicing and shipping, transaction processing, financial reporting, regulatory compliance, and data security. If these systems are damaged or fail to function properly due to events such as natural disasters, power outages, system failures, or cybersecurity incidents, and our business continuity plans do not effectively mitigate such events on a timely basis, our operations could be disrupted. Cybersecurity threats have become increasingly prevalent and sophisticated and pose risks to the security of our systems and networks, as well as those of our customers, suppliers, independent sales agents, distributors, and third-party service providers, and to the confidentiality, availability, and integrity of the data they contain. Our remote work arrangements, and those of our third-party service providers, may further increase the risk of phishing, malware, and other cybersecurity attacks. We maintain programs, processes, and technologies designed to prevent, detect, respond to, and mitigate cybersecurity incidents; however, the techniques used to gain unauthorized access continue to evolve and may be difficult to anticipate, identify, or prevent, particularly where protection depends in part on human behavior. While we have experienced cybersecurity incidents in the past that have not been material to date, no assurance can be given that future incidents will not occur or have a material impact.</w:t>
      </w:r>
    </w:p>
    <w:p>
      <w:pPr>
        <w:spacing w:after="0" w:line="183"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Maintaining, protecting, and enhancing our IT systems requires significant ongoing investment, and we outsource certain IT functions to third parties that may have access to confidential information and whose systems may also be vulnerable to disruptions or security breaches. The failure of our systems or those of third parties to operate or integrate effectively, or any actual or perceived breach, intrusion, or unauthorized access, could harm our reputation and competitiveness, disrupt operations, delay product fulfillment, reduce efficiency, and require significant remediation costs, any of which could adversely affect our business, operating results, and financial condition. Although we maintain cyber liability insurance, such coverage may not be sufficient to cover all financial, legal, business, or reputational losses resulting from a systems interruption or cybersecurity incident.</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currently use limited agentic and generative artificial intelligence (“AI”) solutions for certain sales, back office, administrative and other functions. We may incorporate additional AI solutions into our IT systems in the future and these solutions may become important in our operations over time. The ever-increasing use and evolution of technology, including cloud-based computing and AI, creates opportunities for the potential loss or misuse of personal data that we use to run our business, and unintentional dissemination or intentional destruction of confidential information stored in our or our third party providers’ systems, portable media or storage devices, which may result in significantly increased business and security costs, a damaged reputation, administrative penalties, or costs related to defending legal claims. AI programs may be costly and require significant expertise to develop, may be difficult to set up and manage, and require periodic upgrades. Our competitors or other third parties may incorporate AI into their IT systems and operations more quickly or more successfully than we do, which could impair our ability to compete effectively and adversely affect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Outstanding Indebtedness, Need for Additional Financing and Financial Condition</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have significant indebtedness under our Credit Agreements, which contain certain affirmative and restrictive covenants, with which we have had difficulty complying at times. If we are unable to comply with such covenants or generate enough cash flow from our operations to service our indebtedness, our business, operating results, and financial condition, would be materially and negatively impacted.</w:t>
      </w:r>
    </w:p>
    <w:p>
      <w:pPr>
        <w:spacing w:after="0" w:line="16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As of December 31, 2025, we had $14.0 million of principal outstanding under our term loan and revolving credit agreements (“Term Loan Credit Agreement” and “Revolving Credit Agreement,” respectively, and collectively, our “Credit Agreements”) with MidCap Financial Trust and MidCap Funding IV Trust (collectively, “MidCap”), of which $2.8 million has since been repaid using the proceeds from our recent divestitures of certain assets related to our Coflex/CoFix products and international hardware business. These Credit Agreements contain certain affirmative and restrictive covenants, including in particular a $5.0 million minimum liquidity covenant and minimum net product revenue covenant. Under a recent amendment to the Credit Agreements, we must maintain minimum net revenue from our orthobiologics products for the twelve months ending at the end of each quarter through the end of 2028. We have had difficulty complying with these covenants in the past. For example, as of December 31, 2025, our Credit Agreement included a minimum net revenue covenant, however, pursuant to the amendments executed in March 2026, we were not required to comply with the minimum net revenue covenant for the quarter ended December 31, 2025. Under the covenant terms in effect prior to this amendment, we would not have been in compliance with the minimum net revenue required for that quarter. A failure to comply with these covenants and provisions of our Credit Agreements may cause suspension or termination of the Credit Agreements and/or require the immediate repayment of our outstanding indebtedness. If we at any time are unable to meet these covenants or generate sufficient cash flows from operations to service our indebtedness when payment is due, we may be required to attempt to obtain a waiver of or renegotiate the terms of the Credit Agreements, seek to refinance all or a portion of the indebtedness, or obtain additional financing. There can be no assurance that we will be able to successfully obtain a waiver or renegotiate such terms, that any such refinancing would be possible, or that any additional financing could be obtained on terms that are favorable or acceptable to us; and as a result thereof, our creditors may accelerate our debt and seek to enforce remedies under the Credit Agreements.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9" w:name="page40"/>
    <w:bookmarkEnd w:id="39"/>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If we do not generate sufficient cash flow from operations or if future borrowings are not available to us in an amount sufficient to fund or pay our indebtedness, when due, including in the event of a covenant breach and event of default, or to otherwise fund our liquidity needs, we may be forced to sell assets, reduce or delay capital expenditures, seek to raise additional capital, refinance all or a portion of our indebtedness on or before the maturity dates thereof, or take other similar actions. We may not be able to execute any of these actions on commercially reasonable terms or at all. Our ability to make payments on our indebtedness, and our ability to fund planned capital expenditures, contractual cash obligations, known and unknown liabilities, research and development efforts, working capital, any future acquisitions and business combinations, and other general corporate purposes depends on our ability to generate cash in the future. This, to a certain extent, is subject to general economic, financial, competitive, legislative, regulatory, and other factors, some of which are beyond our control.</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significant indebtedness, combined with our other financial obligations and contractual commitments, could have other important consequences. For example, it could:</w:t>
      </w:r>
    </w:p>
    <w:p>
      <w:pPr>
        <w:spacing w:after="0" w:line="159" w:lineRule="exact"/>
        <w:rPr>
          <w:sz w:val="20"/>
          <w:szCs w:val="20"/>
          <w:color w:val="auto"/>
        </w:rPr>
      </w:pPr>
    </w:p>
    <w:p>
      <w:pPr>
        <w:ind w:left="900" w:hanging="294"/>
        <w:spacing w:after="0" w:line="274"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us more vulnerable to adverse changes in general U.S. and worldwide economic, industry, and competitive conditions and adverse changes in government regulation;</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in planning for, or reacting to, changes in our business and our industry;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our ability to make strategic acquisitions, business combinations or dispositions or to exploit business opportunities;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compared to our competitors who have less debt; and</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borrow additional amounts or raise financing for working capital, capital expenditures, contractual obligations, research and development efforts, acquisitions or business combinations, debt service requirements, execution of our business strategy, or other purposes.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Any of these factors could materially and adversely affect our business, financial condition, and operating results. In addition, we may incur additional indebtedness, and if we do, the risks related to our business and our ability to service our indebtedness would increase.</w:t>
      </w:r>
    </w:p>
    <w:p>
      <w:pPr>
        <w:spacing w:after="0" w:line="159"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Finally, the amounts outstanding under our Credit Agreements mature on March 1, 2029 or could become due earlier upon an event of default, including a covenant breach, under the Credit Agreements. Although we believe that we will be able to refinance or pay off our outstanding indebtedness or extend the maturity date of that facility at the appropriate time, no assurance can be provided that we will do so on terms that are favorable to us or at all. Our ability to refinance our indebtedness will depend on our financial condition at the time, the restrictions in the instruments governing our indebtedness, the consent of our lender, and other factors, including market conditions. Our inability to generate sufficient cash flow to satisfy our debt service obligations, or to refinance or restructure our obligations on commercially reasonable terms or at all, would likely have an adverse effect, which could be material, on our business, financial condition, and operating results.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The terms of our Credit Agreements include a number of other significant financial and operating restrictions, with which we may be unable to comply and which may substantially limit our ability to conduct and invest in our business, take advantage of business opportunities, and respond to changing business, market, and economic conditions.</w:t>
      </w:r>
    </w:p>
    <w:p>
      <w:pPr>
        <w:spacing w:after="0" w:line="16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Credit Agreements include a number of significant financial and operating restrictions, in addition to the minimum liquidity threshold. For example, the Credit Agreements require us to maintain net product revenue at or above minimum levels and contain other provisions that restrict our ability, subject to specified exceptions, to, among other things:</w:t>
      </w:r>
    </w:p>
    <w:p>
      <w:pPr>
        <w:spacing w:after="0" w:line="169" w:lineRule="exact"/>
        <w:rPr>
          <w:sz w:val="20"/>
          <w:szCs w:val="20"/>
          <w:color w:val="auto"/>
        </w:rPr>
      </w:pPr>
    </w:p>
    <w:p>
      <w:pPr>
        <w:ind w:left="900" w:hanging="294"/>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incur, assume, guarantee or otherwise become or remain directly or indirectly liable with respect to any debt, except for permitted debt;</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assume, incur or suffer to exist any contingent obligations, except for permitted contingent obligations;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redeem, defease or prepay any principal of, premium, if any, interest or other amount payable in respect of any debt prior to its scheduled maturity;</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assume or suffer to exist any lien on our assets;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order, pay, make or set apart any sum for any distribution, except for permitted distributions;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or assume any agreement prohibiting the creation or assumption of any lien upon our properties or assets or create or otherwise cause or suffer to exist or become effective certain consensual encumbrances or restrictions of any kind;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0" w:name="page41"/>
    <w:bookmarkEnd w:id="40"/>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pay, make or set aside any amount for payment in respect of subordinated debt;</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mergers or consolidations;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make, own, hold or otherwise consummate any investment, other than permitted investments;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certain transactions with affiliates;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otherwise modify any organizational documents;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amendments or modifications to certain material contracts.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may be unable to comply with these covenants, which could result in a default under the Credit Agreements if we are unable to obtain a waiver at such time. In addition, these provisions may limit our ability to conduct and invest in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or business combinations, may be subject to the consent of the lenders, which consent may be withheld or granted subject to conditions specified at the time that may affect the attractiveness or viability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Credit Agreements involve additional risks that may adversely affect our liquidity and financial condition.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Availability of funds under the Revolving Credit Agreement is determined based on a borrowing base equal to percentages of certain accounts receivable and inventory of the borrowers in advance with a formula set forth in the Revolving Credit Agreement. As a result, our access to credit under the Revolving Credit Agreement is subject to fluctuations to our accounts receivable and inventory. Our inability to borrow additional amounts under the Credit Agreements if and when we need them may adversely affect our liquidity and financial condition. In addition, our outstanding indebtedness under the Credit Agreements bears interest at variable rates, which subjects us to interest rate risk and could increase the cost of servicing our indebtedness.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need additional financing to satisfy our future liquidity requirements, which financing may not be available on favorable terms, or at all, at the time it is needed and which could reduce our operational and strategic flexibility.</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Although it is difficult for us to predict our future liquidity requirements, we believe that our cash and cash equivalents and restricted cash balance of approximately $17.3 million as of December 31, 2025, together with the $10.7 million in cash we received on February 27, 2026 from Companion Spine in connection with the Divestitures, our anticipated operating cash flows, and amounts available under our Revolving Credit Agreement with MidCap, will be sufficient to meet our anticipated cash requirements through at least the end of March 2027. Although we currently have availability under our Revolving Credit Agreement, the availability of such funds is determined based on a borrowing base equal to percentages of certain of our accounts receivable and inventory in accordance with a formula set forth in the Revolving Credit Agreement. In addition, all borrowings under the Revolving Facility are subject to the satisfaction of customary conditions, including the absence of default, the accuracy of representations and warranties in all material respects, and the delivery of an updated borrowing base certificate. We may require or we may seek additional funds to fund our future operations and business strategy prior to March 2027. Accordingly, there is no assurance that we will not need or seek additional funding at any time. We may elect to raise additional funds even before we need them if market conditions for raising additional capital are favorable. We may seek to raise additional funds through various sources, such as equity and debt financings or additional debt restructurings or refinancings. We can give no assurances that we will be able to secure additional sources of funds to support our operations, or if such funds are available to us, that such additional financing will be sufficient to meet our needs or on terms acceptable to us. This is particularly true if economic and market conditions deteriorate. Any failure by us to raise additional funds on terms favorable to us, or at all, could result in our inability to pay our expenses as they come due, limit our ability to expand our business operations, and harm our overall business prospects. If adequate funds are not otherwise available, we could be required to curtail operations significantly, including reducing our sales and marketing expenses, which could negatively impact product sales, delaying new product initiatives, and we could even be required to cease operations, liquidate our assets and possibly seek bankruptcy protection.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1" w:name="page42"/>
    <w:bookmarkEnd w:id="41"/>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To the extent we raise additional financing through the sale of equity or convertible debt securities or the restructuring or refinancing of our outstanding debt, the interests of our current stockholders may be diluted, and the terms may include discounted equity purchase prices, warrant coverage, or liquidation or other preferences that adversely affect the rights of our current stockholders. If we issue common stock, we may do so at purchase prices that represent a discount to our trading price and/or we may issue warrants to purchasers, which could dilute our current stockholders. If we issue preferred stock, it could affect the rights of our stockholders or reduce the value of our common stock. In particular, specific rights granted to future holders of preferred stock may include voting rights, preferences as to dividends and liquidation, conversion and redemption rights, sinking fund provisions, and restrictions on our ability to merge with or sell our assets to a third party. Additional debt financing, if available, may involve agreements that include covenants limiting or restricting our ability to take specific actions, such as incurring additional debt, making capital expenditures or declaring dividends. Prior to raising additional equity or debt financing, we must obtain the consent of MidCap, and no assurance can be provided that MidCap would provide such consent, which could limit our ability to raise additional financing.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Nantahala owns a significant percentage of our common stock and is able to exert significant control over matters subject to stockholder approval, preventing other stockholders and new investors from influencing significant corporate decisions.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Funds affiliated with Nantahala Capital Management, LLC collectively ownapproximately 48.8% of our outstanding common stock. Because of its significant stock ownership, Nantahala has the ability to exert substantial influence over our management and affairs and over substantially all matters requiring action by our stockholders, including amendments to our certificate of incorporation, bylaws, election and removal of directors, and approval of any significant corporate actions, including any merger, consolidation, or sale of all or substantially all of our assets. This may prevent or discourage unsolicited acquisition proposals or offers for our common stock. The interests of Nantahala may not be aligned with the interests of our other stockholders. For example, Nantahala may have an interest in pursuing a sale of our Company, acquisitions, divestitures and other transactions or not pursuing such transactions that, in its judgment, could provide Nantahala with liquidity or enhance or reduce its investment, even though such transactions might involve risks to us and our other stockholders. This concentration of voting control could deprive our other stockholders of an opportunity to receive a premium for their shares of our common stock as part of a sale of our Company and ultimately might affect the market price of our common stock. In addition, this significant concentration of stock ownership may adversely affect the trading price of our common stock due to investors’ perception that conflicts of interest may exist or arise.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of our common stock are equity securities and are subordinate to our outstanding indebtedness.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Shares of our common stock are common equity interests. This means that our common stock will rank junior to any outstanding shares of our preferred stock that we may issue in the future or to the indebtedness under our Credit Agreements and any future indebtedness we may incur and to all creditor claims and other non-equity claims against us and our assets available to satisfy claims on us, including claims in a bankruptcy or similar proceeding.</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is extremely volatile, which may affect our ability to raise capital in the future and may subject the value of the investment of our stockholders to sudden decreases.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market price for securities of medical device and biotechnology companies, including ours, historically has been highly volatile, and the market from time to time has experienced significant price and volume fluctuations that are unrelated to the operating performance of such companies. The trading volume and prices of our common stock have been and may continue to be volatile and could fluctuate widely due to factors both within and beyond our control. During 2025, the sale price of our common stock ranged from $0.34 to $0.95 per share, and our daily trading volume ranged from four thousand to 6.9 million shares. Such volatility may be the result of broad market and industry factors. Future fluctuations in the trading price or liquidity of our common stock may harm the value of the investment of our stockholders in our common stock. Factors that may have a significant impact on the market price and marketability of our common stock include, among others:</w:t>
      </w:r>
    </w:p>
    <w:p>
      <w:pPr>
        <w:spacing w:after="0" w:line="177" w:lineRule="exact"/>
        <w:rPr>
          <w:sz w:val="20"/>
          <w:szCs w:val="20"/>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observance of covenants under our Credit Agreements;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make principal, interest and other payments under our Credit Agreements;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potential future transaction(s) related to debt financing, debt restructuring or capital raising;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technological innovations or new commercial products by us or our present or potential competitors;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 or other proprietary rights;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our relationships with employees, suppliers, distributors, sales representatives and customers;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or divestitures;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2" w:name="page43"/>
    <w:bookmarkEnd w:id="42"/>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and government proceedings;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legislation, including changes in governmental regulation;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reimbursement policies;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equity securities by our significant stockholders or management or sales of additional equity securities by our Company;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securities analysts’ recommendations;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selling;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health care policies and practices or reimbursement affecting our products or technologies;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delisting of our common stock or halting or suspension of trading in our common stock by the NYSE American;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social and other external factors, such as epidemics or pandemics, supply chain disruptions, labor shortages and persistent inflation;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securities class action litigation has often been instituted. These lawsuits often seek unspecified damages, and as with any litigation proceeding, one cannot predict with certainty the eventual outcome of pending litigation. Furthermore, we may have to incur substantial expenses in connection with any such lawsuits and our management’s attention and resources could be diverted from operating our business as we respond to any such litigation. We maintain insurance to cover these risks for us and our directors and officers, but our insurance is subject to high deductibles to reduce premium expense, and there is no guarantee that the insurance will cover any specific claim that we currently face or may face in the future, or that it will be adequate to cover all potential liabilities and damages.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actual operating results may differ significantly from our guidance, which could cause the market price of our common stock to decline.</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From time to time, we issue guidance regarding our expected future performance, such as anticipated annual revenue. This guidance consists of forward-looking statements based on management’s estimates and assumptions as of the date of release and is subject to the qualifications and limitations described in the related disclosures. Our assumptions and estimates are inherently subject to significant business, economic, and competitive uncertainties and contingencies, many of which are beyond our control and may change over time. While we may present guidance as ranges intended to illustrate sensitivity to changes in key variables, actual results may fall outside of these ranges. We provide this guidance primarily to facilitate discussions of our business outlook with analysts and investors and do not assume responsibility for projections or reports prepared by third parties. Guidance is inherently speculative and represents only management’s estimate of future performance as of the date issued. Actual results may differ materially, and the reliability of any forecast diminishes as the forecast horizon lengthens. Our failure to execute our operating strategy or the occurrence of risks described in this Annual Report on Form 10-K could cause actual results to differ materially and adversely from our guidance or market expectations, which could negatively affect investor sentiment and the market price of our common stock. Accordingly, investors should consider our guidance in context and not place undue reliance on it. Our guidance also is not prepared in accordance with, nor intended to comply with, the published guidelines of the American Institute of Certified Public Accountants, and it is not compiled, examined, or reviewed by our independent registered public accounting firm or any other independent party. Accordingly, no opinion or assurance is provided with respect to such guidance.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issue additional common stock resulting in stock ownership dilution.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From time to time, we issue equity securities to raise additional financing and in connection with debt restructurings. Dilution may occur due to additional future equity issuances and/or equity financing events by us, including any potential future restructuring of our outstanding indebtedness. In addition, we may raise additional capital through the sale of equity or convertible debt securities, which would further dilute the ownership interests of our stockholders. As of December 31, 2025, we had outstanding warrants to purchase 12,237,470 shares of our common stock. In addition, we had stock options to purchase 3,760,472 shares of our common stock, performance stock units covering 3,340,111 shares of our common stock, assuming target performance, and restricted stock unit or deferred stock unit awards covering 7,669,141 shares of our common stock under our equity-based compensation plans, and 12,966,721 shares available for issuance under the Xtant Medical Holdings, Inc. 2023 Equity Incentive Plan. If these or any future warrants, options or restricted stock units are exercised or otherwise converted into shares of our common stock, our stockholders will experience additional dilution.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3" w:name="page44"/>
    <w:bookmarkEnd w:id="43"/>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sale or availability for sale of substantial amounts of our common stock, or the perception that such sales could occur at any time, could adversely affect the market price of our common stock.</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Sales of substantial amounts of our common stock in the public market, or the perception that these sales could occur, could adversely affect the market price of our common stock and could materially impair our ability to raise capital through equity offerings in the future. We cannot predict what effect, if any, market sales of shares of our common stock held by our stockholders or the availability of the shares for future resale will have on the market price of our common stock, although it is likely that such sales would have a material adverse impact on the trading price of our common stock, especially given the low trading volume and low public float of our common stock.</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stop publishing research or reports about us or our business, or if they downgrade our common stock, the trading volume and market price of our common stock could decline.</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market for our common stock relies in part on the research and reports that industry or financial analysts publish about us or our business. We do not control these analysts. If any analyst who covers us downgrades our stock or lowers its future stock price targets or estimates of our operating results, our stock price could decline rapidly. This is particularly true if we fail to meet the expectations of analysts with respect to our revenue and other operating results. Furthermore, if analysts cease to cover our Company, we could lose visibility in the market. Each of these events could, in turn, cause our trading volume and the market price of our common stock to decline.</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and agreements may discourage or prevent a change in control, even if a sale of the Company could be beneficial to our stockholders, which could cause our stock price to decline and prevent attempts by our stockholders to replace or remove our current management.</w:t>
      </w:r>
    </w:p>
    <w:p>
      <w:pPr>
        <w:spacing w:after="0" w:line="168"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Several provisions of our Restated Certificate of Incorporation (“Charter”) and Bylaws could make it difficult for our stockholders to change the composition of our Board of Directors or discourage, delay or prevent a merger or acquisition that our stockholders may consider favorable. These provisions include:</w:t>
      </w:r>
    </w:p>
    <w:p>
      <w:pPr>
        <w:spacing w:after="0" w:line="134" w:lineRule="exact"/>
        <w:rPr>
          <w:sz w:val="20"/>
          <w:szCs w:val="20"/>
          <w:color w:val="auto"/>
        </w:rPr>
      </w:pPr>
    </w:p>
    <w:p>
      <w:pPr>
        <w:jc w:val="both"/>
        <w:ind w:left="900" w:hanging="294"/>
        <w:spacing w:after="0" w:line="256"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shares of common stock and preferred stock available for issuance without stockholder approval. The existence of unissued and unreserved common stock and preferred stock may enable the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w:t>
      </w:r>
    </w:p>
    <w:p>
      <w:pPr>
        <w:spacing w:after="0" w:line="174"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our common stock do not have cumulative voting rights in the election of directors, so our stockholders holding a majority of the shares of common stock outstanding will be able to elect all of our directors.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meetings of the stockholders may be called only by the Board of Directors, the chair of the Board of Directors or the chief executive officer.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adopt, alter, amend or repeal our Bylaws without stockholder approval.</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85" w:lineRule="auto"/>
        <w:tabs>
          <w:tab w:leader="none" w:pos="9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provided by law, any newly created directorship or any vacancy occurring on the Board of Directors for any cause may be filled by the affirmative vote of a majority of the remaining members of the Board of Directors even if such majority is less than a quorum, and any director so elected shall hold office until the expiration of the term of office of the director whom he or she has replaced or until his or her successor is elected and qualified.</w:t>
      </w:r>
    </w:p>
    <w:p>
      <w:pPr>
        <w:spacing w:after="0" w:line="151" w:lineRule="exact"/>
        <w:rPr>
          <w:rFonts w:ascii="Times New Roman" w:cs="Times New Roman" w:eastAsia="Times New Roman" w:hAnsi="Times New Roman"/>
          <w:sz w:val="16"/>
          <w:szCs w:val="16"/>
          <w:color w:val="auto"/>
        </w:rPr>
      </w:pPr>
    </w:p>
    <w:p>
      <w:pPr>
        <w:ind w:left="900" w:hanging="294"/>
        <w:spacing w:after="0" w:line="274"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July 26, 2030, fixing the number of directors at more than seven directors requires the approval of at least 75% of our directors then holding office.</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the holders of at least two-thirds of the voting power of the then outstanding shares of our capital stock entitled to vote generally in the election of directors, voting together as a single class, is required to amend or repeal the provisions of our Charter related to the amendment of our Bylaws, the Board of Directors and our stockholders as well as the general provisions of our Charter.</w:t>
      </w:r>
    </w:p>
    <w:p>
      <w:pPr>
        <w:spacing w:after="0" w:line="169"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must follow advance notice procedures to submit nominations of candidates for election to the Board of Directors at an annual or special meeting of our stockholders, including director election contests subject to the SEC’s universal proxy rules, and must follow advance notice procedures to submit other proposals for business to be brought before an annual meeting of our stockholders.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4" w:name="page45"/>
    <w:bookmarkEnd w:id="44"/>
    <w:p>
      <w:pPr>
        <w:jc w:val="both"/>
        <w:ind w:left="900" w:hanging="294"/>
        <w:spacing w:after="0" w:line="251"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we consent in writing to an alternative forum, the Court of Chancery of the State of Delaware, (or, if the Court of Chancery of the State of Delaware does not have subject matter jurisdiction, a state court located within the State of Delaware or, if no state court located within the State of Delaware has subject matter jurisdiction, the federal district court for the District of Delaware), will be the exclusive forum for (i) any derivative action or proceeding brought on our behalf, (ii) any action asserting a claim of breach of a fiduciary duty owed by any director, officer or other employee to us or our stockholders, (iii) any action asserting a claim arising under any provision of the General Corporation Law of the State of Delaware (“DGCL”), our Charter or our Bylaws, or (iv) any action asserting a claim governed by the internal-affairs doctrine; provided, however, that unless we consent in writing to an alternative forum, the federal district courts of the United States of America shall be, to the fullest extent permitted by applicable law, the exclusive forum for the resolution of any complaint asserting a cause of action arising under the Securities Act of 1933, as amended.</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These anti-takeover provisions could substantially impede the ability of our stockholders to benefit from a change in control and, as a result, could materially adversely affect the market price of our common stock and the ability of our stockholders to realize any potential change-in-control premium. In addition, the forum selection provision in our Charter could limit the ability of our stockholders to obtain a favorable judicial forum for disputes with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never paid dividends and do not expect to do so in the foreseeable future.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We have not declared or paid any cash dividends on our common stock. The payment of dividends in the future will be dependent on our earnings and financial condition and on such other factors as our Board of Directors considers appropriate. Unless and until we pay dividends, stockholders may not receive a return on their shares of our common stock. There is no present intention by our Board of Directors to pay dividends on our common stock. We currently intend to retain all of our future earnings, if any, to finance the growth and development of our business. In addition, the terms of our Credit Agreements preclude us from paying dividends. As a result, appreciation, if any, in the market price of our common stock will be the sole source of gain for our stockholders for the foreseeable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Worldwide economic and market conditions, including with respect to financial institutions, global wars and conflicts, and social unrest could adversely affect our revenue, operating results, liquidity, and/or financial condition.</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health of the global economy, and the credit markets and the financial services industry in particular, as well as global wars and conflicts and the stability of the social fabric of our society, affects our business and operating results. Economic slowdowns, periods of high inflation, periods of rising interest rates and recessions, as well as disruptions in access to bank deposits or lending commitments due to bank failures, among other factors, could materially and adversely affect our revenue, operating results, liquidity, and/or financial condition. In addition, adverse or uncertain economic conditions, supply chain disruptions, labor shortages and persistent inflation, and measures taken in response thereto, including interest rate increases, could also adversely impact our suppliers’ ability to provide us with materials and components, which may negatively impact our business. As with our customers and vendors, these economic conditions make it more difficult for us to accurately forecast and plan our future business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several other general risks that could adversely affect our business, operating results and financial condition.</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risk factors described above are those that we think may be material with regard to an investment in us that are not applicable generally to all business enterprises. However, we are subject to the many risks that affect all or most business enterprises in the United States, and our business, operating results or financial condition could be materially affected by those risks. For example, the United States has experienced, and may experience in the future, outbreaks of contagious diseases that affect public health and public perception of health risk. The extent to which public health issues impact our business, operating results, and financial condition will depend on future developments, which cannot be predicted. If a contagious disease causes medical facilities to cancel or defer elective procedures that use our products or other significant negative impacts to economic conditions, our business, operating results, and financial condition could be materially adversely impacted.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Cybersecurity, data privacy, and data protection are critical to our business. In the ordinary course of our business, we collect and store certain confidential information such as information about our employees, contractors, vendors, customers, suppliers, independent sales agents and distributors. We have processes in place for assessing, identifying, and managing material risks from cybersecurity threats, and we monitor the Company’s overall security score to assess performance and identify areas for improvement. In recent years, we have installed a new firewall to better protect from network intrusions, hired a Network and Security Administrator, and engaged a third-party service provider to perform an internal penetration test in order to identify and address vulnerabilities. Additionally, we introduced always-on VPN in an effort to better restrict off-campus network access in light of the increase in the number of our employees working remotely in recent years, enhanced our monitoring and control capabilities, and hardened our cloud computing cyber security footprint. Management continually re-assesses the Company’s cybersecurity risk environment based on changing circumstances and new information identified by its monitoring, scanning and testing as well as third party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processes for assessing, identifying, and managing cybersecurity threats have been integrated into our overall risk management processes. The information provided by these processes facilitates management’s ongoing assessment of our cybersecurity risk environment and provides current and accurate information regarding cybersecurity risks to management, our Audit Committee and Board of Directors to allow appropriate management of such risks through remediation or other risk mitigation activities.</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maintain a cybersecurity program that is designed to identify, protect from, detect, respond to, and recover from cybersecurity threats and risks, and protect the confidentiality, integrity, and availability of its information systems, including the information residing on such systems. The National Institute of Standards and Technology Cybersecurity Framework helps us inform our cybersecurity agenda and prioritize our cybersecurity activities. We take a risk-based approach to cybersecurity, which begins with the identification and evaluation of cybersecurity risks or threats that could affect our operations, finances, legal or regulatory compliance, or reputation. The scope of our evaluation encompasses risks that may be associated with both our internally managed IT systems and key business functions and sensitive data operated or managed by third-party service providers. Once identified, cybersecurity risks and related mitigation efforts are prioritized based on their potential impact, likelihood, velocity, and vulnerability, considering both quantitative and qualitative factors. Risk mitigation strategies are developed and implemented based on the specific nature of each cybersecurity risk. These strategies include, among others, the application of cybersecurity policies and procedures, implementation of administrative, technical, and physical controls, and employee training, education, and awareness initiatives.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Management</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Management has implemented risk management structures, policies and procedures and is responsible for our day-to-day cybersecurity risk management. Our Vice President of Information Systems, who has been with Xtant since June 2019, is responsible for our day-to-day assessment and management of cybersecurity risks. He is also the founder of a data privacy consulting company and has over 20 years of experience in the data management space. We have implemented a number of processes which allow our Vice President of Information Systems and his team to be informed about and monitor the prevention, detection, mitigation, and remediation of cybersecurity incidents. These processes include, among other things, system alerts of potential malicious cyber activity, access to real-time dashboards that monitor and assess our systems, status reports provided on a daily, weekly and monthly basis, and regular ongoing communications with service providers regarding potential new attack vectors and vulnerabilities. Our Vice President of Information Systems and his team share such information with our management team and reports information about such risks to our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Consultants and Advisors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engage various third-party cybersecurity service providers to assess and enhance our cybersecurity practices and assist with protection and monitoring of our systems and information, including with respect to protection of our e-mail, system access, network monitoring, endpoint protection, vulnerability assessments and penetration testing. We engage cybersecurity consultants, auditors, and other third parties to assess and enhance our cybersecurity practices, such as a third-party consulting firm to perform tabletop exercises and evaluate our cyber processes including an assessment of our incident response procedures.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Board Oversight</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Board of Directors, both directly and through the delegation of responsibilities to the Audit Committee oversees the proper functioning of our cybersecurity risk management program. In particular, the Audit Committee assists the Board of Directors in its oversight of management’s responsibility to assess, manage and mitigate risks associated with the Company’s business and operational activities, to administer the Company’s various compliance programs, in each case including cybersecurity concerns, and to oversee our information technology systems, processes and data. The Audit Committee, which is comprised entirely of independent directors, is responsible for periodically reviewing and assessing with management (i) the adequacy of controls and security for our information technology systems, processes and data, and (ii) our contingency plans in the event of a breakdown or security breach affecting our information technology systems, it being understood that it is not possible to eliminate all such risks and that the Company will necessarily face a variety of risks with respect to information technology in the conduct of its business. The Audit Committee is additionally responsible for reviewing the cybersecurity disclosures required to be included in our filings with the SEC.</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Audit Committee reviews a cybersecurity dashboard at its regularly held meetings, which includes certain information about overall security, employee training, and other statistics. Members of our management team often attend these discussions, and the Audit Committee has requested that our Vice President of Information Systems provide updates at two of its meetings annually. The management team and/or Audit Committee, in turn, regularly provide data protection and cybersecurity reports to the full Board of Directors.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Although none of the members of the Audit Committee has any work experience, degree, or certifications related to information security or cybersecurity, the Audit Committee works closely with members of our employee team with relevant expertise, and we have engaged third-party service providers to further enhance our cybersecurity efforts.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from Material Cybersecurity Threats</w:t>
      </w:r>
    </w:p>
    <w:p>
      <w:pPr>
        <w:spacing w:after="0" w:line="212"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 xml:space="preserve">Although we have taken steps to prevent and mitigate data security threats, there can be no assurance that our protective measures and those of our third-party service providers will prevent or detect security breaches that could have a significant impact on our business, reputation, operating results and financial condition. We maintain cyber liability insurance; however, this insurance may not be sufficient to cover the financial, legal, business or reputational losses that may result from an interruption or breach of our systems. As of the date of this filing, we have not identified any cybersecurity threats that have materially affected or are reasonably anticipated to have a material effect on our business strategy, results of operations or financial condition. Although we have not experienced cybersecurity incidents that are individually, or in the aggregate, material, we have experienced cyberattacks in the past, which we believe have thus far been mitigated by preventative, detective, and responsive measures we have put in place. See the factors described in the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of this Form 10-K for further detail about the cybersecurity risks we face. Maintaining a robust information security system is an ongoing priority for us and we plan to continue to identify and evaluate new, emerging risks to data protection and cybersecurity both within our Company and through our engagement of third-party service providers.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headquarters and manufacturing facility are located at 664 Cruiser Lane, Belgrade, Montana 59714. We also have three other facilities on the contiguous Belgrade campus, located at 600 Cruiser Lane, 732 Cruiser Lane, and at 667 Glider Lane. All our properties are leased under leases that expire in October 2030. The 664 Cruiser Lane lease has a five-year extension option and all other leases have the option to extend for an additional two five-year terms.</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facility located at 664 Cruiser Lane is approximately 14,000 square feet of space. This building has an ISO 7 (Class 10,000) environmentally controlled area as well as diagnostic testing and research laboratories. The 600 Cruiser Lane building has approximately 17,700 square feet, which includes fourteen Class 100 (ISO 5) cleanrooms, a fully equipped diagnostics laboratory, microbiology laboratory and testing laboratory. The space at 732 Cruiser Lane is approximately 21,000 square feet where one Class 1,000 (ISO 6) cleanroom is located. The validated manufacturing areas and laboratory facilities located across this campus provide storage, processing, final packaging and testing space for production of biologic tissues and manufacturing medical devices pursuant to FDA, GMP regulations, and ISO 13485:2016.</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also lease an approximately 2,000 square foot facility in San Diego, California, which houses certain innovation and design functions and other corporate functions, which expires in December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legal proceedings are discussed in Note 12 – Commitments and Contingencies in the notes to our consolidated financial statements in this Form 10-K.</w:t>
      </w:r>
    </w:p>
    <w:p>
      <w:pPr>
        <w:spacing w:after="0" w:line="204" w:lineRule="exact"/>
        <w:rPr>
          <w:sz w:val="20"/>
          <w:szCs w:val="20"/>
          <w:color w:val="auto"/>
        </w:rPr>
      </w:pPr>
    </w:p>
    <w:p>
      <w:pPr>
        <w:jc w:val="center"/>
        <w:ind w:right="8980"/>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ind w:right="2600"/>
        <w:spacing w:after="0" w:line="497"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common stock is listed on the NYSE American under the ticker symbol “XTNT.”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As of February 28, 2026, we had 162 holders of record. A greater number of owners of our common stock are beneficial holders, whose shares of record are held by banks, brokers, and other financial institutions.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We have not paid any cash dividends and do not expect to do so in the foreseeable future. In addition, our Credit Agreements with MidCap preclude us from paying dividends.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did not sell any unregistered equity securities of our Company during the quarter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did not purchase any shares of our common stock or other equity securities of our Company during the quarter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This Management’s Discussion and Analysis provides material historical and prospective disclosures intended to enable investors and other users to assess our financial condition and results of operations. The following discussion should be read in conjunction with our consolidated financial statements and accompanying notes included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in the “Cautionary Statement Regarding Forward-Looking Statements” and under the heading “Part I. Item 1A.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develop, manufacture and market regenerative medicine products and medical devices for domestic and international markets. Our products serve the specialized needs of orthopedic and neurological surgeons, as well as trauma, foot and ankle, sports medicine, wound care surgeons including orthobiologics for the promotion of bone healing, amniotic tissue and collagen for both surgical repair and chronic wound care, implants and instrumentation for the treatment of spinal disease. We promote our products primarily in the United States through independent distributors and stocking agents, supported by direct employees.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have an extensive sales channel of independent commissioned agents and stocking distributors in the United States representing some or all of our products. We also maintain a national accounts program to enable our agents to gain access to integrated delivery network hospitals and through group purchasing organizations. We have biologics contracts with major GPOs, as well as extensive access to IDNs across the United States for both biologics and spine hardware systems. While our focus is the United States market, we promote and sell our products internationally through stocking distribution partners in Europe, Canada, Mexico, South America, and certain Pacific region countries. We have recently made and intend to continue to make measured investments in the expansion of our commercial team to support our new products and maximize the reach of our broad portfolio of orthobiologics solutions.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have focused and intend to continue to focus primarily on four key growth initiatives: (1) introduce new products, including our recently launched nanOss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Strata™, an advanced synthetic bone graft designed to closely resemble natural bone; CollagenX™, a bovine collagen particulate product for surgical wound closure;</w:t>
      </w:r>
    </w:p>
    <w:p>
      <w:pPr>
        <w:spacing w:after="0" w:line="193" w:lineRule="auto"/>
        <w:rPr>
          <w:sz w:val="20"/>
          <w:szCs w:val="20"/>
          <w:color w:val="auto"/>
        </w:rPr>
      </w:pPr>
      <w:r>
        <w:rPr>
          <w:rFonts w:ascii="Times New Roman" w:cs="Times New Roman" w:eastAsia="Times New Roman" w:hAnsi="Times New Roman"/>
          <w:sz w:val="17"/>
          <w:szCs w:val="17"/>
          <w:color w:val="auto"/>
        </w:rPr>
        <w:t>OsteoFactor Pro</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an allogenic growth factor solution; and Trivium™, a next-generation demineralized bone matrix, in addition to our introductions in 2024:</w:t>
      </w:r>
    </w:p>
    <w:p>
      <w:pPr>
        <w:jc w:val="both"/>
        <w:spacing w:after="0" w:line="230" w:lineRule="auto"/>
        <w:rPr>
          <w:sz w:val="20"/>
          <w:szCs w:val="20"/>
          <w:color w:val="auto"/>
        </w:rPr>
      </w:pPr>
      <w:r>
        <w:rPr>
          <w:rFonts w:ascii="Times New Roman" w:cs="Times New Roman" w:eastAsia="Times New Roman" w:hAnsi="Times New Roman"/>
          <w:sz w:val="17"/>
          <w:szCs w:val="17"/>
          <w:color w:val="auto"/>
        </w:rPr>
        <w:t>Cortera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Posterior Fixation System, a viable bone matrix; OsteoVive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Plus and amniotic membrane allografts, SimpliGraft™ and SimpliMax</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(2) expand our distribution network; (3) penetrate adjacent markets; and (4) leverage our growth platform with technology and strategic acquisitions. While the intent of these four key growth initiatives is to increase our future revenues, no assurance can be provided that we will be successful in implementing these growth initiatives or increasing our future revenues. Since one of our key growth initiatives is to leverage our growth platform with technology and strategic acquisitions and explore other strategic transactions with respect to our products and our company, including licenses, business collaborations and other business combinations or transactions with other companies, we, as a matter of course, often engage in discussions with third parties regarding such matters.</w:t>
      </w:r>
    </w:p>
    <w:p>
      <w:pPr>
        <w:spacing w:after="0" w:line="187"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During the first quarter of 2025, we entered into a manufacture and license agreement with a distributor pursuant to which we agreed to manufacture and supply to the distributor our SimpliGraft® product under the distributor’s name in exchange for a one-time $1.5 million cash payment and minimum SimpliGraft® product purchase obligations of the distributor. During the fourth quarter of 2024, we entered into a license agreement with a distributor granting an exclusive right and license to manufacture and commercialize in the United States our SimpliMax™ product in exchange for a one-time $1.5 million cash payment and minimum quarterly royalty payments based on the volume of product sold by the distributor. Effective January 1, 2026, the Centers for Medicare &amp; Medicaid Services implemented a Local Coverage Determination with significant changes to reimbursement for cellular and tissue-based products, which impacted our SimpliMax™ and SimpliGraft® products. In addition, on July 14 and 15, 2025, CMS released the CY 2026 Physician Fee Schedule proposal and the CY 2026 Hospital Outpatient Prospective Payment System proposal. Under these rules, which were implemented on January 1, 2026, CMS instituted a consistent payment approach for skin substitutes across the private office and hospital outpatient departments settings with a fixed price of $127.14 per square centimeter. Together with the Local Coverage Determination and a recently announced Wasteful and Inappropriate Service Reduction model, there are several significant potential changes to reimbursement of skin substitutes that have impacted and will likely continue to impact the industry and the sale of our SimpliMax™ and SimpliGraft® products. Because of these regulatory changes, the SimpliGraft® manufacture and license agreement was terminated effective December 31, 2025 and it is possible that the SimpliMax™ license agreement may be terminated, adversely affecting our 2026 and future license revenue. During 2025, we recognized $18.7 million in license revenue and certain product revenue that likely will not repeat in 2026 due primarily to these reimbursement changes. The loss of this license and product revenue will have an adverse impact on our 2026 revenues and other operating results, including in particular, our gross margins.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Sale of Coflex/CoFix Assets and International Hardware Business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December 1, 2025, we completed the sale of certain assets relating to our Coflex and CoFix products to Companion Spine pursuant to an Asset Purchase Agreement dated July 7, 2025. The total purchase price of the Coflex/CoFix Divestiture was $17.5 million (subject to a closing inventory valuation adjustment set forth in the Coflex/CoFix Agreement). Of the total purchase price, an aggregate of $7.5 million was previously paid to us in cash as non-refundable deposits, $1.8 million was paid to us in cash at the closing, and $8.2 million was paid to us as an unsecured promissory note issued by Companion Spine to us the closing (the “Companion Spine Note”). The outstanding principal balance of the Companion Spine Note, together with the related accrued interest, totaling $8.5 million was paid to us on February 27, 2026.</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Also, on December 1, 2025, we completed the sale of all of our shares of equity securities of Paradigm. The total purchase price of the Paradigm Divestiture was $3.9 million, $1.7 million of which was paid to us in cash at the closing and $2.2 million paid on February 27, 2026 in settlement of a net working capital and other purchase price adjustments.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aggregate purchase price associated with the two Divestitures was $21.4 million. Of the $10.0 million in cash that we received as a result of the Divestitures prior to the end of 2025, $8.0 million was used to repay a portion of our term debt, resulting in $14.0 million in principal outstanding under our term debt as of December 31, 2025. On February 27, 2026, we subsequently received $10.7 million, $2.8 million of which was used to repay a portion of our term debt, resulting in $11.2 million outstanding as of the date of the filing of this report.</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2025, we recognized $20.3 million in revenue from sales of our Coflex and CoFix products and international hardware products which we sold to Companion Spine. The loss of this revenue will adversely affect our 2026 revenue.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2025 and December 31, 2024</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2025 and 2024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518"/>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0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0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right"/>
              <w:ind w:right="456"/>
              <w:spacing w:after="0" w:line="186" w:lineRule="exact"/>
              <w:rPr>
                <w:sz w:val="20"/>
                <w:szCs w:val="20"/>
                <w:color w:val="auto"/>
              </w:rPr>
            </w:pPr>
            <w:r>
              <w:rPr>
                <w:rFonts w:ascii="Times New Roman" w:cs="Times New Roman" w:eastAsia="Times New Roman" w:hAnsi="Times New Roman"/>
                <w:sz w:val="17"/>
                <w:szCs w:val="17"/>
                <w:b w:val="1"/>
                <w:bCs w:val="1"/>
                <w:color w:val="auto"/>
              </w:rPr>
              <w:t>% of</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right"/>
              <w:ind w:right="456"/>
              <w:spacing w:after="0" w:line="186" w:lineRule="exact"/>
              <w:rPr>
                <w:sz w:val="20"/>
                <w:szCs w:val="20"/>
                <w:color w:val="auto"/>
              </w:rPr>
            </w:pPr>
            <w:r>
              <w:rPr>
                <w:rFonts w:ascii="Times New Roman" w:cs="Times New Roman" w:eastAsia="Times New Roman" w:hAnsi="Times New Roman"/>
                <w:sz w:val="17"/>
                <w:szCs w:val="17"/>
                <w:b w:val="1"/>
                <w:bCs w:val="1"/>
                <w:color w:val="auto"/>
              </w:rPr>
              <w: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2"/>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38"/>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2"/>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Product revenue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115,204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115,765</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revenue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18,723</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1,502</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133,927</w:t>
            </w:r>
          </w:p>
        </w:tc>
        <w:tc>
          <w:tcPr>
            <w:tcW w:w="1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4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7"/>
                <w:szCs w:val="17"/>
                <w:color w:val="auto"/>
              </w:rPr>
              <w:t>100.0%</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117,267</w:t>
            </w:r>
          </w:p>
        </w:tc>
        <w:tc>
          <w:tcPr>
            <w:tcW w:w="1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4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49,654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49,051</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84,273</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62.9</w:t>
            </w:r>
          </w:p>
        </w:tc>
        <w:tc>
          <w:tcPr>
            <w:tcW w:w="2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68,216</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58.2</w:t>
            </w:r>
          </w:p>
        </w:tc>
        <w:tc>
          <w:tcPr>
            <w:tcW w:w="2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29,375</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28,691</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45,512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49,214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2,385</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76,989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57.5</w:t>
            </w:r>
          </w:p>
        </w:tc>
        <w:tc>
          <w:tcPr>
            <w:tcW w:w="2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80,290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68.5</w:t>
            </w:r>
          </w:p>
        </w:tc>
        <w:tc>
          <w:tcPr>
            <w:tcW w:w="2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Income (Loss) from Operations</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7,284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5.4</w:t>
            </w:r>
          </w:p>
        </w:tc>
        <w:tc>
          <w:tcPr>
            <w:tcW w:w="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(12,074</w:t>
            </w:r>
          </w:p>
        </w:tc>
        <w:tc>
          <w:tcPr>
            <w:tcW w:w="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(10.3</w:t>
            </w:r>
          </w:p>
        </w:tc>
        <w:tc>
          <w:tcPr>
            <w:tcW w:w="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Other (Expense) Income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(4,160)</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foreign currency translation (loss) gain</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5</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divestiture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1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(expense)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(33)</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Other (Expense) Income</w:t>
            </w:r>
          </w:p>
        </w:tc>
        <w:tc>
          <w:tcPr>
            <w:tcW w:w="1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(283</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(0.2</w:t>
            </w:r>
          </w:p>
        </w:tc>
        <w:tc>
          <w:tcPr>
            <w:tcW w:w="2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w w:val="90"/>
              </w:rPr>
              <w:t>)%</w:t>
            </w:r>
          </w:p>
        </w:tc>
        <w:tc>
          <w:tcPr>
            <w:tcW w:w="3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(4,188</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(3.6</w:t>
            </w:r>
          </w:p>
        </w:tc>
        <w:tc>
          <w:tcPr>
            <w:tcW w:w="2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Net Income (Loss) from Operations Before Provision for Income</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7,001</w:t>
            </w:r>
          </w:p>
        </w:tc>
        <w:tc>
          <w:tcPr>
            <w:tcW w:w="120" w:type="dxa"/>
            <w:vAlign w:val="bottom"/>
            <w:shd w:val="clear" w:color="auto" w:fill="CCEEFF"/>
          </w:tcPr>
          <w:p>
            <w:pPr>
              <w:spacing w:after="0"/>
              <w:rPr>
                <w:sz w:val="20"/>
                <w:szCs w:val="20"/>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(16,262)</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(Provision) Benefit for Income Taxes</w:t>
            </w: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and Deferred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(187)</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(16,449</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Total revenue for the year ended December 31, 2025 increased 14% to $133.9 million compared to $117.3 million for the prior year. This increase is attributed primarily to $18.7 million of license revenue recognized for the year ended December 31, 2025 compared to $1.5 million for the year ended December 31, 2024, and an increase in volume of orthobiologics sales. These increases were partially offset by decreased hardware revenue in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Sales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Cost of sales consists primarily of manufacturing cost, product purchase costs, and depreciation of surgical instruments. Cost of sales also includes reserves for estimated excess inventory and inventory on consignment that may be missing and not returned. Cost of sales increased by 1%, or $0.6 million, to $49.7 million for the year ended December 31, 2025 from $49.1 million for the year ended December 31, 2024. The increase was due primarily to increased charges for excess and obsolete inventory, partially offset by reduced product costs resulting from the transition to internal production in 2025 compared to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Profit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Gross profit as a percentage of revenue increased to 62.9% for the year ended December 31, 2025 compared to 58.2% for the year ended December 31, 2024. Of this increase, 530 basis points were due to sales mix and greater scale, partially offset by a decrease of 260 basis points due to increased charges for excess and obsolete inventory.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 costs for corporate employees, cash-based and stock-based compensation related costs, amortization, and corporate expenses for legal, accounting and other professional fees, as well as occupancy costs. General and administrative expenses increased 2%, or $0.7 million, to $29.4 million for the year ended December 31, 2025 compared to $28.7 million for the year ended December 31, 2024. This increase is primarily attributable to $2.2 million of additional expense related to various compensation plans, $0.7 million of additional bad debt expense, $0.7 million of additional legal fees associated primarily with the divestiture transactions with Companion Spine, partially offset by $1.2 million of reduced stock-based compensation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Sales and marketing expenses consist primarily of sales commissions; personnel costs for sales and marketing employees; costs for trade shows, sales conventions and meetings; travel expenses; advertising; and other sales and marketing related costs. Sales and marketing expenses decreased 8%, or $3.7 million, to $45.5 million for the year ended December 31, 2025 compared to $49.2 million for the year ended December 31, 2024. This decrease is primarily due to reduced commission expense of $3.9 million resulting from revenue mix and $2.1 million of reduced compensation expense related to headcount, partially offset by $2.9 million of additional consulting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Research and development expenses consist primarily of internal costs for the development of new product technologies. Research and development expenses decreased 12%, or $0.3 million, to $2.1 million for year ended December 31, 2025 compared to $2.4 million for the year ended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Interest expense for the year ended December 31, 2025 decreased $0.5 million to $3.7 million as compared to $4.2 million for the year ended December 31, 2024. This decrease resulted primarily from reduced borrowings on our revolving line of credit, as well as prepayments totaling $8.0 million on our term loan, during 2025 as compared to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recognized $0.1 million of interest income during the year ended December 31, 2025 related to the Companion Spine Note receivable from the sale of assets related to our Coflex and CoFix products to Companion Spine.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on Divestiture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recognized a gain on divestiture of $3.3 million for the year ended December 31, 2025 as a result of the sale of assets related to our Coflex and CoFix products and international hardware business to Companion Spine during 2025. No similar gain was recognized during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Provision for Income Taxes Current and Deferred</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Income tax provision for the year ended December 31, 2025 was $2.0 million compared to $0.2 million for the year ended December 31, 2024. This change resulted primarily due to our net income position and an increase in cash federal and state taxes in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Working Capital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Since our inception, we have financed our operations primarily through operating cash flows, private placements of equity securities and convertible debt, debt facilities, common stock rights offerings, and other debt transactions. The following table summarizes our working capital as of December 31, 2025 and 2024 (in thousands):</w:t>
      </w:r>
    </w:p>
    <w:p>
      <w:pPr>
        <w:spacing w:after="0" w:line="178" w:lineRule="exact"/>
        <w:rPr>
          <w:sz w:val="20"/>
          <w:szCs w:val="20"/>
          <w:color w:val="auto"/>
        </w:rPr>
      </w:pPr>
    </w:p>
    <w:tbl>
      <w:tblPr>
        <w:tblLayout w:type="fixed"/>
        <w:tblInd w:w="14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Borders>
              <w:bottom w:val="single" w:sz="8" w:color="CCEEFF"/>
            </w:tcBorders>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Cash and cash equivalents</w:t>
            </w:r>
          </w:p>
        </w:tc>
        <w:tc>
          <w:tcPr>
            <w:tcW w:w="15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17,328</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6,221</w:t>
            </w:r>
          </w:p>
        </w:tc>
        <w:tc>
          <w:tcPr>
            <w:tcW w:w="6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20,660</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30,263</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38,634</w:t>
            </w:r>
          </w:p>
        </w:tc>
        <w:tc>
          <w:tcPr>
            <w:tcW w:w="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Note receivable</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current assets</w:t>
            </w:r>
          </w:p>
        </w:tc>
        <w:tc>
          <w:tcPr>
            <w:tcW w:w="1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78,245</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67,116</w:t>
            </w:r>
          </w:p>
        </w:tc>
        <w:tc>
          <w:tcPr>
            <w:tcW w:w="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7,918</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10,626</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w:t>
            </w:r>
          </w:p>
        </w:tc>
        <w:tc>
          <w:tcPr>
            <w:tcW w:w="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Line of credit</w:t>
            </w:r>
          </w:p>
        </w:tc>
        <w:tc>
          <w:tcPr>
            <w:tcW w:w="1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10,857</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12,120</w:t>
            </w:r>
          </w:p>
        </w:tc>
        <w:tc>
          <w:tcPr>
            <w:tcW w:w="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29,484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28,581</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working capital</w:t>
            </w:r>
          </w:p>
        </w:tc>
        <w:tc>
          <w:tcPr>
            <w:tcW w:w="1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48,761</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38,535</w:t>
            </w:r>
          </w:p>
        </w:tc>
        <w:tc>
          <w:tcPr>
            <w:tcW w:w="60" w:type="dxa"/>
            <w:vAlign w:val="bottom"/>
            <w:shd w:val="clear" w:color="auto" w:fill="CCEEFF"/>
          </w:tcPr>
          <w:p>
            <w:pPr>
              <w:spacing w:after="0"/>
              <w:rPr>
                <w:sz w:val="17"/>
                <w:szCs w:val="17"/>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2025 was $12.5 million compared to net cash used in operating activities of $11.9 million for the year ended December 31, 2024. This change relates primarily to net income for the year ended December 31, 2025 compared to a net loss for the year ended December 31, 2024.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2" w:name="page53"/>
    <w:bookmarkEnd w:id="52"/>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Net cash provided by investing activities for the year ended December 31, 2025 was $7.9 million compared to net cash used in investing activities of $3.7 million for the year ended December 31, 2024. This change relates primarily to the proceeds from the Divestitures to Companion Spine.</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2025 was $9.6 million compared to net cash provided by financing activities of $16.1 million for the year ended December 31, 2024. This change relates primarily to $8.7 million of reduced revolver borrowings, net of repayments, during 2025 compared to 2024; an $8.0 million payment on long- term debt using a portion of the proceeds from the Divestitures in 2025; $5.0 million additional borrowings during 2024; and $4.5 million in proceeds from a private placement during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Facilities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March 7, 2024, the Company, as guarantor, and certain of our subsidiaries, as borrowers (collectively, the “Borrowers”), entered into an Amended and Restated Credit, Security and Guaranty Agreement (Term Loan) (as amended from time to time, the “Term Credit Agreement”) and an Amended and Restated Credit, Security and Guaranty Agreement (Revolving Loan) (as amended from time to time, the “Revolving Credit Agreement” and, together with the Term Credit Agreement, the “Credit Agreements”) with MidCap Financial Trust and MidCap Funding IV Trust (collectively, “MidCap”), each in its respective capacity as agent, and lenders from time to time party thereto.</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May 14, 2024, we entered into Amendment No. 1 to Amended and Restated Credit, Security and Guarantee Agreement (Term Loan) (“Term Amendment No. 1”), which amended the Term Credit Agreement, and Amendment No. 1 to Amended and Restated Credit, Security and Guarantee Agreement (Revolving Loan) (“Revolving Amendment No. 1” and, together with Term Amendment No. 1, the “Amendments No. 1”), which amended the Revolving Credit Agreement. The Term Amendment No. 1 increased the amount of term loans that may be borrowed by $5.0 million to a maximum of $22.0 million, which was fully drawn as of December 31, 2025. In addition, the Amendments No. 1 re-set the date certain fees payable in connection with optional prepayments are determined to May 14, 2024 and consequently extended such fees’ original expiration. The exit fees were increased by 2.50% to 6.50% of the principal amount borrowed pursuant to the Term Credit Agreement. The terms of borrowing under the Credit Agreements otherwise remained materially unchanged after the Amendments No. 1.</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July 7, 2025, we entered into a Limited Consent and Amendment No. 3 to Amended and Restated Credit, Security and Guaranty Agreement (Term Loan) (the “Term Loan Limited Consent”) with MidCap Financial Trust and a Limited Consent and Amendment No. 3 to Amended and Restated Credit, Security and Guaranty Agreement (Revolving Loan) (the “Revolving Loan Limited Consent” and together with the Term Loan Limited Consent, the “Limited Consent Agreements”) with MidCap Funding IV Trust. Under the Limited Consent Agreements, MidCap agreed, subject to the terms and conditions set forth in the Limited Consent Agreements, to, among other things, consent to us entering into the Coflex/CoFix Agreement and Paradigm Agreement and the consummation of the Divestitures in accordance with the terms and subject to the conditions set forth therein, including our prepayment in accordance with the Term Loan Credit Agreement of $9.6 million to MidCap from the proceeds of the Divestitures.</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March 26, 2026, we entered into Amendment No. 4 to Amended and Restated Credit, Security and Guaranty Agreement (Term Loan) with MidCap Financial Trust and Amendment No. 4 to Amended and Restated Credit, Security and Guaranty Agreement (Revolving Loan) with MidCap Funding IV Trust (collectively, the “Amendment No. 4s”) pursuant to which we eliminated the requirement to comply with the minimum net revenue covenant for fourth quarter of 2025, adjusted the amortization of the term loan to have amortization calculated off the amount of principal outstanding when amortization payments start instead of the original principal amount of the term loan, and revised the minimum net revenue covenant to align solely with revenue generated from the orthobiologics products and correspondingly adjusted the minimum net revenue amounts.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Revolving Credit Agreement, as amended, provides for a secured revolving credit facility (the “Revolving Facility,” and, together with the secured term credit facility under the Term Credit Agreement, the “Facilities”) under which the Borrowers may borrow up to $17.0 million at any one time, the availability of which is determined based on a borrowing base equal to percentages of certain accounts receivable and inventory of the Borrowers in accordance with a formula set forth in the Revolving Credit Agreement. All borrowings under the Revolving Facility are subject to the satisfaction of customary conditions, including the absence of default, the accuracy of representations and warranties in all material respects and the delivery of an updated borrowing base certificate.</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Facilities have a maturity date of March 1, 2029. Each of the Borrowers, and the Company, as guarantor, are jointly and severally liable for all of the obligations under the Facilities on the terms set forth in the Credit Agreements. The Borrowers’ obligations, and the Company’s obligations as a guarantor, under the Credit Agreements are secured by first-priority liens on substantially all of their assets, including, without limitation, all inventory, equipment, accounts, intellectual property and other assets of the Company and the Borrowers. As of December 31, 2025, we had $10.9 million outstanding and $3.8 million of availability under the Revolving Credit Facility. As mentioned above, on February 27, 2026, we received $10.7 million upon repayment of the Companion Spine Note and settlement of the net working capital and other purchase price adjustments, $2.8 million of which was used to repay a portion of our term debt, resulting in $11.2 million outstanding as of the date of the filing of this report.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3" w:name="page54"/>
    <w:bookmarkEnd w:id="53"/>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loans and other obligations pursuant to the Credit Agreements bear interest at a per annum rate equal to the sum of the SOFR Interest Rate, as such term is defined in the Credit Agreements, plus the applicable margin of 6.50% in the case of the Term Credit Agreement, and an applicable margin of 4.50% in the case of the Revolving Credit Agreement, subject in each case to a floor of 2.50%. As of December 31, 2025, the effective rate of the Term Credit Agreement, inclusive of authorization of debt issuance costs and accretion of the final payment, was 14.08%, and the effective rate of the Revolving Credit Agreement was 8.49%.</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Credit Agreements contain affirmative and negative covenants customarily applicable to senior secured credit facilities, including covenants that, among other things, limit or restrict the ability of the Borrowers,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 In addition, the Credit Agreements require the Borrowers and the Company to maintain net product revenue at or above minimum levels and to maintain a certain minimum liquidity level, in each case as specified in the Credit Agreements. As of December 31, 2025, we were in compliance with all applicable covenants under the Credit Agreements. As of December 31, 2025, our Credit Agreements included a minimum net revenue covenant, however, pursuant to the Amendment No. 4s executed in March 2026, we were not required to comply with the minimum net revenue covenant for the quarter ended December 31, 2025. Under the covenant terms in effect prior to the Amendment No. 4s, we would not have been in compliance with the minimum net revenue requirement for that quarter.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Requirements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believe that our $17.3 million of cash and cash equivalents as of December 31, 2025, together with the $10.7 million in cash we received on February 27, 2026 from Companion Spine in connection with the Divestitures, our anticipated operating cash flows and amounts available under the Facilities, will be sufficient to meet our anticipated cash requirements through at least March 2027. However, we may require or seek additional capital to fund our future operations and business strategy prior to March 2027. Accordingly, there is no assurance that we will not need or seek additional financing prior to such time.</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may elect to raise additional financing even before we need it if market conditions for raising additional capital are favorable. We may seek to raise additional financing through various sources, such as equity and debt financings, or additional debt restructurings or refinancings. We can give no assurances that we will be able to secure additional sources of funds to support our operations, or if such funds are available to us, that such additional financing will be sufficient to meet our needs or on terms acceptable to us. This is particularly true if economic and market conditions deteriorate or our business, financial performance or prospects deteriorate.</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equity or convertible debt securities or the restructuring or refinancing of our debt, the interests of our current stockholders may be diluted, and the terms may include discounted equity purchase prices, warrant coverage, liquidation or other preferences or rights that would adversely affect the rights of our current stockholders. If we issue common stock, we may do so at purchase prices that represent a discount to our trading price and/or we may issue warrants to the purchasers, which could further dilute our current stockholders. If we issue preferred stock, it could adversely affect the rights of our stockholders or reduce the value of our common stock. In particular, specific rights or preferences granted to future holders of preferred stock may include voting rights, preferences as to dividends and liquidation, conversion and redemption rights, sinking fund provisions, and restrictions on our ability to merge with or sell our assets to a third party. Additional debt financing, if available, may involve agreements that include covenants limiting or restricting our ability to take specific actions, such as incurring additional debt, making capital expenditures or declaring dividends. Prior to raising additional equity or debt financing, we may be required to obtain the consent of MidCap Financial Trust and MidCap Funding IV Trust under our Credit Agreements, and no assurance can be provided that they would provide such consent, which could limit our ability to raise additional financing and the terms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Information regarding recent accounting pronouncements is included in Note 1 to our consolidated financial statements in “</w:t>
      </w:r>
      <w:r>
        <w:rPr>
          <w:rFonts w:ascii="Times New Roman" w:cs="Times New Roman" w:eastAsia="Times New Roman" w:hAnsi="Times New Roman"/>
          <w:sz w:val="17"/>
          <w:szCs w:val="17"/>
          <w:i w:val="1"/>
          <w:iCs w:val="1"/>
          <w:color w:val="auto"/>
        </w:rPr>
        <w:t>Item 8. Financial Statements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Supplementary Data</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All of our significant accounting policies and estimates are described in Note 1 to our consolidated financial statements in “</w:t>
      </w:r>
      <w:r>
        <w:rPr>
          <w:rFonts w:ascii="Times New Roman" w:cs="Times New Roman" w:eastAsia="Times New Roman" w:hAnsi="Times New Roman"/>
          <w:sz w:val="17"/>
          <w:szCs w:val="17"/>
          <w:i w:val="1"/>
          <w:iCs w:val="1"/>
          <w:color w:val="auto"/>
        </w:rPr>
        <w:t>Item 8. Financial Statements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Supplementary Data</w:t>
      </w:r>
      <w:r>
        <w:rPr>
          <w:rFonts w:ascii="Times New Roman" w:cs="Times New Roman" w:eastAsia="Times New Roman" w:hAnsi="Times New Roman"/>
          <w:sz w:val="17"/>
          <w:szCs w:val="17"/>
          <w:color w:val="auto"/>
        </w:rPr>
        <w:t>.” Certain of our more critical accounting estimates require the application of significant judgment by management in selecting the appropriate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assumptions in determining the estimate. By their nature, these judgments are subject to an inherent degree of uncertainty. We develop these judgments based on our historical experience, terms of existing contracts, our observance of trends in the industry, information provided by our customers, and information available from other outside sources, as appropriate. Actual results may differ from these estimates under different assumption conditions.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4" w:name="page55"/>
    <w:bookmarkEnd w:id="54"/>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believe that the following financial estimate is both important to the portrayal of our financial condition and results of operations and requires subjective or complex judgments. Further, we believe that the item discussed below is properly recorded in our consolidated financial statements for all periods presented. Our management has discussed the development, selection, and disclosure of our most critical financial estimates with the Audit Committee of the Board of Directors and with our independent registered public accounting firm. The judgments about those financial estimates are based on information available as of the date of our financial statements. Our most critical accounting estimate is inventory valuation, as described in more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Valuation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is determined using the specific identification method and includes materials, labor and overhead. We calculate an inventory reserve for estimated obsolescence and excess inventory based on historical usage and sales, as well as assumptions about anticipated future demand for products. A significant sustained decrease in demand could result in an increase in the amount of excess inventory quantities on hand. Additionally, our industry is characterized by regular new product development and introductions that could result in an increase in the amount of obsolete inventory quantities on hand due to cannibalization of existing products. Our estimates for excess and obsolete inventory are reviewed and updated on a quarterly basis. Our estimates of anticipated future product demand may prove to be inaccurate in which case we may be required to incur charges for excess and obsolete inventory. Increases in our inventory reserves result in a corresponding expense, which is recorded to cost of sales. We believe the total reserve at December 31, 2025 is adequate.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This Item 7A is inapplicable to us as a smaller reporting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900" w:type="dxa"/>
            <w:vAlign w:val="bottom"/>
            <w:gridSpan w:val="5"/>
          </w:tcPr>
          <w:p>
            <w:pPr>
              <w:jc w:val="center"/>
              <w:ind w:right="1520"/>
              <w:spacing w:after="0"/>
              <w:rPr>
                <w:sz w:val="20"/>
                <w:szCs w:val="20"/>
                <w:color w:val="auto"/>
              </w:rPr>
            </w:pPr>
            <w:r>
              <w:rPr>
                <w:rFonts w:ascii="Times New Roman" w:cs="Times New Roman" w:eastAsia="Times New Roman" w:hAnsi="Times New Roman"/>
                <w:sz w:val="17"/>
                <w:szCs w:val="17"/>
                <w:b w:val="1"/>
                <w:bCs w:val="1"/>
                <w:color w:val="auto"/>
                <w:w w:val="98"/>
              </w:rPr>
              <w:t>INDEX TO CONSOLIDATED FINANCIAL STATEMENTS</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720" w:type="dxa"/>
            <w:vAlign w:val="bottom"/>
            <w:tcBorders>
              <w:top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320" w:type="dxa"/>
            <w:vAlign w:val="bottom"/>
            <w:gridSpan w:val="10"/>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 xml:space="preserve">Reports of Independent Registered Public Accounting Firms </w:t>
            </w:r>
            <w:r>
              <w:rPr>
                <w:rFonts w:ascii="Times New Roman" w:cs="Times New Roman" w:eastAsia="Times New Roman" w:hAnsi="Times New Roman"/>
                <w:sz w:val="17"/>
                <w:szCs w:val="17"/>
                <w:color w:val="000000"/>
              </w:rPr>
              <w:t>(PCAOB ID Number 248)</w:t>
            </w:r>
          </w:p>
        </w:tc>
        <w:tc>
          <w:tcPr>
            <w:tcW w:w="1900" w:type="dxa"/>
            <w:vAlign w:val="bottom"/>
            <w:shd w:val="clear" w:color="auto" w:fill="CCEEFF"/>
          </w:tcPr>
          <w:p>
            <w:pPr>
              <w:jc w:val="right"/>
              <w:ind w:right="136"/>
              <w:spacing w:after="0" w:line="164" w:lineRule="exact"/>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60" w:type="dxa"/>
            <w:vAlign w:val="bottom"/>
            <w:tcBorders>
              <w:top w:val="single" w:sz="8" w:color="0000EE"/>
            </w:tcBorders>
            <w:gridSpan w:val="7"/>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Operations</w:t>
            </w:r>
          </w:p>
        </w:tc>
        <w:tc>
          <w:tcPr>
            <w:tcW w:w="5260" w:type="dxa"/>
            <w:vAlign w:val="bottom"/>
            <w:tcBorders>
              <w:top w:val="single" w:sz="8" w:color="CCEEFF"/>
            </w:tcBorders>
            <w:gridSpan w:val="3"/>
          </w:tcPr>
          <w:p>
            <w:pPr>
              <w:spacing w:after="0"/>
              <w:rPr>
                <w:sz w:val="14"/>
                <w:szCs w:val="14"/>
                <w:color w:val="auto"/>
              </w:rPr>
            </w:pPr>
          </w:p>
        </w:tc>
        <w:tc>
          <w:tcPr>
            <w:tcW w:w="1900" w:type="dxa"/>
            <w:vAlign w:val="bottom"/>
            <w:tcBorders>
              <w:top w:val="single" w:sz="8" w:color="CCEEFF"/>
            </w:tcBorders>
          </w:tcPr>
          <w:p>
            <w:pPr>
              <w:jc w:val="right"/>
              <w:ind w:right="136"/>
              <w:spacing w:after="0" w:line="164" w:lineRule="exact"/>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32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Consolidated Statements of Comprehensive Income (Loss)</w:t>
            </w:r>
          </w:p>
        </w:tc>
        <w:tc>
          <w:tcPr>
            <w:tcW w:w="1900" w:type="dxa"/>
            <w:vAlign w:val="bottom"/>
            <w:shd w:val="clear" w:color="auto" w:fill="CCEEFF"/>
          </w:tcPr>
          <w:p>
            <w:pPr>
              <w:jc w:val="right"/>
              <w:ind w:right="136"/>
              <w:spacing w:after="0" w:line="182" w:lineRule="exact"/>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40" w:type="dxa"/>
            <w:vAlign w:val="bottom"/>
            <w:tcBorders>
              <w:top w:val="single" w:sz="8" w:color="0000EE"/>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97"/>
              </w:rPr>
              <w:t>Consolidated Balance Sheets</w:t>
            </w:r>
          </w:p>
        </w:tc>
        <w:tc>
          <w:tcPr>
            <w:tcW w:w="2000" w:type="dxa"/>
            <w:vAlign w:val="bottom"/>
            <w:tcBorders>
              <w:top w:val="single" w:sz="8" w:color="0000EE"/>
            </w:tcBorders>
            <w:gridSpan w:val="5"/>
          </w:tcPr>
          <w:p>
            <w:pPr>
              <w:spacing w:after="0"/>
              <w:rPr>
                <w:sz w:val="14"/>
                <w:szCs w:val="14"/>
                <w:color w:val="auto"/>
              </w:rPr>
            </w:pPr>
          </w:p>
        </w:tc>
        <w:tc>
          <w:tcPr>
            <w:tcW w:w="5380" w:type="dxa"/>
            <w:vAlign w:val="bottom"/>
            <w:tcBorders>
              <w:top w:val="single" w:sz="8" w:color="CCEEFF"/>
            </w:tcBorders>
            <w:gridSpan w:val="4"/>
          </w:tcPr>
          <w:p>
            <w:pPr>
              <w:spacing w:after="0"/>
              <w:rPr>
                <w:sz w:val="14"/>
                <w:szCs w:val="14"/>
                <w:color w:val="auto"/>
              </w:rPr>
            </w:pPr>
          </w:p>
        </w:tc>
        <w:tc>
          <w:tcPr>
            <w:tcW w:w="1900" w:type="dxa"/>
            <w:vAlign w:val="bottom"/>
            <w:tcBorders>
              <w:top w:val="single" w:sz="8" w:color="CCEEFF"/>
            </w:tcBorders>
          </w:tcPr>
          <w:p>
            <w:pPr>
              <w:jc w:val="right"/>
              <w:ind w:right="136"/>
              <w:spacing w:after="0" w:line="164" w:lineRule="exact"/>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32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Consolidated Statements of Changes in Stockholders’ Equity</w:t>
            </w:r>
          </w:p>
        </w:tc>
        <w:tc>
          <w:tcPr>
            <w:tcW w:w="1900" w:type="dxa"/>
            <w:vAlign w:val="bottom"/>
            <w:shd w:val="clear" w:color="auto" w:fill="CCEEFF"/>
          </w:tcPr>
          <w:p>
            <w:pPr>
              <w:jc w:val="right"/>
              <w:ind w:right="136"/>
              <w:spacing w:after="0" w:line="182" w:lineRule="exact"/>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60" w:type="dxa"/>
            <w:vAlign w:val="bottom"/>
            <w:tcBorders>
              <w:top w:val="single" w:sz="8" w:color="0000EE"/>
              <w:bottom w:val="single" w:sz="8" w:color="0000EE"/>
            </w:tcBorders>
            <w:gridSpan w:val="3"/>
          </w:tcPr>
          <w:p>
            <w:pPr>
              <w:spacing w:after="0" w:line="164" w:lineRule="exact"/>
              <w:rPr>
                <w:sz w:val="20"/>
                <w:szCs w:val="20"/>
                <w:color w:val="auto"/>
              </w:rPr>
            </w:pPr>
            <w:r>
              <w:rPr>
                <w:rFonts w:ascii="Times New Roman" w:cs="Times New Roman" w:eastAsia="Times New Roman" w:hAnsi="Times New Roman"/>
                <w:sz w:val="17"/>
                <w:szCs w:val="17"/>
                <w:color w:val="0000EE"/>
                <w:w w:val="97"/>
              </w:rPr>
              <w:t>Consolidated Statements of Cash Flows</w:t>
            </w:r>
          </w:p>
        </w:tc>
        <w:tc>
          <w:tcPr>
            <w:tcW w:w="1420" w:type="dxa"/>
            <w:vAlign w:val="bottom"/>
            <w:tcBorders>
              <w:top w:val="single" w:sz="8" w:color="0000EE"/>
            </w:tcBorders>
            <w:gridSpan w:val="5"/>
          </w:tcPr>
          <w:p>
            <w:pPr>
              <w:spacing w:after="0"/>
              <w:rPr>
                <w:sz w:val="14"/>
                <w:szCs w:val="14"/>
                <w:color w:val="auto"/>
              </w:rPr>
            </w:pPr>
          </w:p>
        </w:tc>
        <w:tc>
          <w:tcPr>
            <w:tcW w:w="5240" w:type="dxa"/>
            <w:vAlign w:val="bottom"/>
            <w:tcBorders>
              <w:top w:val="single" w:sz="8" w:color="CCEEFF"/>
            </w:tcBorders>
            <w:gridSpan w:val="2"/>
          </w:tcPr>
          <w:p>
            <w:pPr>
              <w:spacing w:after="0"/>
              <w:rPr>
                <w:sz w:val="14"/>
                <w:szCs w:val="14"/>
                <w:color w:val="auto"/>
              </w:rPr>
            </w:pPr>
          </w:p>
        </w:tc>
        <w:tc>
          <w:tcPr>
            <w:tcW w:w="1900" w:type="dxa"/>
            <w:vAlign w:val="bottom"/>
            <w:tcBorders>
              <w:top w:val="single" w:sz="8" w:color="CCEEFF"/>
            </w:tcBorders>
          </w:tcPr>
          <w:p>
            <w:pPr>
              <w:jc w:val="right"/>
              <w:ind w:right="136"/>
              <w:spacing w:after="0" w:line="164" w:lineRule="exact"/>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32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1900" w:type="dxa"/>
            <w:vAlign w:val="bottom"/>
            <w:shd w:val="clear" w:color="auto" w:fill="CCEEFF"/>
          </w:tcPr>
          <w:p>
            <w:pPr>
              <w:jc w:val="right"/>
              <w:ind w:right="136"/>
              <w:spacing w:after="0" w:line="182" w:lineRule="exact"/>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920" w:type="dxa"/>
            <w:vAlign w:val="bottom"/>
            <w:tcBorders>
              <w:top w:val="single" w:sz="8" w:color="0000EE"/>
              <w:bottom w:val="single" w:sz="8" w:color="auto"/>
            </w:tcBorders>
            <w:gridSpan w:val="4"/>
          </w:tcPr>
          <w:p>
            <w:pPr>
              <w:spacing w:after="0"/>
              <w:rPr>
                <w:sz w:val="24"/>
                <w:szCs w:val="24"/>
                <w:color w:val="auto"/>
              </w:rPr>
            </w:pPr>
          </w:p>
        </w:tc>
        <w:tc>
          <w:tcPr>
            <w:tcW w:w="4880" w:type="dxa"/>
            <w:vAlign w:val="bottom"/>
            <w:tcBorders>
              <w:top w:val="single" w:sz="8" w:color="CCEEFF"/>
              <w:bottom w:val="single" w:sz="8" w:color="auto"/>
            </w:tcBorders>
            <w:gridSpan w:val="5"/>
          </w:tcPr>
          <w:p>
            <w:pPr>
              <w:jc w:val="right"/>
              <w:ind w:right="2120"/>
              <w:spacing w:after="0"/>
              <w:rPr>
                <w:sz w:val="20"/>
                <w:szCs w:val="20"/>
                <w:color w:val="auto"/>
              </w:rPr>
            </w:pPr>
            <w:r>
              <w:rPr>
                <w:rFonts w:ascii="Times New Roman" w:cs="Times New Roman" w:eastAsia="Times New Roman" w:hAnsi="Times New Roman"/>
                <w:sz w:val="17"/>
                <w:szCs w:val="17"/>
                <w:color w:val="auto"/>
              </w:rPr>
              <w:t>53</w:t>
            </w:r>
          </w:p>
        </w:tc>
        <w:tc>
          <w:tcPr>
            <w:tcW w:w="1520" w:type="dxa"/>
            <w:vAlign w:val="bottom"/>
            <w:tcBorders>
              <w:top w:val="single" w:sz="8" w:color="CCEEFF"/>
              <w:bottom w:val="single" w:sz="8" w:color="auto"/>
            </w:tcBorders>
          </w:tcPr>
          <w:p>
            <w:pPr>
              <w:spacing w:after="0"/>
              <w:rPr>
                <w:sz w:val="24"/>
                <w:szCs w:val="24"/>
                <w:color w:val="auto"/>
              </w:rPr>
            </w:pPr>
          </w:p>
        </w:tc>
        <w:tc>
          <w:tcPr>
            <w:tcW w:w="19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and Shareholders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Xtant Medical Holdings, Inc.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the financial statements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Xtant Medical Holdings, Inc. (a Delaware corporation) and subsidiaries (the “Company”) as of December 31, 2025 and 2024, the related consolidated statements of operations, comprehensive income (loss), changes in shareholders’ equity, and cash flows for each of the two years in the period ended December 31, 2025 and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and 2024,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critical matter communicated below is a matter arising from the current period audit of the financial statements that was communicated or required to be communicated to the audit committee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Reserves for excess and obsolete spinal implant inventory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described further in Note (1), Business Description and Summary of Significant Accounting Policies, to the consolidated financial statements, inventories are stated at the lower of cost or net realizable value. The Company calculates an inventory reserve for estimated obsolescence and excess inventory based on historical usage and sales, as well as assumptions regarding future demand for its products. We identified the estimation of reserves for excess and obsolete spinal implant inventory to be a critical audit matter.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principal consideration for our determination that excess and obsolete spinal implant inventory reserves is a critical audit matter is that the determination involves subjective auditor judgment because of the assumptions and judgments used in determining the excess and obsolete inventory reserves, including future demand for existing and new product launches.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excess and obsolete spinal implant inventory reserves included the following, among others:</w:t>
      </w:r>
    </w:p>
    <w:p>
      <w:pPr>
        <w:spacing w:after="0" w:line="208" w:lineRule="exact"/>
        <w:rPr>
          <w:sz w:val="20"/>
          <w:szCs w:val="20"/>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Obtained an understanding of management’s relevant controls to estimate excess and obsolete spinal implant inventories.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Tested the accuracy and completeness of underlying data used in the reserve calculations.</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Performed sensitivities to evaluate the reasonableness of assumptions used in determining the inventory reserves, specifically future demand for the Company’s products and reserve percentages by inventory type for new launch inventory.</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Assessed management’s ability to estimate saleable quantities by comparing the prior year estimates to actual sales in the current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Minneapolis, Minnesota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XTANT MEDICAL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number of shares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Revenue</w:t>
            </w: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Product revenue</w:t>
            </w: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115,204</w:t>
            </w:r>
          </w:p>
        </w:tc>
        <w:tc>
          <w:tcPr>
            <w:tcW w:w="9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115,765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revenue</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18,723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1,502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Revenue</w:t>
            </w:r>
          </w:p>
        </w:tc>
        <w:tc>
          <w:tcPr>
            <w:tcW w:w="10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133,927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117,267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49,654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49,051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Gross Profit</w:t>
            </w:r>
          </w:p>
        </w:tc>
        <w:tc>
          <w:tcPr>
            <w:tcW w:w="10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84,273</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68,216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29,375</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28,691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45,512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49,214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2,102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2,385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Operating Expenses</w:t>
            </w:r>
          </w:p>
        </w:tc>
        <w:tc>
          <w:tcPr>
            <w:tcW w:w="10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76,989</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80,290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7,284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(3,671)</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Unrealized foreign currency translation (loss) gain</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divestiture</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3,281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Other (Expense) Income</w:t>
            </w:r>
          </w:p>
        </w:tc>
        <w:tc>
          <w:tcPr>
            <w:tcW w:w="10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(4,188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from Operations Before Provision for Income Taxes</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7,001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 Current and Deferred</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4,973</w:t>
            </w:r>
          </w:p>
        </w:tc>
        <w:tc>
          <w:tcPr>
            <w:tcW w:w="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Per Share:</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0.04</w:t>
            </w:r>
          </w:p>
        </w:tc>
        <w:tc>
          <w:tcPr>
            <w:tcW w:w="9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w:t>
            </w: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0.03</w:t>
            </w:r>
          </w:p>
        </w:tc>
        <w:tc>
          <w:tcPr>
            <w:tcW w:w="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used in the computation:</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139,531,791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133,665,075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150,042,556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133,665,075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XTANT MEDICAL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4860" w:type="dxa"/>
            <w:vAlign w:val="bottom"/>
            <w:tcBorders>
              <w:bottom w:val="single" w:sz="8" w:color="CCEEFF"/>
            </w:tcBorders>
          </w:tcPr>
          <w:p>
            <w:pPr>
              <w:spacing w:after="0"/>
              <w:rPr>
                <w:sz w:val="18"/>
                <w:szCs w:val="18"/>
                <w:color w:val="auto"/>
              </w:rPr>
            </w:pPr>
          </w:p>
        </w:tc>
        <w:tc>
          <w:tcPr>
            <w:tcW w:w="2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4"/>
        </w:trPr>
        <w:tc>
          <w:tcPr>
            <w:tcW w:w="4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Income (Loss)</w:t>
            </w:r>
          </w:p>
        </w:tc>
        <w:tc>
          <w:tcPr>
            <w:tcW w:w="2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4,973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(16,449)</w:t>
            </w:r>
          </w:p>
        </w:tc>
        <w:tc>
          <w:tcPr>
            <w:tcW w:w="100" w:type="dxa"/>
            <w:vAlign w:val="bottom"/>
            <w:gridSpan w:val="2"/>
            <w:shd w:val="clear" w:color="auto" w:fill="CCEEFF"/>
          </w:tcPr>
          <w:p>
            <w:pPr>
              <w:spacing w:after="0"/>
              <w:rPr>
                <w:sz w:val="16"/>
                <w:szCs w:val="16"/>
                <w:color w:val="auto"/>
              </w:rPr>
            </w:pPr>
          </w:p>
        </w:tc>
      </w:tr>
      <w:tr>
        <w:trPr>
          <w:trHeight w:val="202"/>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(345)</w:t>
            </w:r>
          </w:p>
        </w:tc>
      </w:tr>
      <w:tr>
        <w:trPr>
          <w:trHeight w:val="207"/>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Income (Loss)</w:t>
            </w:r>
          </w:p>
        </w:tc>
        <w:tc>
          <w:tcPr>
            <w:tcW w:w="2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(16,794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XTANT MEDICAL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number of shares and par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3"/>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cash-equivalents</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17,053</w:t>
            </w: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receivable, net of allowance for credit losses of $2,165 and $1,437, respectively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17,803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20,660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30,263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38,634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receivable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10,462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2,389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78,245</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67,116</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6,202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10,131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 net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3,192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6,074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299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8,356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94,145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93,837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&amp; STOCKHOLDERS’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3,844</w:t>
            </w: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7,918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10,626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 long-term debt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3,500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lease liability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 of finance lease obligations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Line of credit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10,857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29,484</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28,581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Long-term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 net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2,665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Financing lease obligations,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plus premium and less issuance costs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11,026</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22,038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7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43,192</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50,874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Preferred stock, $0.000001 par value; 10,000,000 shares authorized; no shares issued and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Common stock, $0.000001 par value; 300,000,000 shares authorized; 140,039,557 and 139,045,664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and outstanding as of December 31, 2025 and 2024, respectively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305,439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302,738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(254,486)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(259,459)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Stockholders’ Equity</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7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50,953</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42,963</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&amp; Stockholders’ Equity</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94,145</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93,837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XTANT MEDICAL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number of shares and par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3"/>
          </w:tcPr>
          <w:p>
            <w:pPr>
              <w:jc w:val="center"/>
              <w:ind w:right="138"/>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20" w:type="dxa"/>
            <w:vAlign w:val="bottom"/>
          </w:tcPr>
          <w:p>
            <w:pPr>
              <w:spacing w:after="0"/>
              <w:rPr>
                <w:sz w:val="17"/>
                <w:szCs w:val="17"/>
                <w:color w:val="auto"/>
              </w:rPr>
            </w:pPr>
          </w:p>
        </w:tc>
        <w:tc>
          <w:tcPr>
            <w:tcW w:w="1080" w:type="dxa"/>
            <w:vAlign w:val="bottom"/>
            <w:gridSpan w:val="2"/>
          </w:tcPr>
          <w:p>
            <w:pPr>
              <w:jc w:val="center"/>
              <w:ind w:right="358"/>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6"/>
          </w:tcPr>
          <w:p>
            <w:pPr>
              <w:ind w:left="4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w w:val="95"/>
              </w:rPr>
              <w:t>Paid-In-</w:t>
            </w:r>
          </w:p>
        </w:tc>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300" w:type="dxa"/>
            <w:vAlign w:val="bottom"/>
            <w:gridSpan w:val="3"/>
          </w:tcPr>
          <w:p>
            <w:pPr>
              <w:jc w:val="center"/>
              <w:ind w:right="138"/>
              <w:spacing w:after="0"/>
              <w:rPr>
                <w:sz w:val="20"/>
                <w:szCs w:val="20"/>
                <w:color w:val="auto"/>
              </w:rPr>
            </w:pPr>
            <w:r>
              <w:rPr>
                <w:rFonts w:ascii="Times New Roman" w:cs="Times New Roman" w:eastAsia="Times New Roman" w:hAnsi="Times New Roman"/>
                <w:sz w:val="17"/>
                <w:szCs w:val="17"/>
                <w:b w:val="1"/>
                <w:bCs w:val="1"/>
                <w:color w:val="auto"/>
                <w:w w:val="97"/>
              </w:rPr>
              <w:t>Income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2023</w:t>
            </w:r>
          </w:p>
        </w:tc>
        <w:tc>
          <w:tcPr>
            <w:tcW w:w="1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130,180,031</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ind w:left="440"/>
              <w:spacing w:after="0" w:line="194" w:lineRule="exact"/>
              <w:rPr>
                <w:sz w:val="20"/>
                <w:szCs w:val="20"/>
                <w:color w:val="auto"/>
              </w:rPr>
            </w:pPr>
            <w:r>
              <w:rPr>
                <w:rFonts w:ascii="Times New Roman" w:cs="Times New Roman" w:eastAsia="Times New Roman" w:hAnsi="Times New Roman"/>
                <w:sz w:val="17"/>
                <w:szCs w:val="17"/>
                <w:color w:val="auto"/>
                <w:w w:val="82"/>
              </w:rPr>
              <w:t>—</w:t>
            </w: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294,330</w:t>
            </w: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(243,010)</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51,349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9"/>
              </w:rPr>
              <w:t>Private placement of common stock, net of issuance costs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$544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7,812,500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4,456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4,456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Common stock issued upon vesting and settlement of</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stock units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1,314,495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Withholding on common stock upon vesting and</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settlement of restricted stock units</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(281,220)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4,117</w:t>
            </w:r>
          </w:p>
        </w:tc>
        <w:tc>
          <w:tcPr>
            <w:tcW w:w="220" w:type="dxa"/>
            <w:vAlign w:val="bottom"/>
          </w:tcPr>
          <w:p>
            <w:pPr>
              <w:spacing w:after="0"/>
              <w:rPr>
                <w:sz w:val="17"/>
                <w:szCs w:val="17"/>
                <w:color w:val="auto"/>
              </w:rPr>
            </w:pPr>
          </w:p>
        </w:tc>
        <w:tc>
          <w:tcPr>
            <w:tcW w:w="10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19,858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(345)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(16,449)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(16,449)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8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139,045,664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w w:val="82"/>
              </w:rPr>
              <w:t>—</w:t>
            </w:r>
          </w:p>
        </w:tc>
        <w:tc>
          <w:tcPr>
            <w:tcW w:w="3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302,738</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(259,459</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42,963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Common stock issued upon vesting and settlement of</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 units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1,203,987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Withholding on common stock upon vesting and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settlement of restricted stock units</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(210,094)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(126)</w:t>
            </w:r>
          </w:p>
        </w:tc>
        <w:tc>
          <w:tcPr>
            <w:tcW w:w="220" w:type="dxa"/>
            <w:vAlign w:val="bottom"/>
          </w:tcPr>
          <w:p>
            <w:pPr>
              <w:spacing w:after="0"/>
              <w:rPr>
                <w:sz w:val="18"/>
                <w:szCs w:val="18"/>
                <w:color w:val="auto"/>
              </w:rPr>
            </w:pPr>
          </w:p>
        </w:tc>
        <w:tc>
          <w:tcPr>
            <w:tcW w:w="10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2,892</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2,892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Share authorization costs associated with expansion of</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 equity plan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4,973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4,973</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9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140,039,557</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305,439</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(254,486)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40" w:type="dxa"/>
            <w:vAlign w:val="bottom"/>
            <w:gridSpan w:val="10"/>
          </w:tcPr>
          <w:p>
            <w:pPr>
              <w:jc w:val="right"/>
              <w:ind w:right="32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58</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XTANT MEDICAL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Operating activities: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280" w:type="dxa"/>
            <w:vAlign w:val="bottom"/>
            <w:gridSpan w:val="2"/>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4,973</w:t>
            </w:r>
          </w:p>
        </w:tc>
        <w:tc>
          <w:tcPr>
            <w:tcW w:w="780" w:type="dxa"/>
            <w:vAlign w:val="bottom"/>
            <w:gridSpan w:val="2"/>
          </w:tcPr>
          <w:p>
            <w:pPr>
              <w:jc w:val="right"/>
              <w:ind w:right="64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(16,449)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(used in) operating activities: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5,223</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Non-cash interest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537</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(gain) on sale of fixed assets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251</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2,892</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reserve on accounts receivable</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1,404</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for excess and obsolete inventory</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3,669</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divestiture</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(3,281)</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Trade accounts receivable</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(591)</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(1,999)</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and other assets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(1,537)</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(3,117)</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4,198</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(2,915)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20" w:type="dxa"/>
            <w:vAlign w:val="bottom"/>
            <w:tcBorders>
              <w:top w:val="single" w:sz="8" w:color="CCEEFF"/>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12,546</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(11,896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(2,382)</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fixed assets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232</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divestiture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10,049</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20" w:type="dxa"/>
            <w:vAlign w:val="bottom"/>
            <w:tcBorders>
              <w:top w:val="single" w:sz="8" w:color="CCEEFF"/>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7,899</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(3,730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on line of credit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100,066</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112,640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on line of credit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(101,329)</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(105,142)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on long-term debt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(8,000)</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on financing leases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private placement, net of issuance costs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issuance of long-term debt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issuance costs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(651)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2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Payment of taxes from withholding of common stock upon vesting and settlement of restricted</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units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(126)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stock-based compensation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20" w:type="dxa"/>
            <w:vAlign w:val="bottom"/>
            <w:tcBorders>
              <w:top w:val="single" w:sz="8" w:color="CCEEFF"/>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(9,570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16,073</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 and restricted cash</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232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Net change in cash and cash equivalents and restricted cash</w:t>
            </w:r>
          </w:p>
        </w:tc>
        <w:tc>
          <w:tcPr>
            <w:tcW w:w="1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11,107</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and restricted cash at beginning of year</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6,221</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 and restricted cash at end of year</w:t>
            </w:r>
          </w:p>
        </w:tc>
        <w:tc>
          <w:tcPr>
            <w:tcW w:w="1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17,328</w:t>
            </w:r>
          </w:p>
        </w:tc>
        <w:tc>
          <w:tcPr>
            <w:tcW w:w="3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Reconciliation of cash and cash equivalents and restricted cash reported in the consolidated balance</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sheets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80" w:type="dxa"/>
            <w:vAlign w:val="bottom"/>
            <w:gridSpan w:val="2"/>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17,053</w:t>
            </w:r>
          </w:p>
        </w:tc>
        <w:tc>
          <w:tcPr>
            <w:tcW w:w="780" w:type="dxa"/>
            <w:vAlign w:val="bottom"/>
            <w:gridSpan w:val="2"/>
          </w:tcPr>
          <w:p>
            <w:pPr>
              <w:jc w:val="right"/>
              <w:ind w:right="64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275</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Total cash and cash equivalents and restricted cash reported in the consolidated balance sheets</w:t>
            </w:r>
          </w:p>
        </w:tc>
        <w:tc>
          <w:tcPr>
            <w:tcW w:w="1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17,328</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8" w:lineRule="exact"/>
        <w:rPr>
          <w:sz w:val="20"/>
          <w:szCs w:val="20"/>
          <w:color w:val="auto"/>
        </w:rPr>
      </w:pPr>
    </w:p>
    <w:p>
      <w:pPr>
        <w:ind w:right="6000" w:firstLine="1"/>
        <w:spacing w:after="0" w:line="497" w:lineRule="auto"/>
        <w:tabs>
          <w:tab w:leader="none" w:pos="238"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Description and Summary of Significant Accounting Policies Business Description</w:t>
      </w:r>
    </w:p>
    <w:p>
      <w:pPr>
        <w:spacing w:after="0" w:line="1"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Xtant Medical Holdings, Inc., a Delaware corporation, and its wholly owned subsidiaries, which are jointly referred to herein as “Xtant” or the “Company”. The terms “we,” “us” and “our” also refer to Xtant.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intercompany balances and transactions have been eliminated in consolidation.</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Xtant products serve the combined specialized needs of orthopedic and neurological surgeons, including orthobiologics for the promotion of bone healing, implants and instrumentation for the treatment of spinal disease, tissue grafts for the treatment of orthopedic disorders to promote healing following spine, cranial and foot surgeries and the development, manufacturing and sale of medical devices for use in orthopedic spinal surgeries.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preparation of the financial statements requires management of the Company to make a number of estimates and assumptions relating to the reported amount of assets and liabilities and the disclosure of contingent assets and liabilities at the date of the financial statements and the reported amounts of revenue and expenses during the period. Significant estimates include the carrying amount of property and equipment; goodwill, intangible assets and liabilities; allowance for credit losses for trade receivables; valuation allowances for inventory, deferred income tax assets and liabilities; current and long-term lease obligations and corresponding right-of-use asset; and estimates for the fair value of long-term debt, stock options and other equity awards upon which the Company determines stock-based compensation expense.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considers all highly liquid investments purchased with an original maturity date of three months or less to be cash equivalents. Cash equivalents are recorded at cost, which approximates market value. The Company maintains its cash balances primarily with two financial institutions. These balances generally exceed federally insured limits. The Company has not experienced any losses in such accounts and believes it is not exposed to any significant credit risk in cash and cash equivalents.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Cash and cash equivalents classified as restricted cash on the Company’s consolidated balance sheets are restricted as to withdrawal or use under the terms of certain contractual agreements. The December 31, 2025 balance included lockbox deposits that are temporarily restricted due to timing at the period end. The lockbox deposits are applied against the Company’s line of credit the next business day.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 Accounts Receivable and Allowances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Accounts receivable represents amounts due from customers for which revenue has been recognized. Normal terms on trade accounts receivable are net 30 days, and some customers are offered discounts for early pay. The Company performs credit evaluations when considered necessary, but generally does not require collateral to extend credit. The Company applies the practical expedient for contacts with payment terms of one year or less which does not consider the effect of the time value of money.</w:t>
      </w:r>
    </w:p>
    <w:p>
      <w:pPr>
        <w:spacing w:after="0" w:line="175"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The allowance for credit losses is the Company’s best estimate of the amount of probable credit losses in the Company’s existing receivables. The Company determines the allowance based on factors such as historical collection experience, customers’ current creditworthiness, customer concentration, age of accounts receivable balance, general economic conditions that may affect a customer’s ability to pay, and management judgment. In addition, we include provision for current expected credit loss based on historical collection experience adjusted for current economic conditions affecting collectability and reasonable and supportable forecast concerning the future. Actual customer collections could differ from estimates. Account balances are charged to the allowance after all means of collection have been exhausted and the potential for recovery is considered remote. Provisions to the allowance for credit losses are charged to expense. The Company does not have any off-balance sheet credit exposure related to its customers. As of December 31, 2025, 2024, and 2023 trade accounts receivable were $20.0 million, $22.1 million, and $21.7 million, respectively, and are presented net of an allowance for credit losses of $2.2 million, $1.4 million, and $0.9 million, respectively.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is determined using the specific identification method in the case of biologics and weighted average cost in the case of hardware and includes materials, labor and overhead. The Company calculates an inventory reserve for estimated obsolescence and excess inventory based on historical usage and sales, as well as assumptions about future demand for its products. These estimates for excess and obsolete inventory are reviewed and updated on a quarterly basis. Increases in the inventory reserves result in a corresponding expense, which is recorded to cost of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Depreciation is computed using the straight-line method over the estimated useful lives of the assets, generally three to seven years for computers and equipment and five years for surgical instruments. Leasehold improvements are depreciated over the shorter of their estimated useful life or the remaining term of the lease. Repairs and maintenance are expensed as incurred.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Intangible assets with estimable useful lives are amortized over their respective estimated useful lives to their estimated residual values and reviewed for impairment whenever events or circumstances indicate their carrying amount may not be recoverable. Intangible assets include tradenames, customer relationships and patents. Intangible assets are carried at cost less accumulated amortization. The Company amortizes these assets on a straight-line basis over their estimated useful lives.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Assets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Other assets consist of inventory receivable and the short-term and the long-term portion of prepaid expenses and security deposits.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 Impairment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Long-lived assets, including property and equipment and intangible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cash flows expected to be generated by the asset. If such assets are considered to be impaired, the impairment to be recognized is measured by the amount by which the carrying amount of the assets exceeds the estimated fair value of the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Goodwill represents the excess of costs over fair value of assets of businesses acquired. Goodwill and intangible assets acquired in a business combination and determined to have indefinite useful lives are not amortized; instead, they are tested for impairment at least annually and whenever events or circumstances indicate the carrying amount of the asset may not be recoverable. The Company conducts its impairment test on an annual basis and reviews the assumptions on a quarterly basis. We test goodwill for impairment at the reporting unit level, which is an operating segment or one level below an operating segment, referred to as a component. A component of an operating segment is a reporting unit if the component constitutes a business for which discrete financial information is available and segment management regularly reviews the operating results of that component.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 accounts for stock-based compensation in accordance with Financial Accounting Standards Board, or FASB, Accounting Standards Codification (“ASC”) 718, Compensation-Stock Compensation. ASC 718 requires the recognition of compensation expense, using a fair-value based method, for costs related to all share-based payments including stock options, restricted stock units, performance stock units, and shares issued under its employee stock purchase plan. ASC 718 requires companies to estimate the fair value of all share-based payment option awards on the date of grant using an option pricing model. The fair value of stock options is recognized over the period during which an optionee is required to provide services in exchange for the option award, known as the requisite service period (usually the vesting period), on a straight-line basis. The Company accounts for option forfeitures as they occur.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4" w:name="page65"/>
    <w:bookmarkEnd w:id="64"/>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accounts for stock-based compensation for restricted stock units and deferred stock units at their fair value, based on the closing market price of the Company’s common stock on the date of grant. These costs are recognized on a straight-line basis over the requisite service period, which is usually the vesting period.</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accounts for stock-based compensation for performance stock units with market-based conditions at their fair value on the date of the award using the Monte Carlo simulation model. These costs are recognized over the requisite service period, which is usually the vesting period, regardless of the likelihood of achievement of the market-based performance criteria.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 generates revenues outside the United States in multiple foreign currencies including euros, Swiss francs, British pounds and in U.S. dollar-denominated transactions conducted with customers who generate revenue in currencies other than the U.S. dollar. The Company also incurs operating expenses in euros, Swiss francs and British pounds. All assets and liabilities of foreign subsidiaries which have a functional currency other than the U.S. dollar are translated at the rate of exchange at period-end, while elements of the income statement are translated at the average exchange rates in effect during the period. The net effect of these translation adjustments is shown as a component of accumulated other comprehensive income. Foreign currency transaction gains and losses are reported in other income,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the United States, the Company generates a substantial portion of its revenue from independent commissioned sales agents. The Company consigns its orthobiologics products to hospitals and consigns or loans its spinal implant sets to independent sales agents. The spinal implant sets typically contain the instruments, disposables, and spinal implants required to complete a surgery. Consigned sets are managed by the sales agent to service hospitals that are high volume users for multiple procedures. The Company ships replacement inventory to independent sales agents to replace the consigned inventory used in surgeries. Loaned sets are returned to the Company’s distribution center, replenished, and made available to sales agents for the next surgical procedure.</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each surgical procedure, the sales agent reports use of the product by the hospital and, as soon as practicable thereafter, ensures that the hospital provides a purchase order to the Company. Revenue is recognized at a point in time upon utilization of the product.</w:t>
      </w:r>
    </w:p>
    <w:p>
      <w:pPr>
        <w:spacing w:after="0" w:line="159"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Additionally, the Company sells product directly to domestic and international stocking resellers, original equipment manufacturer resellers and private label resellers. Upon receipt and acceptance of a purchase order from a stocking reseller, the Company ships product and invoices the reseller. The Company recognizes revenue when the control is transferred upon shipment or upon delivery, based on the contract terms and legal requirements, and the transfer of title and risk of loss occurs. There is generally no customer acceptance or other condition that prevents the Company from recognizing revenue in accordance with the delivery terms for these sales transactions. In the normal course of business, the Company accepts returns of product that have not been implanted. Product returns are not material to the Company’s consolidated statements of operations. The Company accounts for shipping and handling activities as a fulfillment cost rather than a separate performance obligation. The Company’s policy is to record revenue net of any applicable sales, use, or excise taxes. Payment terms are generally net 30 days from invoice date and some customers are offered discounts for early payment. The consideration for goods or services reflects any fixed amount stated per the contract and estimates for any variable consideration, such as returns, discounts or rebates, to the extent that it is probable that a significant reversal of cumulative revenue recognized will not occur when the uncertainty associated with the variable consideration is resolved. For certain sales transactions, we incur group purchasing organization fees that are based on a contractual percentage of applicable sales and are treated as consideration payable to a customer and recorded as a reduction of revenue.</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 At December 31, 2025, $0.4 million was included in revenue for products that had not shipped. Occasionally the Company will receive consideration in advance of transferring products to its customers and records a contract liability. During the year ended December 31, 2025, the Company received a $1.5 million upfront payment from a customer, which was recorded as a contract liability within accrued liabilities on the consolidated balance sheet. The contract liability was recognized as revenue as control of the underlying goods transferred to the customer. As of December 31, 2025, the full $1.5 million had been recognized as revenue, and no related contract liability remained outstanding.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color w:val="auto"/>
        </w:rPr>
        <w:t>License revenue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License revenue is recognized when control of the intellectual property (“IP”) rights is transferred to a customer in an amount that reflects the consideration the Company expects to be entitled to in exchange for the licensing of the Company’s IP. Revenue for IP rights is accounted for based on the nature of the promise to grant the license. In determining whether the Company’s promise is to provide a right to access its IP or a right to use its IP, the Company considers the nature of its IP to which the customer will have rights. IP is either functional IP which has significant standalone functionality or symbolic IP which does not have significant standalone functionality. Revenue from functional IP is recognized at the point in time when control of the distinct license is transferred to the customer. Revenue from symbolic IP is recognized over the access period to the Company’s IP.</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Revenues from sales-based royalties promised in exchange for a license of IP is recognized at the later of when the underlying sale occurs, or the performance obligation to which some or all of the sales based royalty has been allocated is satisfied.</w:t>
      </w:r>
    </w:p>
    <w:p>
      <w:pPr>
        <w:spacing w:after="0" w:line="159"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The Company has a license agreement which grants an exclusive, nontransferable, non-sublicensable, royalty bearing right to manufacture and commercialize one of our products in the United States. The Company concluded that this agreement represented one performance obligation of transferring the IP rights to manufacture and commercialize the product. This was determined to be functional IP. The transaction price included an upfront non-refundable fee of $1.5 million as well as quarterly royalty payments based on the volume of product sold subject to guaranteed quarterly minimums, which aggregated to $3.75 million during 2025. Due to anticipated policy changes by CMS that would affect guaranteed quarterly minimums per the agreement, revenue associated with these quarterly minimums past the fourth quarter of 2025 were considered constrained and, therefore, not recognized when the performance obligation was satisfied as it was not probable as of December 31, 2025 that there would not be a significant reversal of cumulative revenue. Such CMS policy changes went into effect on January 1,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operates in one reportable segment with its net revenue derived primarily from the sale of orthobiologics and spinal implant products across North America, Europe, Asia Pacific, and Latin America. Sales are reported net of returns, discounts and rebates. The following table presents revenues from these product lines for the years ended December 31, 2025 and 2024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4260" w:type="dxa"/>
            <w:vAlign w:val="bottom"/>
          </w:tcPr>
          <w:p>
            <w:pPr>
              <w:spacing w:after="0"/>
              <w:rPr>
                <w:sz w:val="17"/>
                <w:szCs w:val="17"/>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40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Percentage of</w:t>
            </w:r>
          </w:p>
        </w:tc>
        <w:tc>
          <w:tcPr>
            <w:tcW w:w="160" w:type="dxa"/>
            <w:vAlign w:val="bottom"/>
          </w:tcPr>
          <w:p>
            <w:pPr>
              <w:spacing w:after="0"/>
              <w:rPr>
                <w:sz w:val="17"/>
                <w:szCs w:val="17"/>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260" w:type="dxa"/>
            <w:vAlign w:val="bottom"/>
            <w:gridSpan w:val="2"/>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Percentage of</w:t>
            </w:r>
          </w:p>
        </w:tc>
      </w:tr>
      <w:tr>
        <w:trPr>
          <w:trHeight w:val="222"/>
        </w:trPr>
        <w:tc>
          <w:tcPr>
            <w:tcW w:w="4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4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Total Revenue</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4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Total Revenue</w:t>
            </w:r>
          </w:p>
        </w:tc>
        <w:tc>
          <w:tcPr>
            <w:tcW w:w="140" w:type="dxa"/>
            <w:vAlign w:val="bottom"/>
            <w:tcBorders>
              <w:bottom w:val="single" w:sz="8" w:color="CCEEFF"/>
            </w:tcBorders>
          </w:tcPr>
          <w:p>
            <w:pPr>
              <w:spacing w:after="0"/>
              <w:rPr>
                <w:sz w:val="19"/>
                <w:szCs w:val="19"/>
                <w:color w:val="auto"/>
              </w:rPr>
            </w:pPr>
          </w:p>
        </w:tc>
      </w:tr>
      <w:tr>
        <w:trPr>
          <w:trHeight w:val="195"/>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Orthobiologics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72,892</w:t>
            </w:r>
          </w:p>
        </w:tc>
        <w:tc>
          <w:tcPr>
            <w:tcW w:w="4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66,419</w:t>
            </w:r>
          </w:p>
        </w:tc>
        <w:tc>
          <w:tcPr>
            <w:tcW w:w="4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Spinal implant</w:t>
            </w:r>
          </w:p>
        </w:tc>
        <w:tc>
          <w:tcPr>
            <w:tcW w:w="120" w:type="dxa"/>
            <w:vAlign w:val="bottom"/>
          </w:tcPr>
          <w:p>
            <w:pPr>
              <w:spacing w:after="0"/>
              <w:rPr>
                <w:sz w:val="17"/>
                <w:szCs w:val="17"/>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42,312</w:t>
            </w:r>
          </w:p>
        </w:tc>
        <w:tc>
          <w:tcPr>
            <w:tcW w:w="140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49,346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revenue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18,723</w:t>
            </w:r>
          </w:p>
        </w:tc>
        <w:tc>
          <w:tcPr>
            <w:tcW w:w="1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1,502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94"/>
        </w:trPr>
        <w:tc>
          <w:tcPr>
            <w:tcW w:w="42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133,927</w:t>
            </w:r>
          </w:p>
        </w:tc>
        <w:tc>
          <w:tcPr>
            <w:tcW w:w="400" w:type="dxa"/>
            <w:vAlign w:val="bottom"/>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w:t>
            </w:r>
          </w:p>
        </w:tc>
        <w:tc>
          <w:tcPr>
            <w:tcW w:w="300" w:type="dxa"/>
            <w:vAlign w:val="bottom"/>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84"/>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117,267</w:t>
            </w:r>
          </w:p>
        </w:tc>
        <w:tc>
          <w:tcPr>
            <w:tcW w:w="4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4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Research and development costs, which are principally related to internal costs for the development of new products, are expensed as incurred.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(Loss) Per Share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Basic net income (loss) per share is computed by dividing net income (loss) by the weighted average number of shares of common stock outstanding. Shares issued during the period and shares reacquired during the period are weighted for the portion of the period that they were outstanding. Diluted net income (loss) per share is computed in a manner consistent with that of basic earnings per share while giving effect to all potentially dilutive shares of common stock outstanding during the period, which include the assumed exercise of stock options and warrants using the treasury stock method.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carrying values of financial instruments, including trade accounts receivable, note receivable, accounts payable, accrued liabilities and long-term debt, approximate their fair values based on terms and related interest rates.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6" w:name="page67"/>
    <w:bookmarkEnd w:id="66"/>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follows a framework for measuring fair value. The framework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are described below:</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Level 1: Inputs to the valuation methodology are unadjusted quoted prices for identical assets or liabilities in active markets.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Level 2: 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Level 3: Inputs to the valuation methodology are unobservable and significant to the fair value measurement.</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 financial instrument’s level within the fair value hierarchy is based on the lowest level of any input that is significant to the fair value measurement. During the years ended December 31, 2025 and 2024, there was no reclassification in financial assets or liabilities between Level 1, 2 or 3 categories.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In November 2024, the Financial Accounting Standards Board issued ASU 2024-03, </w:t>
      </w:r>
      <w:r>
        <w:rPr>
          <w:rFonts w:ascii="Times New Roman" w:cs="Times New Roman" w:eastAsia="Times New Roman" w:hAnsi="Times New Roman"/>
          <w:sz w:val="17"/>
          <w:szCs w:val="17"/>
          <w:i w:val="1"/>
          <w:iCs w:val="1"/>
          <w:color w:val="auto"/>
        </w:rPr>
        <w:t>Income Statement - Reporting Comprehensive Income - Expense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Disaggregation Disclosures (Subtopic 220-40)</w:t>
      </w:r>
      <w:r>
        <w:rPr>
          <w:rFonts w:ascii="Times New Roman" w:cs="Times New Roman" w:eastAsia="Times New Roman" w:hAnsi="Times New Roman"/>
          <w:sz w:val="17"/>
          <w:szCs w:val="17"/>
          <w:color w:val="auto"/>
        </w:rPr>
        <w:t>. This ASU requires that public business entities disclose additional information about specific expense categories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Adoption of New Accounting Standard</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 xml:space="preserve">On December 31, 2025, the Company adopted the Financial Accounting Standards Board issued ASU No. 2023-09, Income Taxes (Topic 740): </w:t>
      </w:r>
      <w:r>
        <w:rPr>
          <w:rFonts w:ascii="Times New Roman" w:cs="Times New Roman" w:eastAsia="Times New Roman" w:hAnsi="Times New Roman"/>
          <w:sz w:val="17"/>
          <w:szCs w:val="17"/>
          <w:i w:val="1"/>
          <w:iCs w:val="1"/>
          <w:color w:val="auto"/>
        </w:rPr>
        <w:t>Improvement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 Income Tax Disclosures </w:t>
      </w:r>
      <w:r>
        <w:rPr>
          <w:rFonts w:ascii="Times New Roman" w:cs="Times New Roman" w:eastAsia="Times New Roman" w:hAnsi="Times New Roman"/>
          <w:sz w:val="17"/>
          <w:szCs w:val="17"/>
          <w:color w:val="auto"/>
        </w:rPr>
        <w:t>to enhance the transparency of income tax disclosures. The guidance in ASU No. 2023-09 allows for a prospective method of transition,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option to apply the standard retrospectively. The standard is effective for fiscal years beginning after December 15, 2024, with early adoption permitted. The Company adopted the ASU prospectively for the period ending December 31, 2025. It affects only our disclosures and does not impact our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Sale of Coflex/CoFix Assets and International Hardware Business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December 1, 2025, we completed the sale of certain assets relating to our Coflex and CoFix products (the “Coflex/CoFix Divestiture”) to Companion Spine, LLC and one of its affiliates, Companion Spine SAS (collectively, “Companion Spine”), pursuant to an Asset Purchase Agreement dated July 7, 2025 (the “Coflex/CoFix Agreement”). The total purchase price of the Coflex/CoFix Divestiture was $17.5 million (subject to a closing inventory valuation adjustment set forth in the Coflex/CoFix Agreement). Of the total purchase price, an aggregate of $7.5 million was previously paid to us in cash as non-refundable deposits during third and fourth quarters of 2025, $1.8 million was paid to us in cash at the closing, and $8.2 million was paid to us as an unsecured promissory note issued by Companion Spine to us the closing (the “Companion Spine Note”). Pursuant to subsequent amendments to the Coflex/CoFix Agreement, the maturity date of the Companion Spine Note was extended to January 31, 2026. The outstanding principal balance of the Companion Spine Note, together with the related accrued interest, totaling $8.5 million, was paid to us on February 27, 2026.</w:t>
      </w:r>
    </w:p>
    <w:p>
      <w:pPr>
        <w:spacing w:after="0" w:line="18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Also, on December 1, 2025, we completed the sale of all of our shares of equity securities of Paradigm Spine GmbH, one of our then wholly owned subsidiaries engaged in the operation of our hardware business outside of the United States (“Paradigm”), which constituted 100% of the issued and outstanding shares of equity securities of Paradigm (the “Paradigm Divestiture” and together with the Coflex/CoFix Divestiture, the “Divestitures”), to Companion Spine pursuant to an Equity Purchase Agreement dated July 7, 2025 between us, Paradigm and Companion Spine (the “Paradigm Agreement” and together with the Coflex/CoFix Agreement, the “Divestiture Agreements”). The total purchase price of the Paradigm Divestiture was $3.9 million, $1.7 million of which was paid to us in cash at the closing of the Paradigm Divestiture and $2.2 million of which was paid to us on February 27, 2026 in settlement of the net working capital and other purchase price adjustments.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7" w:name="page68"/>
    <w:bookmarkEnd w:id="67"/>
    <w:p>
      <w:pPr>
        <w:ind w:left="600"/>
        <w:spacing w:after="0"/>
        <w:rPr>
          <w:sz w:val="20"/>
          <w:szCs w:val="20"/>
          <w:color w:val="auto"/>
        </w:rPr>
      </w:pPr>
      <w:r>
        <w:rPr>
          <w:rFonts w:ascii="Times New Roman" w:cs="Times New Roman" w:eastAsia="Times New Roman" w:hAnsi="Times New Roman"/>
          <w:sz w:val="17"/>
          <w:szCs w:val="17"/>
          <w:color w:val="auto"/>
        </w:rPr>
        <w:t>The aggregate purchase price associated with the two Divestitures was $21.4 million.</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determined that the Divestitures do not meet the criteria for classification as discontinued operations for accounting purposes. As a result, all historical operating results for the Coflex/CoFix assets and international hardware business are reflected within the consolidated statements of operations in the consolidated financial statements.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recognized a gain on sale of $3.3 million in connection with the Divestitures during the year ended December 31, 2025. The gain on sale included the divestiture of $0.4 million accumulated other comprehensive income from currency translation adjustment recorded through December 1, 2025. Goodwill of $1.2 million was allocated to the disposal group based on the relative fair values of the divested assets and liabilities and retained assets and liabilities. The assets and liabilities of the disposal group at the December 1, 2025 date of sale and at December 31, 2024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1,</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86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Trade accounts receivable, net of allowances for credit losses</w:t>
            </w:r>
          </w:p>
        </w:tc>
        <w:tc>
          <w:tcPr>
            <w:tcW w:w="2860" w:type="dxa"/>
            <w:vAlign w:val="bottom"/>
            <w:gridSpan w:val="2"/>
          </w:tcPr>
          <w:p>
            <w:pPr>
              <w:jc w:val="right"/>
              <w:ind w:right="127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2,032</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7,223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653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2,367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Right of use asset, net</w:t>
            </w: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6,465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19,224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860" w:type="dxa"/>
            <w:vAlign w:val="bottom"/>
            <w:gridSpan w:val="2"/>
          </w:tcPr>
          <w:p>
            <w:pPr>
              <w:jc w:val="right"/>
              <w:ind w:right="127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1,289</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1,286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liability</w:t>
            </w: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Trade Accounts Receivable, Net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Trade accounts receivable is reduced by an estimated allowance for credit losses based on historical collection experience adjusted for current economic conditions affecting collectability and reasonable and supportable forecasts concerning the future. Actual customer collections could differ from estimates. Account balances are charged to the allowance after all means of collection have been exhausted and the potential for recovery is considered remote. Provisions to the allowance for credit losses are charged to expense. Activity within the allowance for credit losses consist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60" w:type="dxa"/>
            <w:vAlign w:val="bottom"/>
          </w:tcPr>
          <w:p>
            <w:pPr>
              <w:jc w:val="center"/>
              <w:ind w:left="396"/>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3640" w:type="dxa"/>
            <w:vAlign w:val="bottom"/>
            <w:gridSpan w:val="2"/>
          </w:tcPr>
          <w:p>
            <w:pPr>
              <w:jc w:val="center"/>
              <w:ind w:left="257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center"/>
              <w:ind w:right="1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w:t>
            </w:r>
          </w:p>
        </w:tc>
        <w:tc>
          <w:tcPr>
            <w:tcW w:w="21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current expected credit losses</w:t>
            </w:r>
          </w:p>
        </w:tc>
        <w:tc>
          <w:tcPr>
            <w:tcW w:w="2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1,229</w:t>
            </w:r>
          </w:p>
        </w:tc>
        <w:tc>
          <w:tcPr>
            <w:tcW w:w="28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823</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Write-offs against allowance</w:t>
            </w:r>
          </w:p>
        </w:tc>
        <w:tc>
          <w:tcPr>
            <w:tcW w:w="2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(218)</w:t>
            </w:r>
          </w:p>
        </w:tc>
        <w:tc>
          <w:tcPr>
            <w:tcW w:w="2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(306)</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Divested allowance for credit losses</w:t>
            </w: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(283)</w:t>
            </w:r>
          </w:p>
        </w:tc>
        <w:tc>
          <w:tcPr>
            <w:tcW w:w="2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w:t>
            </w:r>
          </w:p>
        </w:tc>
        <w:tc>
          <w:tcPr>
            <w:tcW w:w="218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(4) Inventories</w:t>
            </w:r>
          </w:p>
        </w:tc>
        <w:tc>
          <w:tcPr>
            <w:tcW w:w="2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80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8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Inventories consist of the following (in thousands):</w:t>
            </w:r>
          </w:p>
        </w:tc>
        <w:tc>
          <w:tcPr>
            <w:tcW w:w="2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60" w:type="dxa"/>
            <w:vAlign w:val="bottom"/>
          </w:tcPr>
          <w:p>
            <w:pPr>
              <w:jc w:val="center"/>
              <w:ind w:left="396"/>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3640" w:type="dxa"/>
            <w:vAlign w:val="bottom"/>
            <w:gridSpan w:val="2"/>
          </w:tcPr>
          <w:p>
            <w:pPr>
              <w:jc w:val="center"/>
              <w:ind w:left="257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center"/>
              <w:ind w:right="1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21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5,689</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2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4,799</w:t>
            </w:r>
          </w:p>
        </w:tc>
        <w:tc>
          <w:tcPr>
            <w:tcW w:w="28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2,812</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2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w w:val="94"/>
              </w:rPr>
              <w:t>19,775</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29,200</w:t>
            </w:r>
          </w:p>
        </w:tc>
        <w:tc>
          <w:tcPr>
            <w:tcW w:w="0" w:type="dxa"/>
            <w:vAlign w:val="bottom"/>
          </w:tcPr>
          <w:p>
            <w:pPr>
              <w:spacing w:after="0"/>
              <w:rPr>
                <w:sz w:val="1"/>
                <w:szCs w:val="1"/>
                <w:color w:val="auto"/>
              </w:rPr>
            </w:pPr>
          </w:p>
        </w:tc>
      </w:tr>
      <w:tr>
        <w:trPr>
          <w:trHeight w:val="207"/>
        </w:trPr>
        <w:tc>
          <w:tcPr>
            <w:tcW w:w="48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ind w:right="12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30,263</w:t>
            </w:r>
          </w:p>
        </w:tc>
        <w:tc>
          <w:tcPr>
            <w:tcW w:w="3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180" w:type="dxa"/>
            <w:vAlign w:val="bottom"/>
            <w:vMerge w:val="restart"/>
          </w:tcPr>
          <w:p>
            <w:pPr>
              <w:jc w:val="right"/>
              <w:ind w:right="1196"/>
              <w:spacing w:after="0"/>
              <w:rPr>
                <w:sz w:val="20"/>
                <w:szCs w:val="20"/>
                <w:color w:val="auto"/>
              </w:rPr>
            </w:pPr>
            <w:r>
              <w:rPr>
                <w:rFonts w:ascii="Times New Roman" w:cs="Times New Roman" w:eastAsia="Times New Roman" w:hAnsi="Times New Roman"/>
                <w:sz w:val="17"/>
                <w:szCs w:val="17"/>
                <w:color w:val="auto"/>
              </w:rPr>
              <w:t>65</w:t>
            </w: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Property and Equipment, Net</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57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Property and equipment, net are as follows (in thousands):</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3"/>
        </w:trPr>
        <w:tc>
          <w:tcPr>
            <w:tcW w:w="5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2"/>
        </w:trPr>
        <w:tc>
          <w:tcPr>
            <w:tcW w:w="57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195"/>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Equipment</w:t>
            </w: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7,239</w:t>
            </w:r>
          </w:p>
        </w:tc>
        <w:tc>
          <w:tcPr>
            <w:tcW w:w="100" w:type="dxa"/>
            <w:vAlign w:val="bottom"/>
            <w:shd w:val="clear" w:color="auto" w:fill="CCEEFF"/>
          </w:tcPr>
          <w:p>
            <w:pPr>
              <w:spacing w:after="0"/>
              <w:rPr>
                <w:sz w:val="16"/>
                <w:szCs w:val="16"/>
                <w:color w:val="auto"/>
              </w:rPr>
            </w:pPr>
          </w:p>
        </w:tc>
      </w:tr>
      <w:tr>
        <w:trPr>
          <w:trHeight w:val="202"/>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1,252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1,254</w:t>
            </w:r>
          </w:p>
        </w:tc>
      </w:tr>
      <w:tr>
        <w:trPr>
          <w:trHeight w:val="20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361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361</w:t>
            </w:r>
          </w:p>
        </w:tc>
      </w:tr>
      <w:tr>
        <w:trPr>
          <w:trHeight w:val="202"/>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4,483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4,356</w:t>
            </w:r>
          </w:p>
        </w:tc>
      </w:tr>
      <w:tr>
        <w:trPr>
          <w:trHeight w:val="20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Surgical instruments</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14,070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15,798</w:t>
            </w:r>
          </w:p>
        </w:tc>
      </w:tr>
      <w:tr>
        <w:trPr>
          <w:trHeight w:val="214"/>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Assets not yet in service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960</w:t>
            </w:r>
          </w:p>
        </w:tc>
      </w:tr>
      <w:tr>
        <w:trPr>
          <w:trHeight w:val="194"/>
        </w:trPr>
        <w:tc>
          <w:tcPr>
            <w:tcW w:w="57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cost</w:t>
            </w:r>
          </w:p>
        </w:tc>
        <w:tc>
          <w:tcPr>
            <w:tcW w:w="1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28,409</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29,968</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(22,207)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(19,837)</w:t>
            </w:r>
          </w:p>
        </w:tc>
      </w:tr>
      <w:tr>
        <w:trPr>
          <w:trHeight w:val="207"/>
        </w:trPr>
        <w:tc>
          <w:tcPr>
            <w:tcW w:w="576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Depreciation expense related to property and equipment, including property under finance lease, for the years ended December 31, 2025 and 2024 was $3.6 million and $2.5 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Goodwill and Intangible Assets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results of the Company’s annual goodwill impairment tests for the years ended December 31, 2025 and 2024 indicated that no goodwill impairment existed as of the test date.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change in the carrying amount of goodwill during the year ended December 31, 2025 included the following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2024</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Divestiture</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(1,228)</w:t>
            </w:r>
          </w:p>
        </w:tc>
        <w:tc>
          <w:tcPr>
            <w:tcW w:w="0" w:type="dxa"/>
            <w:vAlign w:val="bottom"/>
          </w:tcPr>
          <w:p>
            <w:pPr>
              <w:spacing w:after="0"/>
              <w:rPr>
                <w:sz w:val="1"/>
                <w:szCs w:val="1"/>
                <w:color w:val="auto"/>
              </w:rPr>
            </w:pPr>
          </w:p>
        </w:tc>
      </w:tr>
      <w:tr>
        <w:trPr>
          <w:trHeight w:val="207"/>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gridSpan w:val="4"/>
            <w:vMerge w:val="restart"/>
          </w:tcPr>
          <w:p>
            <w:pPr>
              <w:ind w:left="600"/>
              <w:spacing w:after="0"/>
              <w:rPr>
                <w:sz w:val="20"/>
                <w:szCs w:val="20"/>
                <w:color w:val="auto"/>
              </w:rPr>
            </w:pPr>
            <w:r>
              <w:rPr>
                <w:rFonts w:ascii="Times New Roman" w:cs="Times New Roman" w:eastAsia="Times New Roman" w:hAnsi="Times New Roman"/>
                <w:sz w:val="17"/>
                <w:szCs w:val="17"/>
                <w:color w:val="auto"/>
                <w:w w:val="99"/>
              </w:rPr>
              <w:t>The following table sets forth information regarding intangible assets (in thousands):</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36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jc w:val="right"/>
              <w:ind w:right="441"/>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20" w:type="dxa"/>
            <w:vAlign w:val="bottom"/>
          </w:tcPr>
          <w:p>
            <w:pPr>
              <w:spacing w:after="0"/>
              <w:rPr>
                <w:sz w:val="19"/>
                <w:szCs w:val="19"/>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Average Life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40" w:type="dxa"/>
            <w:vAlign w:val="bottom"/>
          </w:tcPr>
          <w:p>
            <w:pPr>
              <w:spacing w:after="0"/>
              <w:rPr>
                <w:sz w:val="19"/>
                <w:szCs w:val="19"/>
                <w:color w:val="auto"/>
              </w:rPr>
            </w:pPr>
          </w:p>
        </w:tc>
        <w:tc>
          <w:tcPr>
            <w:tcW w:w="1540" w:type="dxa"/>
            <w:vAlign w:val="bottom"/>
            <w:gridSpan w:val="3"/>
          </w:tcPr>
          <w:p>
            <w:pPr>
              <w:jc w:val="right"/>
              <w:ind w:right="441"/>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Net</w:t>
            </w:r>
          </w:p>
        </w:tc>
        <w:tc>
          <w:tcPr>
            <w:tcW w:w="0" w:type="dxa"/>
            <w:vAlign w:val="bottom"/>
          </w:tcPr>
          <w:p>
            <w:pPr>
              <w:spacing w:after="0"/>
              <w:rPr>
                <w:sz w:val="1"/>
                <w:szCs w:val="1"/>
                <w:color w:val="auto"/>
              </w:rPr>
            </w:pPr>
          </w:p>
        </w:tc>
      </w:tr>
      <w:tr>
        <w:trPr>
          <w:trHeight w:val="195"/>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13 years</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w:t>
            </w: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jc w:val="right"/>
              <w:ind w:right="441"/>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20" w:type="dxa"/>
            <w:vAlign w:val="bottom"/>
          </w:tcPr>
          <w:p>
            <w:pPr>
              <w:spacing w:after="0"/>
              <w:rPr>
                <w:sz w:val="19"/>
                <w:szCs w:val="19"/>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Average Life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40" w:type="dxa"/>
            <w:vAlign w:val="bottom"/>
          </w:tcPr>
          <w:p>
            <w:pPr>
              <w:spacing w:after="0"/>
              <w:rPr>
                <w:sz w:val="19"/>
                <w:szCs w:val="19"/>
                <w:color w:val="auto"/>
              </w:rPr>
            </w:pPr>
          </w:p>
        </w:tc>
        <w:tc>
          <w:tcPr>
            <w:tcW w:w="1540" w:type="dxa"/>
            <w:vAlign w:val="bottom"/>
            <w:gridSpan w:val="3"/>
          </w:tcPr>
          <w:p>
            <w:pPr>
              <w:jc w:val="right"/>
              <w:ind w:right="441"/>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Net</w:t>
            </w:r>
          </w:p>
        </w:tc>
        <w:tc>
          <w:tcPr>
            <w:tcW w:w="0" w:type="dxa"/>
            <w:vAlign w:val="bottom"/>
          </w:tcPr>
          <w:p>
            <w:pPr>
              <w:spacing w:after="0"/>
              <w:rPr>
                <w:sz w:val="1"/>
                <w:szCs w:val="1"/>
                <w:color w:val="auto"/>
              </w:rPr>
            </w:pPr>
          </w:p>
        </w:tc>
      </w:tr>
      <w:tr>
        <w:trPr>
          <w:trHeight w:val="195"/>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11 years</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w:t>
            </w: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Customer List</w:t>
            </w:r>
          </w:p>
        </w:tc>
        <w:tc>
          <w:tcPr>
            <w:tcW w:w="18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6 years</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8,000</w:t>
            </w:r>
          </w:p>
        </w:tc>
        <w:tc>
          <w:tcPr>
            <w:tcW w:w="140" w:type="dxa"/>
            <w:vAlign w:val="bottom"/>
          </w:tcPr>
          <w:p>
            <w:pPr>
              <w:spacing w:after="0"/>
              <w:rPr>
                <w:sz w:val="17"/>
                <w:szCs w:val="17"/>
                <w:color w:val="auto"/>
              </w:rPr>
            </w:pPr>
          </w:p>
        </w:tc>
        <w:tc>
          <w:tcPr>
            <w:tcW w:w="1540" w:type="dxa"/>
            <w:vAlign w:val="bottom"/>
            <w:gridSpan w:val="3"/>
          </w:tcPr>
          <w:p>
            <w:pPr>
              <w:jc w:val="right"/>
              <w:ind w:right="181"/>
              <w:spacing w:after="0"/>
              <w:rPr>
                <w:sz w:val="20"/>
                <w:szCs w:val="20"/>
                <w:color w:val="auto"/>
              </w:rPr>
            </w:pPr>
            <w:r>
              <w:rPr>
                <w:rFonts w:ascii="Times New Roman" w:cs="Times New Roman" w:eastAsia="Times New Roman" w:hAnsi="Times New Roman"/>
                <w:sz w:val="17"/>
                <w:szCs w:val="17"/>
                <w:color w:val="auto"/>
              </w:rPr>
              <w:t>(2,445)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Tradenames</w:t>
            </w:r>
          </w:p>
        </w:tc>
        <w:tc>
          <w:tcPr>
            <w:tcW w:w="1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 years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1,190</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11,967</w:t>
            </w:r>
          </w:p>
        </w:tc>
        <w:tc>
          <w:tcPr>
            <w:tcW w:w="3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Amortization expense was $1.6 million and $1.7 million for the years ended December 31, 2025 and 2024. The following is a summary of estimated future amortization expense for intangible assets as of December 31, 2025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6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6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6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6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6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6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312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Total</w:t>
            </w:r>
          </w:p>
        </w:tc>
        <w:tc>
          <w:tcPr>
            <w:tcW w:w="6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69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299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100" w:type="dxa"/>
            <w:vAlign w:val="bottom"/>
            <w:vMerge w:val="restart"/>
          </w:tcPr>
          <w:p>
            <w:pPr>
              <w:jc w:val="right"/>
              <w:ind w:right="3436"/>
              <w:spacing w:after="0"/>
              <w:rPr>
                <w:sz w:val="20"/>
                <w:szCs w:val="20"/>
                <w:color w:val="auto"/>
              </w:rPr>
            </w:pPr>
            <w:r>
              <w:rPr>
                <w:rFonts w:ascii="Times New Roman" w:cs="Times New Roman" w:eastAsia="Times New Roman" w:hAnsi="Times New Roman"/>
                <w:sz w:val="17"/>
                <w:szCs w:val="17"/>
                <w:color w:val="auto"/>
              </w:rPr>
              <w:t>66</w:t>
            </w: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1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(7) Accrued Liabilities</w:t>
      </w:r>
    </w:p>
    <w:p>
      <w:pPr>
        <w:spacing w:after="0" w:line="212"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7"/>
          <w:szCs w:val="17"/>
          <w:color w:val="auto"/>
        </w:rPr>
        <w:t>Accrued liabilities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Wages/commissions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135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Taxes payable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35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Accrued liabilities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Debt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due under the Term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135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end-of-term payments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Less: Current portion of long-term debt</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Long-term debt, less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52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2"/>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2"/>
        </w:trPr>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6,726</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5,565</w:t>
            </w:r>
          </w:p>
        </w:tc>
        <w:tc>
          <w:tcPr>
            <w:tcW w:w="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2,183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403</w:t>
            </w:r>
          </w:p>
        </w:tc>
      </w:tr>
      <w:tr>
        <w:trPr>
          <w:trHeight w:val="21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1,803</w:t>
            </w:r>
          </w:p>
        </w:tc>
      </w:tr>
      <w:tr>
        <w:trPr>
          <w:trHeight w:val="207"/>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10,626</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7,771</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2"/>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2"/>
        </w:trPr>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14,000</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22,000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817</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465</w:t>
            </w: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(291)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31"/>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(3,500)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11,026</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22,038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6260" w:space="720"/>
            <w:col w:w="4260"/>
          </w:cols>
          <w:pgMar w:left="320" w:top="649" w:right="339" w:bottom="498" w:gutter="0" w:footer="0" w:header="0"/>
        </w:sectPr>
      </w:pPr>
    </w:p>
    <w:tbl>
      <w:tblPr>
        <w:tblLayout w:type="fixed"/>
        <w:tblInd w:w="0" w:type="dxa"/>
        <w:tblCellMar>
          <w:top w:w="0" w:type="dxa"/>
          <w:left w:w="0" w:type="dxa"/>
          <w:bottom w:w="0" w:type="dxa"/>
          <w:right w:w="0" w:type="dxa"/>
        </w:tblCellMar>
      </w:tblPr>
      <w:tr>
        <w:trPr>
          <w:trHeight w:val="198"/>
        </w:trPr>
        <w:tc>
          <w:tcPr>
            <w:tcW w:w="9240" w:type="dxa"/>
            <w:vAlign w:val="bottom"/>
            <w:gridSpan w:val="5"/>
          </w:tcPr>
          <w:p>
            <w:pPr>
              <w:jc w:val="right"/>
              <w:ind w:right="800"/>
              <w:spacing w:after="0"/>
              <w:rPr>
                <w:sz w:val="20"/>
                <w:szCs w:val="20"/>
                <w:color w:val="auto"/>
              </w:rPr>
            </w:pPr>
            <w:r>
              <w:rPr>
                <w:rFonts w:ascii="Times New Roman" w:cs="Times New Roman" w:eastAsia="Times New Roman" w:hAnsi="Times New Roman"/>
                <w:sz w:val="17"/>
                <w:szCs w:val="17"/>
                <w:color w:val="auto"/>
              </w:rPr>
              <w:t>As of December 31, 2025, scheduled principal payments for the term credit agreement are as follows (in thousands):</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Scheduled Quarterly</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6760" w:type="dxa"/>
            <w:vAlign w:val="bottom"/>
          </w:tcPr>
          <w:p>
            <w:pPr>
              <w:jc w:val="right"/>
              <w:ind w:right="3056"/>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7"/>
                <w:szCs w:val="17"/>
                <w:b w:val="1"/>
                <w:bCs w:val="1"/>
                <w:color w:val="auto"/>
              </w:rPr>
              <w:t>Payments</w:t>
            </w:r>
          </w:p>
        </w:tc>
        <w:tc>
          <w:tcPr>
            <w:tcW w:w="360" w:type="dxa"/>
            <w:vAlign w:val="bottom"/>
          </w:tcPr>
          <w:p>
            <w:pPr>
              <w:spacing w:after="0"/>
              <w:rPr>
                <w:sz w:val="19"/>
                <w:szCs w:val="19"/>
                <w:color w:val="auto"/>
              </w:rPr>
            </w:pPr>
          </w:p>
        </w:tc>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Annually</w:t>
            </w:r>
          </w:p>
        </w:tc>
      </w:tr>
      <w:tr>
        <w:trPr>
          <w:trHeight w:val="195"/>
        </w:trPr>
        <w:tc>
          <w:tcPr>
            <w:tcW w:w="6760" w:type="dxa"/>
            <w:vAlign w:val="bottom"/>
            <w:tcBorders>
              <w:top w:val="single" w:sz="8" w:color="auto"/>
            </w:tcBorders>
            <w:shd w:val="clear" w:color="auto" w:fill="CCEEFF"/>
          </w:tcPr>
          <w:p>
            <w:pPr>
              <w:jc w:val="right"/>
              <w:ind w:right="6336"/>
              <w:spacing w:after="0"/>
              <w:rPr>
                <w:sz w:val="20"/>
                <w:szCs w:val="20"/>
                <w:color w:val="auto"/>
              </w:rPr>
            </w:pPr>
            <w:r>
              <w:rPr>
                <w:rFonts w:ascii="Times New Roman" w:cs="Times New Roman" w:eastAsia="Times New Roman" w:hAnsi="Times New Roman"/>
                <w:sz w:val="17"/>
                <w:szCs w:val="17"/>
                <w:color w:val="auto"/>
                <w:w w:val="93"/>
              </w:rPr>
              <w:t>2026</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6760" w:type="dxa"/>
            <w:vAlign w:val="bottom"/>
          </w:tcPr>
          <w:p>
            <w:pPr>
              <w:jc w:val="right"/>
              <w:ind w:right="6336"/>
              <w:spacing w:after="0"/>
              <w:rPr>
                <w:sz w:val="20"/>
                <w:szCs w:val="20"/>
                <w:color w:val="auto"/>
              </w:rPr>
            </w:pPr>
            <w:r>
              <w:rPr>
                <w:rFonts w:ascii="Times New Roman" w:cs="Times New Roman" w:eastAsia="Times New Roman" w:hAnsi="Times New Roman"/>
                <w:sz w:val="17"/>
                <w:szCs w:val="17"/>
                <w:color w:val="auto"/>
                <w:w w:val="93"/>
              </w:rPr>
              <w:t>2027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1,167</w:t>
            </w:r>
          </w:p>
        </w:tc>
        <w:tc>
          <w:tcPr>
            <w:tcW w:w="36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4,667</w:t>
            </w:r>
          </w:p>
        </w:tc>
      </w:tr>
      <w:tr>
        <w:trPr>
          <w:trHeight w:val="202"/>
        </w:trPr>
        <w:tc>
          <w:tcPr>
            <w:tcW w:w="6760" w:type="dxa"/>
            <w:vAlign w:val="bottom"/>
            <w:shd w:val="clear" w:color="auto" w:fill="CCEEFF"/>
          </w:tcPr>
          <w:p>
            <w:pPr>
              <w:jc w:val="right"/>
              <w:ind w:right="6336"/>
              <w:spacing w:after="0"/>
              <w:rPr>
                <w:sz w:val="20"/>
                <w:szCs w:val="20"/>
                <w:color w:val="auto"/>
              </w:rPr>
            </w:pPr>
            <w:r>
              <w:rPr>
                <w:rFonts w:ascii="Times New Roman" w:cs="Times New Roman" w:eastAsia="Times New Roman" w:hAnsi="Times New Roman"/>
                <w:sz w:val="17"/>
                <w:szCs w:val="17"/>
                <w:color w:val="auto"/>
                <w:w w:val="93"/>
              </w:rPr>
              <w:t>2028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1,167</w:t>
            </w:r>
          </w:p>
        </w:tc>
        <w:tc>
          <w:tcPr>
            <w:tcW w:w="3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4,667</w:t>
            </w:r>
          </w:p>
        </w:tc>
      </w:tr>
      <w:tr>
        <w:trPr>
          <w:trHeight w:val="218"/>
        </w:trPr>
        <w:tc>
          <w:tcPr>
            <w:tcW w:w="6760" w:type="dxa"/>
            <w:vAlign w:val="bottom"/>
          </w:tcPr>
          <w:p>
            <w:pPr>
              <w:jc w:val="right"/>
              <w:ind w:right="6336"/>
              <w:spacing w:after="0"/>
              <w:rPr>
                <w:sz w:val="20"/>
                <w:szCs w:val="20"/>
                <w:color w:val="auto"/>
              </w:rPr>
            </w:pPr>
            <w:r>
              <w:rPr>
                <w:rFonts w:ascii="Times New Roman" w:cs="Times New Roman" w:eastAsia="Times New Roman" w:hAnsi="Times New Roman"/>
                <w:sz w:val="17"/>
                <w:szCs w:val="17"/>
                <w:color w:val="auto"/>
                <w:w w:val="93"/>
              </w:rPr>
              <w:t>2029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1,167</w:t>
            </w:r>
          </w:p>
        </w:tc>
        <w:tc>
          <w:tcPr>
            <w:tcW w:w="3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1,167</w:t>
            </w:r>
          </w:p>
        </w:tc>
      </w:tr>
    </w:tbl>
    <w:p>
      <w:pPr>
        <w:spacing w:after="0" w:line="18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March 7, 2024, the Company’s term credit agreement was amended and restated to, among other things, extend the maturity date to March 1, 2029. An additional $10.0 million tranche, available solely at the discretion of MidCap Financial Trust and the lenders, was added to the term credit agreement and the applicable margin used to determine the per annum interest rate was reduced from 7.00% to 6.50%. The date of certain fees payable in connection with optional prepayments were also reset by the amendment to be determined based on the date the amendment. The Company’s revolving credit agreement was also amended and restated on March 7, 2024, to among other things, increase the commitment amount from $8.0 million to $17.0 million. The maturity of the revolving credit agreement was also extended to March 1, 2029. Minimum revenue requirements specified in the credit agreements were reset and minimum adjusted EBITDA requirements were removed.</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May 14, 2024, the term credit agreement was amended to increase the amount of term loans that may be borrowed by $5.0 million to a maximum of $22.0 million, which were fully drawn as of May 14, 2024. In addition, the amendments to the term credit agreement and revolving credit agreement re-set the date certain fees payable in connection with optional prepayments are determined to May 14, 2024 and consequently extend such fees’ original expiration. The exit fees were increased by 2.50% to 6.50% of the principal amount borrowed pursuant to the term credit agreement. The terms of borrowing under the term credit agreement and revolving credit agreement otherwise remain materially unchanged.</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July 7, 2025, we entered into a Limited Consent and Amendment No. 3 to Amended and Restated Credit, Security and Guaranty Agreement (Term Loan) (the “Term Loan Limited Consent”) with MidCap Financial Trust and a Limited Consent and Amendment No. 3 to Amended and Restated Credit, Security and Guaranty Agreement (Revolving Loan) (the “Revolving Loan Limited Consent” and together with the Term Loan Limited Consent, the “Limited Consent Agreements”) with MidCap Funding IV Trust (collectively, with MidCap Financial Trust, “MidCap”). Under the Limited Consent Agreements, MidCap agreed, subject to the terms and conditions set forth in the Limited Consent Agreements, to, among other things, consent to us entering into the Coflex/CoFix Agreement and Paradigm Agreement and the consummation of the Divestitures in accordance with the terms and subject to the conditions set forth therein.</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March 26, 2026, we entered into Amendment No. 4 to Amended and Restated Credit, Security and Guaranty Agreement (Term Loan) with MidCap Financial Trust and Amendment No. 4 to Amended and Restated Credit, Security and Guaranty Agreement (Revolving Loan) with MidCap Funding IV Trust (collectively, the “Amendment No. 4s”) pursuant to which we eliminated the requirement to comply with the minimum net revenue covenant for fourth quarter of 2025, adjusted the amortization of the term loan to have amortization calculated off the amount of principal outstanding when amortization payments start instead of the original principal amount of the term loan, and revised the minimum net revenue covenant to align solely with revenue generated from the orthobiologics products and correspondingly adjust the minimum net revenue amounts.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of December 31, 2025, the effective rate of the term loan under the term credit agreement, inclusive of authorization of debt issuance costs and accretion of the final payment, was 14.08%, and the effective rate of the revolving loan under the revolving credit agreement was 8.49%. As of December 31, 2025, the Company had $10.9 million outstanding and $3.8 million of availability under the Revolving Credit Facility.</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credit agreements contain affirmative and negative covenants customarily applicable to senior secured credit facilities, including covenants that, among other things, limit or restrict the ability of certain subsidiaries of the Company, as borrowers (the “Borrowers”),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 In addition, the credit agreements require the Borrowers and the Company to maintain net product revenue at or above minimum levels and to maintain a certain minimum liquidity level, in each case as specified in the credit agreements. As of December 31, 2025, the Company was in compliance with all applicable covenants under the credit agreements. As of December 31, 2025, our credit agreements included a minimum net revenue covenant, however, pursuant to the Amendment No. 4s executed in March 2026, we were not required to comply with the minimum net revenue covenant for the quarter ended December 31, 2025. Under the covenant terms in effect prior to the Amendment No. 4s, we would not have been in compliance with the minimum net revenue requirement for that quarter.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498" w:gutter="0" w:footer="0" w:header="0"/>
          <w:type w:val="continuous"/>
        </w:sectPr>
      </w:pPr>
    </w:p>
    <w:bookmarkStart w:id="70" w:name="page71"/>
    <w:bookmarkEnd w:id="70"/>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Each of the Borrowers, and the Company, as guarantor, are jointly and severally liable for all of the obligations under the facilities on the terms set forth in the credit agreements. The Borrowers’ obligations, and the Company’s obligations as a guarantor, under the credit agreements are secured by first-priority liens on substantially all of their assets, including, without limitation, all inventory, equipment, accounts, intellectual property and other assets of the Company and the Borrowers.</w:t>
      </w:r>
    </w:p>
    <w:p>
      <w:pPr>
        <w:spacing w:after="0" w:line="171" w:lineRule="exact"/>
        <w:rPr>
          <w:sz w:val="20"/>
          <w:szCs w:val="20"/>
          <w:color w:val="auto"/>
        </w:rPr>
      </w:pPr>
    </w:p>
    <w:p>
      <w:pPr>
        <w:ind w:right="9920" w:firstLine="1"/>
        <w:spacing w:after="0" w:line="497" w:lineRule="auto"/>
        <w:tabs>
          <w:tab w:leader="none" w:pos="238"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Private Placement</w:t>
      </w:r>
    </w:p>
    <w:p>
      <w:pPr>
        <w:spacing w:after="0" w:line="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August 7, 2024, we entered into a securities purchase agreement pursuant to which we issued an aggregate of 7,812,500 shares of common stock to accredited investors in a private placement at a per share purchase price of $0.64 at a closing held on August 9, 2024. The gross proceeds to us from the private placement were $5.0 million, before deducting estimated offering fees and expenses payable by us. We expect to use the net proceeds of $4.5 million from the private placement for working capital and other general corporate purposes.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Stock-Based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Xtant Medical Holdings, Inc. 2023 Equity Incentive Plan</w:t>
      </w:r>
    </w:p>
    <w:p>
      <w:pPr>
        <w:spacing w:after="0" w:line="212" w:lineRule="exact"/>
        <w:rPr>
          <w:sz w:val="20"/>
          <w:szCs w:val="20"/>
          <w:color w:val="auto"/>
        </w:rPr>
      </w:pPr>
    </w:p>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On July 26, 2023, our stockholders approved and adopted the Xtant Medical Holdings, Inc. 2023 Equity Incentive Plan (the “2023 Plan”), which replaced the Xtant Medical Holdings, Inc. 2018 Equity Incentive Plan (as amended and restated, the “2018 Plan”) with respect to future grants of equity awards, although the 2018 Plan continues to govern equity awards granted under the 2018 Plan. The 2023 Plan permits the Board of Directors, or a committee thereof, to grant to eligible employees, non-employee directors, and consultants of the Company non-statutory and incentive stock options, stock appreciation rights, restricted stock awards, restricted stock units, deferred stock units, performance awards, non-employee director awards, and other stock-based awards. The 2023 Plan is administered by the Compensation Committee of the Board of Directors. The Compensation Committee or the Board of Directors may select 2023 Plan participants and determine the nature and amount of awards to be granted. The maximum number of shares of our common stock available for issuance under the 2023 Plan, subject to adjustment pursuant to the terms of the 2023 Plan, as increased by an amendment approved by our stockholders on November 7, 2025, is (i) 17,800,000 shares of common stock;</w:t>
      </w:r>
    </w:p>
    <w:p>
      <w:pPr>
        <w:spacing w:after="0" w:line="5" w:lineRule="exact"/>
        <w:rPr>
          <w:sz w:val="20"/>
          <w:szCs w:val="20"/>
          <w:color w:val="auto"/>
        </w:rPr>
      </w:pPr>
    </w:p>
    <w:p>
      <w:pPr>
        <w:jc w:val="both"/>
        <w:ind w:firstLine="1"/>
        <w:spacing w:after="0" w:line="249" w:lineRule="auto"/>
        <w:tabs>
          <w:tab w:leader="none" w:pos="24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7,695,812 shares of common stock remaining available for issuance under the 2018 Plan but not subject to outstanding awards under the 2018 Plan as of July 26, 2023; and (iii) up to 6,686,090 shares of common stock subject to awards outstanding under the 2018 Plan as of July 26, 2023 but only to the extent such awards are subsequently forfeited, cancelled, expire, or otherwise terminate without the issuance of such shares of common stock after such date. As of December 31, 2025, 12,966,721 shares remained available for grant under the 2023 Plan. Under the 2023 Plan, shares of our common stock related to awards granted under the plan that terminate by expiration, forfeiture, cancellation, or otherwise without the issuance of the shares become available again for grant under the plan.</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Total stock-based compensation expense recognized for employees and directors was $2.9 million and $4.1 million for the years ended December 31, 2025 and 2024, respectively, and was recognized as general and administrative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Stock options granted under the 2023 Plan may be either incentive stock options to employees, as defined in Section 422A of the Internal Revenue Code of 1986, or non-qualified stock options. The exercise price of all stock options granted under the 2023 Plan must be at least equal to the fair market value of the shares of common stock on the date of the grant. Stock options granted under the 2023 Plan are generally not transferable, vest in installments over the requisite service period, and are exercisable during the stated contractual term of the option only by the optionee.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1" w:name="page72"/>
    <w:bookmarkEnd w:id="71"/>
    <w:p>
      <w:pPr>
        <w:ind w:left="600"/>
        <w:spacing w:after="0"/>
        <w:rPr>
          <w:sz w:val="20"/>
          <w:szCs w:val="20"/>
          <w:color w:val="auto"/>
        </w:rPr>
      </w:pPr>
      <w:r>
        <w:rPr>
          <w:rFonts w:ascii="Times New Roman" w:cs="Times New Roman" w:eastAsia="Times New Roman" w:hAnsi="Times New Roman"/>
          <w:sz w:val="17"/>
          <w:szCs w:val="17"/>
          <w:color w:val="auto"/>
        </w:rPr>
        <w:t>Stock option activity, including options granted under the 2023 Plan, the 2018 Plan and the prior plan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4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5"/>
                <w:szCs w:val="15"/>
                <w:color w:val="auto"/>
              </w:rPr>
            </w:pPr>
          </w:p>
        </w:tc>
      </w:tr>
      <w:tr>
        <w:trPr>
          <w:trHeight w:val="202"/>
        </w:trPr>
        <w:tc>
          <w:tcPr>
            <w:tcW w:w="4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02"/>
        </w:trPr>
        <w:tc>
          <w:tcPr>
            <w:tcW w:w="4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Remaining</w:t>
            </w:r>
          </w:p>
        </w:tc>
      </w:tr>
      <w:tr>
        <w:trPr>
          <w:trHeight w:val="202"/>
        </w:trPr>
        <w:tc>
          <w:tcPr>
            <w:tcW w:w="4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Contract</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Contract</w:t>
            </w:r>
          </w:p>
        </w:tc>
      </w:tr>
      <w:tr>
        <w:trPr>
          <w:trHeight w:val="202"/>
        </w:trPr>
        <w:tc>
          <w:tcPr>
            <w:tcW w:w="4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Term</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3"/>
              </w:rPr>
              <w:t>Term</w:t>
            </w:r>
          </w:p>
        </w:tc>
      </w:tr>
      <w:tr>
        <w:trPr>
          <w:trHeight w:val="222"/>
        </w:trPr>
        <w:tc>
          <w:tcPr>
            <w:tcW w:w="47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(years)</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(years)</w:t>
            </w:r>
          </w:p>
        </w:tc>
      </w:tr>
      <w:tr>
        <w:trPr>
          <w:trHeight w:val="195"/>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January 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3,925,403</w:t>
            </w: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3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4,875,828</w:t>
            </w:r>
          </w:p>
        </w:tc>
        <w:tc>
          <w:tcPr>
            <w:tcW w:w="3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(19,858)</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0.64</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Cancelled or expired</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(164,931)</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1.19</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(930,567)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1.38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47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Outstanding at December 31</w:t>
            </w: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3,760,472</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1.30</w:t>
            </w:r>
          </w:p>
        </w:tc>
        <w:tc>
          <w:tcPr>
            <w:tcW w:w="340" w:type="dxa"/>
            <w:vAlign w:val="bottom"/>
          </w:tcPr>
          <w:p>
            <w:pPr>
              <w:spacing w:after="0"/>
              <w:rPr>
                <w:sz w:val="16"/>
                <w:szCs w:val="16"/>
                <w:color w:val="auto"/>
              </w:rPr>
            </w:pPr>
          </w:p>
        </w:tc>
        <w:tc>
          <w:tcPr>
            <w:tcW w:w="116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7"/>
                <w:szCs w:val="17"/>
                <w:color w:val="auto"/>
              </w:rPr>
              <w:t>5.85</w:t>
            </w: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3,925,403</w:t>
            </w:r>
          </w:p>
        </w:tc>
        <w:tc>
          <w:tcPr>
            <w:tcW w:w="30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1.29</w:t>
            </w:r>
          </w:p>
        </w:tc>
        <w:tc>
          <w:tcPr>
            <w:tcW w:w="320" w:type="dxa"/>
            <w:vAlign w:val="bottom"/>
          </w:tcPr>
          <w:p>
            <w:pPr>
              <w:spacing w:after="0"/>
              <w:rPr>
                <w:sz w:val="16"/>
                <w:szCs w:val="16"/>
                <w:color w:val="auto"/>
              </w:rPr>
            </w:pPr>
          </w:p>
        </w:tc>
        <w:tc>
          <w:tcPr>
            <w:tcW w:w="8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6.64</w:t>
            </w: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Exercisable at December 31</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3,210,536</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1.33</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5.57</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2,947,725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1.36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6.08</w:t>
            </w:r>
          </w:p>
        </w:tc>
      </w:tr>
    </w:tbl>
    <w:p>
      <w:pPr>
        <w:spacing w:after="0" w:line="18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December 31, 2025, total compensation expense related to unvested employee stock options not yet recognized was $0.5 million, which is expected to be allocated to expenses over a weighted-average period of 1.6 years. There was no intrinsic value associated with options exercisable at December 31, 2025. The estimated fair value of stock options granted is determined using the Black-Scholes-Merton method applied to individual grants. There were no stock options granted during the years ended December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Stock Units and Restricted Stock Units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Under our non-employee director compensation program, non-employee directors may elect to receive deferred stock units, or DSUs, in lieu of their annual restricted stock units, or RSUs. In addition, certain officers have received DSUs instead of RSUs for their annual equity awards in 2025 and 2024. Each RSU or DSU represents the right to receive one share of our common stock. DSU and RSU activity for awards granted under the 2023 Plan and 2018 Plan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80" w:type="dxa"/>
            <w:vAlign w:val="bottom"/>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5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5"/>
                <w:szCs w:val="15"/>
                <w:color w:val="auto"/>
              </w:rPr>
            </w:pPr>
          </w:p>
        </w:tc>
      </w:tr>
      <w:tr>
        <w:trPr>
          <w:trHeight w:val="202"/>
        </w:trPr>
        <w:tc>
          <w:tcPr>
            <w:tcW w:w="5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Average Fair</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Average Fair</w:t>
            </w:r>
          </w:p>
        </w:tc>
      </w:tr>
      <w:tr>
        <w:trPr>
          <w:trHeight w:val="202"/>
        </w:trPr>
        <w:tc>
          <w:tcPr>
            <w:tcW w:w="5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Value at Grant</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Value at Grant</w:t>
            </w:r>
          </w:p>
        </w:tc>
      </w:tr>
      <w:tr>
        <w:trPr>
          <w:trHeight w:val="222"/>
        </w:trPr>
        <w:tc>
          <w:tcPr>
            <w:tcW w:w="5180" w:type="dxa"/>
            <w:vAlign w:val="bottom"/>
          </w:tcPr>
          <w:p>
            <w:pPr>
              <w:spacing w:after="0"/>
              <w:rPr>
                <w:sz w:val="19"/>
                <w:szCs w:val="19"/>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Date Per Share</w:t>
            </w: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Date Per Share</w:t>
            </w:r>
          </w:p>
        </w:tc>
      </w:tr>
      <w:tr>
        <w:trPr>
          <w:trHeight w:val="195"/>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January 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5,455,472</w:t>
            </w: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3,524,675</w:t>
            </w: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3,497,772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0.65</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4,195,363</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0.84</w:t>
            </w:r>
          </w:p>
        </w:tc>
      </w:tr>
      <w:tr>
        <w:trPr>
          <w:trHeight w:val="20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(1,203,987)</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0.89</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(1,310,937)</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1.13</w:t>
            </w:r>
          </w:p>
        </w:tc>
      </w:tr>
      <w:tr>
        <w:trPr>
          <w:trHeight w:val="21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Cancelled</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(80,116)</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0.98</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(953,629)</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0.92</w:t>
            </w:r>
          </w:p>
        </w:tc>
      </w:tr>
      <w:tr>
        <w:trPr>
          <w:trHeight w:val="194"/>
        </w:trPr>
        <w:tc>
          <w:tcPr>
            <w:tcW w:w="51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at December 31</w:t>
            </w:r>
          </w:p>
        </w:tc>
        <w:tc>
          <w:tcPr>
            <w:tcW w:w="12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7,669,141</w:t>
            </w: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0.79</w:t>
            </w: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5,455,472</w:t>
            </w: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0.90</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Total compensation expense related to unvested DSUs and RSUs not yet recognized was $3.8 million as of December 31, 2025, which is expected to be allocated to expenses over a weighted-average period of 2.5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Stock Units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During 2024, the Company awarded performance stock units, or PSUs, under the 2023 Plan to certain executive officers and key employees. The Company has awarded an aggregate of 1,894,985 PSUs, assuming target performance, and each PSU award can be earned and vested at the end of a three-year performance period based on the total stockholder return, or TSR, of the Company’s common stock price relative to a group of peer companies and subject to continued service to the Company. The number of shares of the Company’s common stock to be issued upon vesting and settlement of the PSUs range from 0% to 200% of the target number of shares underlying the award, depending on the Company’s performance against the group of peer companies.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During 2025, the Company awarded PSUs under the 2023 Plan to certain executive officers and key employees. The Company awarded 1,699,402 PSUs, assuming target performance, and each PSU award can be earned at the end of each of the three one-year performance periods based on stock appreciation goals and subject to continued service to the Company. After each one-year performance period, the amount earned in that period will vest equally over the remaining service periods. The number of shares of the Company’s common stock or DSUs to be issued upon vesting and settlement of the PSUs range from 0% to 200% of the target number of shares underlying the award, depending on the Company’s performance against the stock appreciation goals set forth in the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2" w:name="page73"/>
    <w:bookmarkEnd w:id="72"/>
    <w:p>
      <w:pPr>
        <w:jc w:val="center"/>
        <w:ind w:right="-59"/>
        <w:spacing w:after="0"/>
        <w:rPr>
          <w:sz w:val="20"/>
          <w:szCs w:val="20"/>
          <w:color w:val="auto"/>
        </w:rPr>
      </w:pPr>
      <w:r>
        <w:rPr>
          <w:rFonts w:ascii="Times New Roman" w:cs="Times New Roman" w:eastAsia="Times New Roman" w:hAnsi="Times New Roman"/>
          <w:sz w:val="17"/>
          <w:szCs w:val="17"/>
          <w:color w:val="auto"/>
        </w:rPr>
        <w:t>Activity for PSU awards granted under the 2023 Plan, assuming target performance, was as follows for the years ended December 31, 2025 and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80" w:type="dxa"/>
            <w:vAlign w:val="bottom"/>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5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6"/>
              <w:spacing w:after="0" w:line="175"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5"/>
                <w:szCs w:val="15"/>
                <w:color w:val="auto"/>
              </w:rPr>
            </w:pPr>
          </w:p>
        </w:tc>
      </w:tr>
      <w:tr>
        <w:trPr>
          <w:trHeight w:val="202"/>
        </w:trPr>
        <w:tc>
          <w:tcPr>
            <w:tcW w:w="5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Average Fair</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Average Fair</w:t>
            </w:r>
          </w:p>
        </w:tc>
      </w:tr>
      <w:tr>
        <w:trPr>
          <w:trHeight w:val="222"/>
        </w:trPr>
        <w:tc>
          <w:tcPr>
            <w:tcW w:w="5180" w:type="dxa"/>
            <w:vAlign w:val="bottom"/>
          </w:tcPr>
          <w:p>
            <w:pPr>
              <w:spacing w:after="0"/>
              <w:rPr>
                <w:sz w:val="19"/>
                <w:szCs w:val="19"/>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560" w:type="dxa"/>
            <w:vAlign w:val="bottom"/>
            <w:gridSpan w:val="4"/>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4"/>
              </w:rPr>
              <w:t>Value</w:t>
            </w:r>
          </w:p>
        </w:tc>
      </w:tr>
      <w:tr>
        <w:trPr>
          <w:trHeight w:val="195"/>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January 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1,640,709</w:t>
            </w: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3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1,699,402</w:t>
            </w: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0.84</w:t>
            </w:r>
          </w:p>
        </w:tc>
        <w:tc>
          <w:tcPr>
            <w:tcW w:w="1560" w:type="dxa"/>
            <w:vAlign w:val="bottom"/>
            <w:gridSpan w:val="4"/>
          </w:tcPr>
          <w:p>
            <w:pPr>
              <w:jc w:val="right"/>
              <w:ind w:right="320"/>
              <w:spacing w:after="0"/>
              <w:rPr>
                <w:sz w:val="20"/>
                <w:szCs w:val="20"/>
                <w:color w:val="auto"/>
              </w:rPr>
            </w:pPr>
            <w:r>
              <w:rPr>
                <w:rFonts w:ascii="Times New Roman" w:cs="Times New Roman" w:eastAsia="Times New Roman" w:hAnsi="Times New Roman"/>
                <w:sz w:val="17"/>
                <w:szCs w:val="17"/>
                <w:color w:val="auto"/>
              </w:rPr>
              <w:t>1,894,985</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1.49</w:t>
            </w:r>
          </w:p>
        </w:tc>
      </w:tr>
      <w:tr>
        <w:trPr>
          <w:trHeight w:val="21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(254,276)</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w:t>
            </w: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December 31</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3,340,111</w:t>
            </w:r>
          </w:p>
        </w:tc>
        <w:tc>
          <w:tcPr>
            <w:tcW w:w="340" w:type="dxa"/>
            <w:vAlign w:val="bottom"/>
          </w:tcPr>
          <w:p>
            <w:pPr>
              <w:spacing w:after="0"/>
              <w:rPr>
                <w:sz w:val="18"/>
                <w:szCs w:val="18"/>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340" w:type="dxa"/>
            <w:vAlign w:val="bottom"/>
          </w:tcPr>
          <w:p>
            <w:pPr>
              <w:spacing w:after="0"/>
              <w:rPr>
                <w:sz w:val="18"/>
                <w:szCs w:val="18"/>
                <w:color w:val="auto"/>
              </w:rPr>
            </w:pPr>
          </w:p>
        </w:tc>
        <w:tc>
          <w:tcPr>
            <w:tcW w:w="1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1,640,709</w:t>
            </w:r>
          </w:p>
        </w:tc>
        <w:tc>
          <w:tcPr>
            <w:tcW w:w="320" w:type="dxa"/>
            <w:vAlign w:val="bottom"/>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18"/>
                <w:szCs w:val="18"/>
                <w:color w:val="auto"/>
              </w:rPr>
            </w:pPr>
          </w:p>
        </w:tc>
      </w:tr>
      <w:tr>
        <w:trPr>
          <w:trHeight w:val="387"/>
        </w:trPr>
        <w:tc>
          <w:tcPr>
            <w:tcW w:w="8360" w:type="dxa"/>
            <w:vAlign w:val="bottom"/>
            <w:gridSpan w:val="6"/>
          </w:tcPr>
          <w:p>
            <w:pPr>
              <w:ind w:left="600"/>
              <w:spacing w:after="0"/>
              <w:rPr>
                <w:sz w:val="20"/>
                <w:szCs w:val="20"/>
                <w:color w:val="auto"/>
              </w:rPr>
            </w:pPr>
            <w:r>
              <w:rPr>
                <w:rFonts w:ascii="Times New Roman" w:cs="Times New Roman" w:eastAsia="Times New Roman" w:hAnsi="Times New Roman"/>
                <w:sz w:val="17"/>
                <w:szCs w:val="17"/>
                <w:color w:val="auto"/>
              </w:rPr>
              <w:t>The fair value of the PSUs was estimated using a Monte Carlo simulation model and the following assumptions:</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5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5"/>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volatility</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78%</w:t>
            </w: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93.34%</w:t>
            </w: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3.58%</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0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stock price</w:t>
            </w: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98"/>
              </w:rPr>
              <w:t>0.6521</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Correlation with index</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6"/>
          </w:tcPr>
          <w:p>
            <w:pPr>
              <w:jc w:val="right"/>
              <w:ind w:right="1080"/>
              <w:spacing w:after="0"/>
              <w:rPr>
                <w:sz w:val="20"/>
                <w:szCs w:val="20"/>
                <w:color w:val="auto"/>
              </w:rPr>
            </w:pPr>
            <w:r>
              <w:rPr>
                <w:rFonts w:ascii="Times New Roman" w:cs="Times New Roman" w:eastAsia="Times New Roman" w:hAnsi="Times New Roman"/>
                <w:sz w:val="17"/>
                <w:szCs w:val="17"/>
                <w:color w:val="auto"/>
              </w:rPr>
              <w:t>Not applicable</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tcPr>
          <w:p>
            <w:pPr>
              <w:spacing w:after="0"/>
              <w:rPr>
                <w:sz w:val="17"/>
                <w:szCs w:val="17"/>
                <w:color w:val="auto"/>
              </w:rPr>
            </w:pPr>
          </w:p>
        </w:tc>
      </w:tr>
      <w:tr>
        <w:trPr>
          <w:trHeight w:val="20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185"/>
        </w:trPr>
        <w:tc>
          <w:tcPr>
            <w:tcW w:w="5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5"/>
          </w:tcPr>
          <w:p>
            <w:pPr>
              <w:jc w:val="right"/>
              <w:ind w:right="140"/>
              <w:spacing w:after="0" w:line="185" w:lineRule="exact"/>
              <w:rPr>
                <w:sz w:val="20"/>
                <w:szCs w:val="20"/>
                <w:color w:val="auto"/>
              </w:rPr>
            </w:pPr>
            <w:r>
              <w:rPr>
                <w:rFonts w:ascii="Times New Roman" w:cs="Times New Roman" w:eastAsia="Times New Roman" w:hAnsi="Times New Roman"/>
                <w:sz w:val="17"/>
                <w:szCs w:val="17"/>
                <w:color w:val="auto"/>
              </w:rPr>
              <w:t>unique to each company</w:t>
            </w:r>
          </w:p>
        </w:tc>
      </w:tr>
      <w:tr>
        <w:trPr>
          <w:trHeight w:val="218"/>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Volatility of peer companies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6"/>
          </w:tcPr>
          <w:p>
            <w:pPr>
              <w:jc w:val="right"/>
              <w:ind w:right="1080"/>
              <w:spacing w:after="0"/>
              <w:rPr>
                <w:sz w:val="20"/>
                <w:szCs w:val="20"/>
                <w:color w:val="auto"/>
              </w:rPr>
            </w:pPr>
            <w:r>
              <w:rPr>
                <w:rFonts w:ascii="Times New Roman" w:cs="Times New Roman" w:eastAsia="Times New Roman" w:hAnsi="Times New Roman"/>
                <w:sz w:val="17"/>
                <w:szCs w:val="17"/>
                <w:color w:val="auto"/>
              </w:rPr>
              <w:t>Not applicable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w w:val="99"/>
              </w:rPr>
              <w:t>in the simulation</w:t>
            </w:r>
          </w:p>
        </w:tc>
      </w:tr>
    </w:tbl>
    <w:p>
      <w:pPr>
        <w:spacing w:after="0" w:line="18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total compensation cost related to unvested PSUs was $2.4 million as of December 31, 2025, which is expected to be allocated to expenses over a weighted-average period of 2.2 years.</w:t>
      </w:r>
    </w:p>
    <w:p>
      <w:pPr>
        <w:sectPr>
          <w:pgSz w:w="11900" w:h="16838" w:orient="portrait"/>
          <w:cols w:equalWidth="0" w:num="1">
            <w:col w:w="11240"/>
          </w:cols>
          <w:pgMar w:left="320" w:top="653" w:right="33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Warrants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Warrant activity was as follows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135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Issued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52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26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Weighted Average</w:t>
            </w:r>
          </w:p>
        </w:tc>
      </w:tr>
      <w:tr>
        <w:trPr>
          <w:trHeight w:val="222"/>
        </w:trPr>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9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Exercise Price</w:t>
            </w:r>
          </w:p>
        </w:tc>
      </w:tr>
      <w:tr>
        <w:trPr>
          <w:trHeight w:val="178"/>
        </w:trPr>
        <w:tc>
          <w:tcPr>
            <w:tcW w:w="19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12,187,470</w:t>
            </w:r>
          </w:p>
        </w:tc>
        <w:tc>
          <w:tcPr>
            <w:tcW w:w="340" w:type="dxa"/>
            <w:vAlign w:val="bottom"/>
          </w:tcPr>
          <w:p>
            <w:pPr>
              <w:spacing w:after="0"/>
              <w:rPr>
                <w:sz w:val="15"/>
                <w:szCs w:val="15"/>
                <w:color w:val="auto"/>
              </w:rPr>
            </w:pPr>
          </w:p>
        </w:tc>
        <w:tc>
          <w:tcPr>
            <w:tcW w:w="190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1.53</w:t>
            </w:r>
          </w:p>
        </w:tc>
        <w:tc>
          <w:tcPr>
            <w:tcW w:w="20" w:type="dxa"/>
            <w:vAlign w:val="bottom"/>
          </w:tcPr>
          <w:p>
            <w:pPr>
              <w:spacing w:after="0"/>
              <w:rPr>
                <w:sz w:val="15"/>
                <w:szCs w:val="15"/>
                <w:color w:val="auto"/>
              </w:rPr>
            </w:pPr>
          </w:p>
        </w:tc>
      </w:tr>
      <w:tr>
        <w:trPr>
          <w:trHeight w:val="202"/>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50,000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0.82</w:t>
            </w:r>
          </w:p>
        </w:tc>
      </w:tr>
      <w:tr>
        <w:trPr>
          <w:trHeight w:val="214"/>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12,237,470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1.53</w:t>
            </w:r>
          </w:p>
        </w:tc>
      </w:tr>
      <w:tr>
        <w:trPr>
          <w:trHeight w:val="218"/>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12,237,470</w:t>
            </w:r>
          </w:p>
        </w:tc>
        <w:tc>
          <w:tcPr>
            <w:tcW w:w="340" w:type="dxa"/>
            <w:vAlign w:val="bottom"/>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20" w:type="dxa"/>
            <w:vAlign w:val="bottom"/>
            <w:tcBorders>
              <w:bottom w:val="single" w:sz="8" w:color="auto"/>
            </w:tcBorders>
          </w:tcPr>
          <w:p>
            <w:pPr>
              <w:spacing w:after="0"/>
              <w:rPr>
                <w:sz w:val="18"/>
                <w:szCs w:val="18"/>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6260" w:space="720"/>
            <w:col w:w="4260"/>
          </w:cols>
          <w:pgMar w:left="320" w:top="653"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color w:val="auto"/>
        </w:rPr>
        <w:t>As of December 31, 2025, the weighted average remaining contractual term of outstanding warrants was 0.8 years.</w:t>
      </w:r>
    </w:p>
    <w:p>
      <w:pPr>
        <w:spacing w:after="0" w:line="204" w:lineRule="exact"/>
        <w:rPr>
          <w:sz w:val="20"/>
          <w:szCs w:val="20"/>
          <w:color w:val="auto"/>
        </w:rPr>
      </w:pPr>
    </w:p>
    <w:p>
      <w:pPr>
        <w:ind w:right="8540" w:firstLine="1"/>
        <w:spacing w:after="0" w:line="497" w:lineRule="auto"/>
        <w:tabs>
          <w:tab w:leader="none" w:pos="322"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Operating Leases</w:t>
      </w:r>
    </w:p>
    <w:p>
      <w:pPr>
        <w:spacing w:after="0" w:line="1"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currently lease various office facilities. These leases are under non-cancelable operating lease agreements with expiration dates in 2030. We have the option for certain leases to extend for one or two five-year term(s) and we have the right of first refusal on any sale.</w:t>
      </w:r>
    </w:p>
    <w:p>
      <w:pPr>
        <w:spacing w:after="0" w:line="159"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 months have been capitalized to the consolidated balance sheet consistent with ASC 842. Instead, these leases are recognized in the consolidated statement of operations on a straight-line expense throughout the lives of the leases. No Company leases contain common area maintenance or security agreements.</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have made certain assumptions and judgments when applying ASC 842, the most significant of which is that we elected the package of practical expedients available for transition, which allow us to not reassess whether expired or existing contracts contain leases under the new definition of a lease, lease classification for expired or existing leases, and whether previously capitalized initial direct costs would qualify for capitalization under ASC 842. Additionally, we did not elect to use hindsight when considering judgments and estimates such as assessments of lessee options to extend or terminate a lease or purchase the underlying asset.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type w:val="continuous"/>
        </w:sectPr>
      </w:pPr>
    </w:p>
    <w:bookmarkStart w:id="73" w:name="page74"/>
    <w:bookmarkEnd w:id="73"/>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December 31, 2025, the weighted-average remaining lease term was 4.9 years. Lease expense related to operating leases was $1.2 million and $0.9 million for the years ended December 31, 2025 and 2024. The Company’s lease agreements do not provide a readily determinable implicit rate nor is one available to the Company from its lessors. Instead, during the year ended December 31, 2025, the Company estimates the weighted-average discount rate for its operating leases to be between 10.93% and 12.46% to discount future cash flows to present value based on the incremental borrowing rate.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Future minimum payments as of December 31, 2025 under these long-term operating leases are as follows (in thousands):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02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future minimum lease payments</w:t>
            </w: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4,192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(905)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Present value of obligations under operating leases</w:t>
            </w: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3,287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Long-term operating lease obligations</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may be subject to potential liabilities under government regulations and various claims and legal actions that are pending but we believe are immaterial at this time or may be asserted in the future from time to time.</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These matters arise in the ordinary course and conduct of our business and may include, for example, commercial, product liability, intellectual property, and employment matters. We intend to continue to defend the Company vigorously in such matters and when warranted, take legal action against others. Furthermore, we regularly assess contingencies to determine the degree of probability and range of possible loss for potential accrual in our financial statements. An estimated loss contingency is accrued in our financial statements if it is probable that a liability has been incurred and the amount of the loss can be reasonably estimated. Based on our assessment, we have adequately accrued an amount for contingent liabilities currently in existence. We do not accrue amounts for liabilities that we do not believe are probable or that we consider immaterial to our overall financial position. Litigation is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indemnification arrangements generally include limited warranties and certain provisions for indemnifying customers against liabilities if our products or services infringe a third-party’s intellectual property rights. To date, we have not incurred any material costs as a result of such warranties or indemnification provisions and have not accrued any liabilities related to such obligations in the accompanying consolidated financial statements.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have also agreed to indemnify our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The Company’s (provision) benefit for income taxes differs from applying the statutory U.S. Federal income tax rate to income before taxes. The primary difference results from providing for state income taxes and from deducting certain expenses for financial statement purposes but not for federal income tax purposes.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4" w:name="page75"/>
    <w:bookmarkEnd w:id="74"/>
    <w:p>
      <w:pPr>
        <w:spacing w:after="0" w:line="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components of income (loss) from operations before provision for income taxes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United States</w:t>
            </w:r>
          </w:p>
        </w:tc>
        <w:tc>
          <w:tcPr>
            <w:tcW w:w="1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9,553</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(13,835)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2520" w:type="dxa"/>
            <w:vAlign w:val="bottom"/>
            <w:gridSpan w:val="2"/>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(2,552)</w:t>
            </w:r>
          </w:p>
        </w:tc>
        <w:tc>
          <w:tcPr>
            <w:tcW w:w="780" w:type="dxa"/>
            <w:vAlign w:val="bottom"/>
            <w:gridSpan w:val="2"/>
          </w:tcPr>
          <w:p>
            <w:pPr>
              <w:jc w:val="right"/>
              <w:ind w:right="64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(2,427)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8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The components of the (provision) benefit for income taxes current and deferred are as follows (in thousands):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Current:</w:t>
            </w:r>
          </w:p>
        </w:tc>
        <w:tc>
          <w:tcPr>
            <w:tcW w:w="1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2520" w:type="dxa"/>
            <w:vAlign w:val="bottom"/>
            <w:gridSpan w:val="2"/>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(1,490)</w:t>
            </w:r>
          </w:p>
        </w:tc>
        <w:tc>
          <w:tcPr>
            <w:tcW w:w="780" w:type="dxa"/>
            <w:vAlign w:val="bottom"/>
            <w:gridSpan w:val="2"/>
          </w:tcPr>
          <w:p>
            <w:pPr>
              <w:jc w:val="right"/>
              <w:ind w:right="64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1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(575)</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current</w:t>
            </w:r>
          </w:p>
        </w:tc>
        <w:tc>
          <w:tcPr>
            <w:tcW w:w="13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(2,066</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w:t>
            </w:r>
          </w:p>
        </w:tc>
        <w:tc>
          <w:tcPr>
            <w:tcW w:w="1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deferred</w:t>
            </w:r>
          </w:p>
        </w:tc>
        <w:tc>
          <w:tcPr>
            <w:tcW w:w="138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38</w:t>
            </w:r>
          </w:p>
        </w:tc>
        <w:tc>
          <w:tcPr>
            <w:tcW w:w="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5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Total (provision) benefit for income taxes current and deferred</w:t>
            </w:r>
          </w:p>
        </w:tc>
        <w:tc>
          <w:tcPr>
            <w:tcW w:w="2520" w:type="dxa"/>
            <w:vAlign w:val="bottom"/>
            <w:gridSpan w:val="2"/>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(2,028)</w:t>
            </w:r>
          </w:p>
        </w:tc>
        <w:tc>
          <w:tcPr>
            <w:tcW w:w="780" w:type="dxa"/>
            <w:vAlign w:val="bottom"/>
            <w:gridSpan w:val="2"/>
          </w:tcPr>
          <w:p>
            <w:pPr>
              <w:jc w:val="right"/>
              <w:ind w:right="64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reconciliation of income tax benefit (expense) attributable to operations computed at the U.S. Federal statutory income tax rate of 21% to income tax expense is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Federal tax rate</w:t>
            </w: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3,415</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income taxes, net of Federal benefit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Permanent differences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state income tax rate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Stock compensation adjustment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Attribute expiration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Return to provision and other adjustments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rate differential</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Nondeductible executive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Total (provision) benefit for income taxes current and deferred</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Year Ended December 31, 2025</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19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at statutory tax rate</w:t>
            </w:r>
          </w:p>
        </w:tc>
        <w:tc>
          <w:tcPr>
            <w:tcW w:w="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(1,470)</w:t>
            </w:r>
          </w:p>
        </w:tc>
        <w:tc>
          <w:tcPr>
            <w:tcW w:w="1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02"/>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State and local income tax, net of federal income tax effect*</w:t>
            </w:r>
          </w:p>
        </w:tc>
        <w:tc>
          <w:tcPr>
            <w:tcW w:w="520" w:type="dxa"/>
            <w:vAlign w:val="bottom"/>
          </w:tcPr>
          <w:p>
            <w:pPr>
              <w:spacing w:after="0"/>
              <w:rPr>
                <w:sz w:val="17"/>
                <w:szCs w:val="17"/>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(432)</w:t>
            </w:r>
          </w:p>
        </w:tc>
        <w:tc>
          <w:tcPr>
            <w:tcW w:w="1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tax effects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2"/>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Germany</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4,115</w:t>
            </w:r>
          </w:p>
        </w:tc>
        <w:tc>
          <w:tcPr>
            <w:tcW w:w="1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r>
      <w:tr>
        <w:trPr>
          <w:trHeight w:val="202"/>
        </w:trPr>
        <w:tc>
          <w:tcPr>
            <w:tcW w:w="6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Reduction in deferred tax assets due to disposal</w:t>
            </w:r>
          </w:p>
        </w:tc>
        <w:tc>
          <w:tcPr>
            <w:tcW w:w="520" w:type="dxa"/>
            <w:vAlign w:val="bottom"/>
          </w:tcPr>
          <w:p>
            <w:pPr>
              <w:spacing w:after="0"/>
              <w:rPr>
                <w:sz w:val="17"/>
                <w:szCs w:val="17"/>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(4,648)</w:t>
            </w:r>
          </w:p>
        </w:tc>
        <w:tc>
          <w:tcPr>
            <w:tcW w:w="1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66.4%</w:t>
            </w:r>
          </w:p>
        </w:tc>
      </w:tr>
      <w:tr>
        <w:trPr>
          <w:trHeight w:val="202"/>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adjustments</w:t>
            </w: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183</w:t>
            </w:r>
          </w:p>
        </w:tc>
        <w:tc>
          <w:tcPr>
            <w:tcW w:w="1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2"/>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United Kingdom</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adjustments</w:t>
            </w: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(158)</w:t>
            </w:r>
          </w:p>
        </w:tc>
        <w:tc>
          <w:tcPr>
            <w:tcW w:w="1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2"/>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foreign jurisdictions</w:t>
            </w:r>
          </w:p>
        </w:tc>
        <w:tc>
          <w:tcPr>
            <w:tcW w:w="520" w:type="dxa"/>
            <w:vAlign w:val="bottom"/>
          </w:tcPr>
          <w:p>
            <w:pPr>
              <w:spacing w:after="0"/>
              <w:rPr>
                <w:sz w:val="17"/>
                <w:szCs w:val="17"/>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w:t>
            </w:r>
          </w:p>
        </w:tc>
        <w:tc>
          <w:tcPr>
            <w:tcW w:w="1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0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4,688</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r>
      <w:tr>
        <w:trPr>
          <w:trHeight w:val="202"/>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Share-based payment awards</w:t>
            </w: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(146)</w:t>
            </w:r>
          </w:p>
        </w:tc>
        <w:tc>
          <w:tcPr>
            <w:tcW w:w="1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2"/>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Executive compensation</w:t>
            </w:r>
          </w:p>
        </w:tc>
        <w:tc>
          <w:tcPr>
            <w:tcW w:w="520" w:type="dxa"/>
            <w:vAlign w:val="bottom"/>
          </w:tcPr>
          <w:p>
            <w:pPr>
              <w:spacing w:after="0"/>
              <w:rPr>
                <w:sz w:val="17"/>
                <w:szCs w:val="17"/>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(195)</w:t>
            </w:r>
          </w:p>
        </w:tc>
        <w:tc>
          <w:tcPr>
            <w:tcW w:w="1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2"/>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(13)</w:t>
            </w:r>
          </w:p>
        </w:tc>
        <w:tc>
          <w:tcPr>
            <w:tcW w:w="1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02"/>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Other adjustments</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Return to provision</w:t>
            </w: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659</w:t>
            </w:r>
          </w:p>
        </w:tc>
        <w:tc>
          <w:tcPr>
            <w:tcW w:w="1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02"/>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Gain on sale of investments</w:t>
            </w:r>
          </w:p>
        </w:tc>
        <w:tc>
          <w:tcPr>
            <w:tcW w:w="520" w:type="dxa"/>
            <w:vAlign w:val="bottom"/>
          </w:tcPr>
          <w:p>
            <w:pPr>
              <w:spacing w:after="0"/>
              <w:rPr>
                <w:sz w:val="17"/>
                <w:szCs w:val="17"/>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(931)</w:t>
            </w:r>
          </w:p>
        </w:tc>
        <w:tc>
          <w:tcPr>
            <w:tcW w:w="1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02"/>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Reduction in deferred tax assets due to 382 limitations</w:t>
            </w: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(3,734)</w:t>
            </w:r>
          </w:p>
        </w:tc>
        <w:tc>
          <w:tcPr>
            <w:tcW w:w="1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r>
      <w:tr>
        <w:trPr>
          <w:trHeight w:val="214"/>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adjustments</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07"/>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(provision) benefit for income taxes current and deferred</w:t>
            </w: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6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right="2820" w:hanging="431"/>
        <w:spacing w:after="0" w:line="562" w:lineRule="auto"/>
        <w:tabs>
          <w:tab w:leader="none" w:pos="32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taxes in California, New York and Texas made up the majority (greater than 50%) of the tax effect in this category. Deferred tax components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At December 31,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52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194"/>
        </w:trPr>
        <w:tc>
          <w:tcPr>
            <w:tcW w:w="5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Deferred tax assets:</w:t>
            </w:r>
          </w:p>
        </w:tc>
        <w:tc>
          <w:tcPr>
            <w:tcW w:w="17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liability for vacation</w:t>
            </w:r>
          </w:p>
        </w:tc>
        <w:tc>
          <w:tcPr>
            <w:tcW w:w="3080" w:type="dxa"/>
            <w:vAlign w:val="bottom"/>
            <w:gridSpan w:val="2"/>
          </w:tcPr>
          <w:p>
            <w:pPr>
              <w:jc w:val="right"/>
              <w:ind w:right="1136"/>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141</w:t>
            </w:r>
          </w:p>
        </w:tc>
        <w:tc>
          <w:tcPr>
            <w:tcW w:w="7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173</w:t>
            </w:r>
          </w:p>
        </w:tc>
      </w:tr>
      <w:tr>
        <w:trPr>
          <w:trHeight w:val="20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commissions and bonuses / compensation</w:t>
            </w:r>
          </w:p>
        </w:tc>
        <w:tc>
          <w:tcPr>
            <w:tcW w:w="1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432</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w:t>
            </w:r>
          </w:p>
        </w:tc>
      </w:tr>
      <w:tr>
        <w:trPr>
          <w:trHeight w:val="21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Accrued contingencies</w:t>
            </w:r>
          </w:p>
        </w:tc>
        <w:tc>
          <w:tcPr>
            <w:tcW w:w="17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317</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tcPr>
          <w:p>
            <w:pPr>
              <w:spacing w:after="0"/>
              <w:rPr>
                <w:sz w:val="18"/>
                <w:szCs w:val="18"/>
                <w:color w:val="auto"/>
              </w:rPr>
            </w:pPr>
          </w:p>
        </w:tc>
      </w:tr>
    </w:tbl>
    <w:p>
      <w:pPr>
        <w:sectPr>
          <w:pgSz w:w="11900" w:h="16900" w:orient="portrait"/>
          <w:cols w:equalWidth="0" w:num="1">
            <w:col w:w="11240"/>
          </w:cols>
          <w:pgMar w:left="320" w:top="653" w:right="3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Bad debt reserve</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553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Capitalized R&amp;D expenses</w:t>
            </w: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Charitable contributions carryforward</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w:t>
            </w: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851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3,660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4,092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 reserve</w:t>
            </w: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3,010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2,834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Net operating loss carryovers</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8,814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19,160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 compensation</w:t>
            </w: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1,230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UNICAP</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deferred tax assets</w:t>
            </w:r>
          </w:p>
        </w:tc>
        <w:tc>
          <w:tcPr>
            <w:tcW w:w="18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19,429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29,662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(370)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Right of use asset</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(815)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Prepaids</w:t>
            </w:r>
          </w:p>
        </w:tc>
        <w:tc>
          <w:tcPr>
            <w:tcW w:w="1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deferred tax liabilities</w:t>
            </w:r>
          </w:p>
        </w:tc>
        <w:tc>
          <w:tcPr>
            <w:tcW w:w="188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(1,257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(755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0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(18,177)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(28,949)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08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262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(5)</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Income taxes paid or refunded are as follows (in thousands):</w:t>
            </w:r>
          </w:p>
        </w:tc>
        <w:tc>
          <w:tcPr>
            <w:tcW w:w="1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54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18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State</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Texas</w:t>
            </w: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New York</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Tennessee</w:t>
            </w: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Total income taxes paid (refunded):</w:t>
            </w:r>
          </w:p>
        </w:tc>
        <w:tc>
          <w:tcPr>
            <w:tcW w:w="1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7"/>
                <w:szCs w:val="17"/>
                <w:color w:val="auto"/>
              </w:rPr>
              <w:t>72</w:t>
            </w: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76" w:name="page77"/>
    <w:bookmarkEnd w:id="76"/>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ultimate realization of deferred tax assets is dependent upon the existence, or generation, of taxable income in the periods when those temporary differences and net operating loss carryovers are deductible. Management considers the scheduled reversal of deferred tax liabilities, taxes paid in carryover years, projected future taxable income, available tax planning strategies, and other factors in making this assessment. Based on available evidence, management does not believe it is more likely than not that all of the deferred tax assets will be realized. Accordingly, the Company has established a valuation allowance equal to the realizable deferred tax assets. The valuation allowance decreased by $10.8 million in 2025 and increased by $3.2 million in 2024.</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At December 31, 2025, the Company had total domestic Federal, state and foreign net operating loss carryovers of approximately $34.1 million, $36.7 million and $0.0 million, respectively. Federal net operating losses generated prior to 2018 and State net operating loss carryovers expire at various dates between 2026 and 2045. Federal net operating losses generated after 2017 have an indefinite carryforward and are only available to offset 80% taxable income beginning in 2021. Foreign net operating losses carry forward indefinitely.</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has completed studies to assess whether an ownership change, as defined by Section 382 of the Code, had occurred from the Company’s formation through December 31, 2025. Based upon these studies, the Company determined that ownership changes occurred during 2018 and 2025. Accordingly, the Company reduced its deferred tax assets related to the federal NOL carryforwards that are anticipated to expire unused as a result of these ownership changes. These tax attributes were excluded from deferred tax assets with a corresponding reduction of the valuation allowance with no net effect on income tax expense or the effective tax rate. Future ownership changes may further limit the Company’s ability to utilize its remaining tax attributes.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2023 through 2025 tax years remain open to examination by the Internal Revenue Service and various other state and foreign tax agencies. These taxing authorities have the authority to examine those tax years until the applicable statute of limitations expire. Foreign tax years remain open from 2022 to 2025.</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we have no unrecognized tax benefits in long-term liabilities.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did not recognize any material interest or penalties related to income taxes for the years ended December 31, 2025 and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Net Income (Loss) Per Share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Basic net income (loss) per share is computed by dividing net income (loss) by the weighted average number of shares of common stock outstanding. Shares issued during the period and shares reacquired during the period are weighted for the portion of the period that they were outstanding. Diluted net income (loss) per share is computed in a manner consistent with that of basic earnings per share while giving effect to all potentially dilutive shares of common stock outstanding during the period, which include the assumed exercise of stock options and warrants using the treasury stock method. Diluted net income (loss) per share was the same as basic net income (loss) per share for the year ended December 31, 2024, as shares issuable upon the exercise of stock options and warrants were anti-dilutive as a result of the net loss incurred for the period.</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diluted earnings per share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63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Borders>
              <w:bottom w:val="single" w:sz="8" w:color="CCEEFF"/>
            </w:tcBorders>
          </w:tcPr>
          <w:p>
            <w:pPr>
              <w:spacing w:after="0"/>
              <w:rPr>
                <w:sz w:val="18"/>
                <w:szCs w:val="18"/>
                <w:color w:val="auto"/>
              </w:rPr>
            </w:pPr>
          </w:p>
        </w:tc>
      </w:tr>
      <w:tr>
        <w:trPr>
          <w:trHeight w:val="194"/>
        </w:trPr>
        <w:tc>
          <w:tcPr>
            <w:tcW w:w="6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Numerator:</w:t>
            </w: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4,973</w:t>
            </w:r>
          </w:p>
        </w:tc>
        <w:tc>
          <w:tcPr>
            <w:tcW w:w="9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(16,449)</w:t>
            </w:r>
          </w:p>
        </w:tc>
      </w:tr>
      <w:tr>
        <w:trPr>
          <w:trHeight w:val="202"/>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Basic – weighted average shares outstanding</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139,531,791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133,665,075</w:t>
            </w:r>
          </w:p>
        </w:tc>
        <w:tc>
          <w:tcPr>
            <w:tcW w:w="100" w:type="dxa"/>
            <w:vAlign w:val="bottom"/>
          </w:tcPr>
          <w:p>
            <w:pPr>
              <w:spacing w:after="0"/>
              <w:rPr>
                <w:sz w:val="17"/>
                <w:szCs w:val="17"/>
                <w:color w:val="auto"/>
              </w:rPr>
            </w:pPr>
          </w:p>
        </w:tc>
      </w:tr>
      <w:tr>
        <w:trPr>
          <w:trHeight w:val="202"/>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Employee restricted stock units, deferred stock units and performance stock units</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5,434,407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5,076,358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Diluted – weighted average shares outstanding</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150,042,556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133,665,075</w:t>
            </w:r>
          </w:p>
        </w:tc>
        <w:tc>
          <w:tcPr>
            <w:tcW w:w="100" w:type="dxa"/>
            <w:vAlign w:val="bottom"/>
          </w:tcPr>
          <w:p>
            <w:pPr>
              <w:spacing w:after="0"/>
              <w:rPr>
                <w:sz w:val="17"/>
                <w:szCs w:val="17"/>
                <w:color w:val="auto"/>
              </w:rPr>
            </w:pPr>
          </w:p>
        </w:tc>
      </w:tr>
      <w:tr>
        <w:trPr>
          <w:trHeight w:val="202"/>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earnings per share</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(0.12)</w:t>
            </w:r>
          </w:p>
        </w:tc>
      </w:tr>
      <w:tr>
        <w:trPr>
          <w:trHeight w:val="218"/>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0.03</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(0.12)</w:t>
            </w:r>
          </w:p>
        </w:tc>
      </w:tr>
      <w:tr>
        <w:trPr>
          <w:trHeight w:val="387"/>
        </w:trPr>
        <w:tc>
          <w:tcPr>
            <w:tcW w:w="634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7"/>
                <w:szCs w:val="17"/>
                <w:color w:val="auto"/>
              </w:rPr>
              <w:t>73</w:t>
            </w: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77" w:name="page78"/>
    <w:bookmarkEnd w:id="77"/>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years ended December 31, 2025 and 2024, 16,496,429 and 21,952,434 stock options, restricted stock units, deferred stock units, performance stock units and warrants were excluded for the diluted earnings per share calculation as they were anti-dilutive.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Employee Benefit Plans</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Company has a 401(k) plan for our employees. The 401(k) plan is a defined contribution plan covering substantially all of our employees. Employees are eligible to participate in the plan on the first day of any month after starting employment. Employees are allowed to contribute a percentage of their wages to the 401(k) plan, subject to statutorily prescribed limits and are subject to a discretionary employer match of 100% of their wage deferrals not in excess of 4% of their wages. The Company contributed $0.6 million and $0.7 million as part of the employer match program for the years ended December 31, 2025 and 2024,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(16) Supplemental Disclosure of Cash Flow Information</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65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Supplemental cash flow information is as follows (in thousands):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6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65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Borders>
              <w:bottom w:val="single" w:sz="8" w:color="CCEEFF"/>
            </w:tcBorders>
          </w:tcPr>
          <w:p>
            <w:pPr>
              <w:spacing w:after="0"/>
              <w:rPr>
                <w:sz w:val="18"/>
                <w:szCs w:val="18"/>
                <w:color w:val="auto"/>
              </w:rPr>
            </w:pPr>
          </w:p>
        </w:tc>
      </w:tr>
      <w:tr>
        <w:trPr>
          <w:trHeight w:val="194"/>
        </w:trPr>
        <w:tc>
          <w:tcPr>
            <w:tcW w:w="6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i w:val="1"/>
                <w:iCs w:val="1"/>
                <w:color w:val="auto"/>
              </w:rPr>
              <w:t>Cash paid during the period for:</w:t>
            </w: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Interest</w:t>
            </w:r>
          </w:p>
        </w:tc>
        <w:tc>
          <w:tcPr>
            <w:tcW w:w="1620" w:type="dxa"/>
            <w:vAlign w:val="bottom"/>
            <w:gridSpan w:val="2"/>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3,134</w:t>
            </w:r>
          </w:p>
        </w:tc>
        <w:tc>
          <w:tcPr>
            <w:tcW w:w="9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3,638</w:t>
            </w:r>
          </w:p>
        </w:tc>
      </w:tr>
      <w:tr>
        <w:trPr>
          <w:trHeight w:val="20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taxes paid, net</w:t>
            </w:r>
          </w:p>
        </w:tc>
        <w:tc>
          <w:tcPr>
            <w:tcW w:w="1620" w:type="dxa"/>
            <w:vAlign w:val="bottom"/>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121</w:t>
            </w:r>
          </w:p>
        </w:tc>
        <w:tc>
          <w:tcPr>
            <w:tcW w:w="9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7"/>
                <w:szCs w:val="17"/>
                <w:color w:val="auto"/>
              </w:rPr>
            </w:pPr>
          </w:p>
        </w:tc>
      </w:tr>
      <w:tr>
        <w:trPr>
          <w:trHeight w:val="202"/>
        </w:trPr>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1620" w:type="dxa"/>
            <w:vAlign w:val="bottom"/>
            <w:gridSpan w:val="2"/>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796</w:t>
            </w:r>
          </w:p>
        </w:tc>
        <w:tc>
          <w:tcPr>
            <w:tcW w:w="9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658</w:t>
            </w:r>
          </w:p>
        </w:tc>
      </w:tr>
      <w:tr>
        <w:trPr>
          <w:trHeight w:val="20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Non-cash activities:</w:t>
            </w: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 in operating activities</w:t>
            </w:r>
          </w:p>
        </w:tc>
        <w:tc>
          <w:tcPr>
            <w:tcW w:w="1620" w:type="dxa"/>
            <w:vAlign w:val="bottom"/>
            <w:gridSpan w:val="2"/>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3,219</w:t>
            </w:r>
          </w:p>
        </w:tc>
        <w:tc>
          <w:tcPr>
            <w:tcW w:w="9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w:t>
            </w:r>
          </w:p>
        </w:tc>
      </w:tr>
      <w:tr>
        <w:trPr>
          <w:trHeight w:val="20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receivable in investing activities</w:t>
            </w:r>
          </w:p>
        </w:tc>
        <w:tc>
          <w:tcPr>
            <w:tcW w:w="1620" w:type="dxa"/>
            <w:vAlign w:val="bottom"/>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10,368</w:t>
            </w:r>
          </w:p>
        </w:tc>
        <w:tc>
          <w:tcPr>
            <w:tcW w:w="9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Related Party Transactions</w:t>
      </w:r>
    </w:p>
    <w:p>
      <w:pPr>
        <w:spacing w:after="0" w:line="212"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The Company was party to an Investor Rights Agreement, as amended, several Registration Rights Agreements and certain other agreements with OrbiMed Royalty Opportunities II, LP and ROS Acquisition Offshore LP, which are funds affiliated with OrbiMed Advisors LLC (collectively, “OrbiMed”). OrbiMed beneficially owned 52.6% of the Company’s common stock as of March 31, 2025, but in April 2025 sold all of its shares of the Company’s common stock to several investors in a private secondary resale transaction. As the lead purchaser in such transaction, funds affiliated with Nantahala Capital Management, LLC (“Nantahala”), an existing stockholder of the Company, purchased 57.0 million shares of the Company’s common stock, which together with shares of common stock previously held by Nantahala, resulted in Nantahala holding shares of common stock representing 48.8% of the issued and outstanding shares of the Company’s common stock. A family member of Stavros Vizirgianakis, a Board member, also participated in the transaction and purchased shares from OrbiMed. The Company was not party to the stock purchase agreement, which was privately negotiated amongst OrbiMed and the purchasers; however, to facilitate the transaction, the Company entered into a registration rights agreement with the purchasers pursuant to which the Company agreed to prepare and file a shelf resale registration statement with the Securities and Exchange Commission (“SEC”) for purposes of registering the resale of the shares and to use commercially reasonable efforts to cause the registration statement to be declared effective by the SEC. The Company also agreed, among other things, to indemnify the selling stockholders from certain liabilities and to pay all fees and expenses incident to its performance of or compliance with the registration rights agreement. The Company filed this registration statement on May 12, 2025 and it became effective on May 19, 2025. The sale of OrbiMed’s shares resulted in the termination of the Investor Rights Agreement.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related party transactions are reviewed and approved by the Audit Committee or the disinterested members of the full Board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Segment and Geographic Information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operates as one reportable and operating segment based upon the Company’s organization structure and the way in which the operations and investments are managed and evaluated by the chief operating decision maker (“CODM”), who is the Chief Executive Officer. The CODM uses consolidated net income (loss) as the primary measure of segment profit or loss to monitor performance and allocate resources.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measure of segment assets is reported on the balance sheet as total assets. The CODM does not review segment assets at a level other than that presented in the Company’s consolidated balance sheets.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8" w:name="page79"/>
    <w:bookmarkEnd w:id="78"/>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table below provides the calculation of consolidated net income (loss), which is the performance measure that is most consistent with GAAP, and the significant operating expenses included in this performance measure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7"/>
        </w:trPr>
        <w:tc>
          <w:tcPr>
            <w:tcW w:w="53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40" w:type="dxa"/>
            <w:vAlign w:val="bottom"/>
            <w:tcBorders>
              <w:bottom w:val="single" w:sz="8" w:color="CCEEFF"/>
            </w:tcBorders>
          </w:tcPr>
          <w:p>
            <w:pPr>
              <w:spacing w:after="0"/>
              <w:rPr>
                <w:sz w:val="18"/>
                <w:szCs w:val="18"/>
                <w:color w:val="auto"/>
              </w:rPr>
            </w:pPr>
          </w:p>
        </w:tc>
      </w:tr>
      <w:tr>
        <w:trPr>
          <w:trHeight w:val="194"/>
        </w:trPr>
        <w:tc>
          <w:tcPr>
            <w:tcW w:w="5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Revenue</w:t>
            </w:r>
          </w:p>
        </w:tc>
        <w:tc>
          <w:tcPr>
            <w:tcW w:w="16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5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133,927</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117,267</w:t>
            </w:r>
          </w:p>
        </w:tc>
        <w:tc>
          <w:tcPr>
            <w:tcW w:w="140" w:type="dxa"/>
            <w:vAlign w:val="bottom"/>
            <w:shd w:val="clear" w:color="auto" w:fill="CCEEFF"/>
          </w:tcPr>
          <w:p>
            <w:pPr>
              <w:spacing w:after="0"/>
              <w:rPr>
                <w:sz w:val="16"/>
                <w:szCs w:val="16"/>
                <w:color w:val="auto"/>
              </w:rPr>
            </w:pPr>
          </w:p>
        </w:tc>
      </w:tr>
      <w:tr>
        <w:trPr>
          <w:trHeight w:val="214"/>
        </w:trPr>
        <w:tc>
          <w:tcPr>
            <w:tcW w:w="5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cost of sales</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49,654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49,051</w:t>
            </w:r>
          </w:p>
        </w:tc>
      </w:tr>
      <w:tr>
        <w:trPr>
          <w:trHeight w:val="194"/>
        </w:trPr>
        <w:tc>
          <w:tcPr>
            <w:tcW w:w="53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Gross Profit</w:t>
            </w:r>
          </w:p>
        </w:tc>
        <w:tc>
          <w:tcPr>
            <w:tcW w:w="16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84,273</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68,216</w:t>
            </w: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5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Margin</w:t>
            </w: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58.2%</w:t>
            </w:r>
          </w:p>
        </w:tc>
      </w:tr>
      <w:tr>
        <w:trPr>
          <w:trHeight w:val="202"/>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Less:</w:t>
            </w:r>
          </w:p>
        </w:tc>
        <w:tc>
          <w:tcPr>
            <w:tcW w:w="1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29,375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28,691</w:t>
            </w:r>
          </w:p>
        </w:tc>
      </w:tr>
      <w:tr>
        <w:trPr>
          <w:trHeight w:val="20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1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45,512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49,214</w:t>
            </w:r>
          </w:p>
        </w:tc>
      </w:tr>
      <w:tr>
        <w:trPr>
          <w:trHeight w:val="202"/>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2,385</w:t>
            </w:r>
          </w:p>
        </w:tc>
      </w:tr>
      <w:tr>
        <w:trPr>
          <w:trHeight w:val="20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1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4,160</w:t>
            </w:r>
          </w:p>
        </w:tc>
      </w:tr>
      <w:tr>
        <w:trPr>
          <w:trHeight w:val="202"/>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Unrealized foreign currency translation loss (gain)</w:t>
            </w:r>
          </w:p>
        </w:tc>
        <w:tc>
          <w:tcPr>
            <w:tcW w:w="1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w:t>
            </w:r>
          </w:p>
        </w:tc>
      </w:tr>
      <w:tr>
        <w:trPr>
          <w:trHeight w:val="202"/>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Gain on divestiture</w:t>
            </w: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(3,281)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(income) expense</w:t>
            </w:r>
          </w:p>
        </w:tc>
        <w:tc>
          <w:tcPr>
            <w:tcW w:w="1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shd w:val="clear" w:color="auto" w:fill="CCEEFF"/>
          </w:tcPr>
          <w:p>
            <w:pPr>
              <w:spacing w:after="0"/>
              <w:rPr>
                <w:sz w:val="17"/>
                <w:szCs w:val="17"/>
                <w:color w:val="auto"/>
              </w:rPr>
            </w:pPr>
          </w:p>
        </w:tc>
      </w:tr>
      <w:tr>
        <w:trPr>
          <w:trHeight w:val="214"/>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187</w:t>
            </w:r>
          </w:p>
        </w:tc>
      </w:tr>
      <w:tr>
        <w:trPr>
          <w:trHeight w:val="207"/>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6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attributes revenues to geographic areas based on the location of the customer. Approximately 91% and 90% of revenue was in the United States for the years ended December 31, 2025 and 2024, respectively. Total revenue by major geographic area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96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Borders>
              <w:bottom w:val="single" w:sz="8" w:color="CCEEFF"/>
            </w:tcBorders>
          </w:tcPr>
          <w:p>
            <w:pPr>
              <w:spacing w:after="0"/>
              <w:rPr>
                <w:sz w:val="18"/>
                <w:szCs w:val="18"/>
                <w:color w:val="auto"/>
              </w:rPr>
            </w:pPr>
          </w:p>
        </w:tc>
      </w:tr>
      <w:tr>
        <w:trPr>
          <w:trHeight w:val="194"/>
        </w:trPr>
        <w:tc>
          <w:tcPr>
            <w:tcW w:w="3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United States</w:t>
            </w:r>
          </w:p>
        </w:tc>
        <w:tc>
          <w:tcPr>
            <w:tcW w:w="30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122,448</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105,519</w:t>
            </w:r>
          </w:p>
        </w:tc>
        <w:tc>
          <w:tcPr>
            <w:tcW w:w="100" w:type="dxa"/>
            <w:vAlign w:val="bottom"/>
            <w:shd w:val="clear" w:color="auto" w:fill="CCEEFF"/>
          </w:tcPr>
          <w:p>
            <w:pPr>
              <w:spacing w:after="0"/>
              <w:rPr>
                <w:sz w:val="16"/>
                <w:szCs w:val="16"/>
                <w:color w:val="auto"/>
              </w:rPr>
            </w:pPr>
          </w:p>
        </w:tc>
      </w:tr>
      <w:tr>
        <w:trPr>
          <w:trHeight w:val="214"/>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Rest of World</w:t>
            </w:r>
          </w:p>
        </w:tc>
        <w:tc>
          <w:tcPr>
            <w:tcW w:w="3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11,479</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11,748</w:t>
            </w:r>
          </w:p>
        </w:tc>
      </w:tr>
      <w:tr>
        <w:trPr>
          <w:trHeight w:val="207"/>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0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133,927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Immaterial Out-of-Period Adjustment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During the preparation of the Company’s annual financial statements for the year ended December 31, 2025, management identified errors in amounts recorded in the first, second, and third quarters of the year ended December 31, 2025. Management evaluated each of these items individually and in the aggregate and determined that the errors were not material to any previously issued interim financial statements or to the full fiscal year. However, the aggregate effect of correcting these items in the fourth quarter of 2025 was material to the Company’s results of operations for that period.</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adjustment related to two items. The first adjustment reflects management’s estimates of net realizable value of the hardware product line at each interim balance sheet date in 2025. Subsequent to the commercial launch of the hardware product line in the fourth quarter of 2024, the Company accumulated inventory quantities in excess of anticipated sales demand, requiring recognition of additional cost of sales expense for reserves of excess inventory.</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Second, the Company recorded an adjustment related to the amortization of leasehold improvements. Upon further evaluation of the applicable accounting guidance under ASC 842, Leases, management determined that certain leasehold improvements had been amortized over their estimated useful lives rather than over the shorter of their useful lives or the related lease terms, as required. Accordingly, the carrying value of Property and equipment, net-was overstated in prior interim periods.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considered both the quantitative and qualitative factors in accordance with ASC 250-10-S99, Materiality, and evaluated the errors using both the rollover and iron curtain methods. Based on this evaluation, the Company concluded that the errors were not material to previously issued financial statements and recorded the aggregate correction as an out-of-period adjustment in the fourth quarter of fiscal 2025. The Company has not revised previously issued interim financial statements.</w:t>
      </w:r>
    </w:p>
    <w:p>
      <w:pPr>
        <w:spacing w:after="0" w:line="175" w:lineRule="exact"/>
        <w:rPr>
          <w:sz w:val="20"/>
          <w:szCs w:val="20"/>
          <w:color w:val="auto"/>
        </w:rPr>
      </w:pPr>
    </w:p>
    <w:p>
      <w:pPr>
        <w:jc w:val="both"/>
        <w:ind w:firstLine="605"/>
        <w:spacing w:after="0" w:line="257" w:lineRule="auto"/>
        <w:rPr>
          <w:sz w:val="20"/>
          <w:szCs w:val="20"/>
          <w:color w:val="auto"/>
        </w:rPr>
      </w:pPr>
      <w:r>
        <w:rPr>
          <w:rFonts w:ascii="Times New Roman" w:cs="Times New Roman" w:eastAsia="Times New Roman" w:hAnsi="Times New Roman"/>
          <w:sz w:val="17"/>
          <w:szCs w:val="17"/>
          <w:color w:val="auto"/>
        </w:rPr>
        <w:t>The adjustment resulted in a decrease to Inventories of $1.0 million, a decrease to Property and equipment, net of $0.9 million, an increase to General and administrative expenses of $0.1 million and an increase to Cost of sales of $1.8 million in the fourth quarter of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our disclosure controls and procedures (as defined in Rule 13a-15(e) under the Exchange Act) as of December 31, 2025. Based upon that evaluation, and because of the material weakness in our control over financial reporting as described below, our Chief Executive Officer and Chief Financial Officer concluded that as of December 31, 2025, our disclosure controls and procedures were not effective. Additional information regarding the material weakness that existed as of December 31, 2025 is set forth below. Notwithstanding this material weakness, management has concluded that the consolidated financial statements included in this Annual Report on Form 10-K present fairly, in all material respects, our financial position, results of operations and cash flows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Limitations on Effectiveness of Controls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as such term is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 Weakness in Internal Control over Financial Reporting</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identified certain control deficiencies in the design and implementation of our internal control over financial reporting, which constitutes a material weakness as of December 31, 2025.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More specifically, our controls surrounding our evaluation of inventory net realizable value were insufficient and did not operate at an appropriate level of precision. Our review and evaluation of inventory failed to identify specific items not assessed for net realizable value under our existing control, which constitutes a material weakness as of December 31, 2025. This material weakness, if not remediated, could result in a material misstatement of one or more disclosures in our annual or interim consolidated financial statements that would not be prevented or detected in a timely manner.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Remediation Plan and Status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management, under the oversight of the Audit Committee of the Board of Directors, is implementing measures designed to improve our internal control over financial reporting to remediate the identified material weakness. Management has identified and corrected the inventory items that needed an estimate for net realizable value and believes that our consolidated balance sheet as of December 31, 2025 fairly presents in all material respects inventory recorded at net realizable value in conformity with accounting principles generally accepted in the United States of America. To prevent similar occurrences in the future, we plan to evaluate inventory balances outside of the scope of our current process to determine if there are other inventory items that need to be assessed for a specific reserve.</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management continues to evaluate and work to remediate the material weakness, we may determine to take additional measures to address the material weakness. However, we cannot provide assurance that the measures we have taken to date, or that we may take in the future, will be sufficient to remediate the material weakness or avoid potential future material weaknesses.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Annual Report on Internal Control over Financial Reporting</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Under the supervision and with the participation of senior and executive management, we conducted an evaluation of our internal control over financial reporting based upon the framework Internal Control - Integrated Framework (2013) as outlined by COSO, the Committee of Sponsoring Organizations of the Treadway Commission.</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Based on that evaluation and the foregoing, management concluded that due to the material weakness described above, our internal control over financial reporting was not effective as of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Attestation Report of Independent Registered Public Accounting Firm</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report does not include an attestation report of our independent registered public accounting firm regarding internal control over financial reporting. Management’s report was not subject to attestation by our independent registered public accounting firm pursuant to rules of the Securities and Exchange Commission that permit us to provide only management’s report in this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Other than the remediation steps taken as described above, there were no changes in the Company’s internal control over financial reporting during the fourth quarter ended December 31, 2025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March 26, 2026, Xtant Medical Holdings, Inc., as guarantor, and its subsidiaries, Xtant Medical, Inc., Bacterin International, Inc., X-spine Systems, Inc. and Surgalign SPV, Inc., as borrowers (collectively, the “Borrowers”), entered into (i) Amendment No. 4 (the “Term Loan Amendment”) to Amended and Restated Credit, Security and Guaranty Agreement (Term Loan) (the “Term Credit Agreement”) with MidCap Financial Trust, in its capacity as agent (the “Agent”), and a lender and the additional lenders from time to time party thereto and (ii) Amendment No. 4 (the “Revolving Loan Amendment” and collectively, with the Term Loan Amendment, the “Amendments”) to Amended and Restated Credit, Security and Guaranty Agreement (Revolving Loan) (the “Revolving Credit Agreement” and, together with the Term Credit Agreement, the “Credit Agreements”), with MidCap Funding IV Trust, in its capacity as agent, and the lenders from time to time party thereto.</w:t>
      </w:r>
    </w:p>
    <w:p>
      <w:pPr>
        <w:sectPr>
          <w:pgSz w:w="11900" w:h="16838" w:orient="portrait"/>
          <w:cols w:equalWidth="0" w:num="1">
            <w:col w:w="11240"/>
          </w:cols>
          <w:pgMar w:left="320" w:top="649" w:right="339" w:bottom="0" w:gutter="0" w:footer="0" w:header="0"/>
        </w:sectPr>
      </w:pPr>
    </w:p>
    <w:bookmarkStart w:id="80" w:name="page81"/>
    <w:bookmarkEnd w:id="80"/>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Amendments eliminate the requirement to comply with the minimum net revenue covenant for fourth quarter of 2025; adjust the amortization of the term loan to have amortization calculated off the amount of principal outstanding when amortization payments start instead of the original principal amount of the term loan; and revise the minimum net revenue covenant to align solely with revenue generated from the orthobiologics products and correspondingly adjust the minimum net revenue amounts.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foregoing description of the Amendments is only a summary of their material terms and do not purport to be complete and is qualified in their entirety by reference to the full text of the Term Loan Amendment and the Revolving Loan Amendment, which are filed as Exhibit 10.42 and 10.43, respectively, to this Annual Report on Form 10-K and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Plan and Non-Rule 10b5-1 Trading Arrangement Adoptions, Terminations, and Modifications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During the three months ended December 31, 2025, none of our directors or “officers” (as defined in Rule 16a-1(f) under the Exchange Act) adopted or terminated a “Rule 10b5-1 trading arrangement” or “non-Rule 10b5-1 trading arrangement,” as each term is defined in Item 408 of SEC Regulation 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table below sets forth certain information concerning our current directors and executive officers as of February 28, 2026. No family relationships exist among our directors or executive officers. We sometimes refer to the Board of Directors of Xtant as the “Board.”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Director/Officer</w:t>
            </w:r>
          </w:p>
        </w:tc>
      </w:tr>
      <w:tr>
        <w:trPr>
          <w:trHeight w:val="222"/>
        </w:trPr>
        <w:tc>
          <w:tcPr>
            <w:tcW w:w="33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200" w:type="dxa"/>
            <w:vAlign w:val="bottom"/>
            <w:tcBorders>
              <w:bottom w:val="single" w:sz="8" w:color="CCEEFF"/>
            </w:tcBorders>
          </w:tcPr>
          <w:p>
            <w:pPr>
              <w:spacing w:after="0"/>
              <w:rPr>
                <w:sz w:val="19"/>
                <w:szCs w:val="19"/>
                <w:color w:val="auto"/>
              </w:rPr>
            </w:pPr>
          </w:p>
        </w:tc>
        <w:tc>
          <w:tcPr>
            <w:tcW w:w="50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Since</w:t>
            </w:r>
          </w:p>
        </w:tc>
      </w:tr>
      <w:tr>
        <w:trPr>
          <w:trHeight w:val="233"/>
        </w:trPr>
        <w:tc>
          <w:tcPr>
            <w:tcW w:w="3360" w:type="dxa"/>
            <w:vAlign w:val="bottom"/>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Stavros G. Vizirgianakis</w:t>
            </w:r>
            <w:r>
              <w:rPr>
                <w:rFonts w:ascii="Times New Roman" w:cs="Times New Roman" w:eastAsia="Times New Roman" w:hAnsi="Times New Roman"/>
                <w:sz w:val="26"/>
                <w:szCs w:val="26"/>
                <w:color w:val="auto"/>
                <w:vertAlign w:val="superscript"/>
              </w:rPr>
              <w:t>(3)</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5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Chairman of the Board and Director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2022</w:t>
            </w:r>
          </w:p>
        </w:tc>
      </w:tr>
      <w:tr>
        <w:trPr>
          <w:trHeight w:val="202"/>
        </w:trPr>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Sean E. Browne</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President and Chief Executive Officer and Director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2019</w:t>
            </w:r>
          </w:p>
        </w:tc>
      </w:tr>
      <w:tr>
        <w:trPr>
          <w:trHeight w:val="240"/>
        </w:trPr>
        <w:tc>
          <w:tcPr>
            <w:tcW w:w="35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John K. Bakewell</w:t>
            </w:r>
            <w:r>
              <w:rPr>
                <w:rFonts w:ascii="Times New Roman" w:cs="Times New Roman" w:eastAsia="Times New Roman" w:hAnsi="Times New Roman"/>
                <w:sz w:val="27"/>
                <w:szCs w:val="27"/>
                <w:color w:val="auto"/>
                <w:vertAlign w:val="superscript"/>
              </w:rPr>
              <w:t>(1)(3)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c>
          <w:tcPr>
            <w:tcW w:w="5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2018</w:t>
            </w:r>
          </w:p>
        </w:tc>
      </w:tr>
      <w:tr>
        <w:trPr>
          <w:trHeight w:val="240"/>
        </w:trPr>
        <w:tc>
          <w:tcPr>
            <w:tcW w:w="35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Jonn R. Beeson</w:t>
            </w:r>
            <w:r>
              <w:rPr>
                <w:rFonts w:ascii="Times New Roman" w:cs="Times New Roman" w:eastAsia="Times New Roman" w:hAnsi="Times New Roman"/>
                <w:sz w:val="27"/>
                <w:szCs w:val="27"/>
                <w:color w:val="auto"/>
                <w:vertAlign w:val="superscript"/>
              </w:rPr>
              <w:t>(1)(2)</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56</w:t>
            </w: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2023</w:t>
            </w:r>
          </w:p>
        </w:tc>
      </w:tr>
      <w:tr>
        <w:trPr>
          <w:trHeight w:val="240"/>
        </w:trPr>
        <w:tc>
          <w:tcPr>
            <w:tcW w:w="35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Abhinav Jain</w:t>
            </w:r>
            <w:r>
              <w:rPr>
                <w:rFonts w:ascii="Times New Roman" w:cs="Times New Roman" w:eastAsia="Times New Roman" w:hAnsi="Times New Roman"/>
                <w:sz w:val="27"/>
                <w:szCs w:val="27"/>
                <w:color w:val="auto"/>
                <w:vertAlign w:val="superscript"/>
              </w:rPr>
              <w:t>(2)(3)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35</w:t>
            </w:r>
          </w:p>
        </w:tc>
        <w:tc>
          <w:tcPr>
            <w:tcW w:w="5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2025</w:t>
            </w:r>
          </w:p>
        </w:tc>
      </w:tr>
      <w:tr>
        <w:trPr>
          <w:trHeight w:val="240"/>
        </w:trPr>
        <w:tc>
          <w:tcPr>
            <w:tcW w:w="35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Tyler P. Lipschultz</w:t>
            </w:r>
            <w:r>
              <w:rPr>
                <w:rFonts w:ascii="Times New Roman" w:cs="Times New Roman" w:eastAsia="Times New Roman" w:hAnsi="Times New Roman"/>
                <w:sz w:val="27"/>
                <w:szCs w:val="27"/>
                <w:color w:val="auto"/>
                <w:vertAlign w:val="superscript"/>
              </w:rPr>
              <w:t>(1)(2)</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2025</w:t>
            </w:r>
          </w:p>
        </w:tc>
      </w:tr>
      <w:tr>
        <w:trPr>
          <w:trHeight w:val="202"/>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C. Neils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5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Chief Financial Officer and Assistant Secretary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2022</w:t>
            </w:r>
          </w:p>
        </w:tc>
      </w:tr>
      <w:tr>
        <w:trPr>
          <w:trHeight w:val="218"/>
        </w:trPr>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A. Schallenberger</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40</w:t>
            </w: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Chief Operating Officer</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7856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74" w:lineRule="exact"/>
        <w:rPr>
          <w:sz w:val="20"/>
          <w:szCs w:val="20"/>
          <w:color w:val="auto"/>
        </w:rPr>
      </w:pPr>
    </w:p>
    <w:p>
      <w:pPr>
        <w:ind w:left="600" w:hanging="599"/>
        <w:spacing w:after="0"/>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w:t>
      </w:r>
    </w:p>
    <w:p>
      <w:pPr>
        <w:spacing w:after="0" w:line="22"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w:t>
      </w:r>
    </w:p>
    <w:p>
      <w:pPr>
        <w:spacing w:after="0" w:line="6"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Nominating and Corporate Governance Committee</w:t>
      </w:r>
    </w:p>
    <w:p>
      <w:pPr>
        <w:spacing w:after="0" w:line="191"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experience of each director and executive officer is summarized below.</w:t>
      </w:r>
    </w:p>
    <w:p>
      <w:pPr>
        <w:spacing w:after="0" w:line="20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Stavros G. Vizirgianakis </w:t>
      </w:r>
      <w:r>
        <w:rPr>
          <w:rFonts w:ascii="Times New Roman" w:cs="Times New Roman" w:eastAsia="Times New Roman" w:hAnsi="Times New Roman"/>
          <w:sz w:val="17"/>
          <w:szCs w:val="17"/>
          <w:color w:val="auto"/>
        </w:rPr>
        <w:t>has served as a member of and Chairman of the Board since August 2022. Mr. Vizirgianakis was elected to the Board in connection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our private placement in August 2022. Mr. Vizirgianakis is the former Chief Executive Officer of Misonix, Inc., a medical device company that Bioventus Inc. acquired in 2021. Mr. Vizirgianakis has a distinguished career in the medical devices field having worked for United States Surgical Corporation as director of sales for sub-Saharan Africa and later Tyco Healthcare in the capacity of General Manager South Africa. In 2006, Mr. Vizirgianakis co-founded Surgical Innovations, which has become one of the largest privately owned medical device distributors in the African region, and now part of the Johannesburg Stock Exchange listed entity Ascendis Health. Mr. Vizirgianakis was Managing Director of Ascendis Medical from January 2014 through July 2016. Mr. Vizirgianakis served as the President and Chief Executive Officer of Misonix from September 2016 through October 2021. Mr. Vizirgianakis currently serves as Chair of the board of directors of Apyx Medical Corporation (NASDAQ: APYX), an advanced energy technology company, and as a member of the board of directors of Medinotec, Inc. (OTCQX: MDNC), a medical device company. He previously served on the board of directors of Bioventus Inc. and Tenaxis Medical, Inc. and is a strategic investor and advisor to numerous medical device startups and established companies in this field. Mr. Vizirgianakis has a Degree in Commerce from the University of South Africa. Mr. Vizirgianakis’s extensive experience as a senior executive of a publicly traded medical technology company, as well as his experience serving on the board of directors of other companies, contributes valuable experience to our Board.</w:t>
      </w:r>
    </w:p>
    <w:p>
      <w:pPr>
        <w:spacing w:after="0" w:line="17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Sean E. Browne </w:t>
      </w:r>
      <w:r>
        <w:rPr>
          <w:rFonts w:ascii="Times New Roman" w:cs="Times New Roman" w:eastAsia="Times New Roman" w:hAnsi="Times New Roman"/>
          <w:sz w:val="17"/>
          <w:szCs w:val="17"/>
          <w:color w:val="auto"/>
        </w:rPr>
        <w:t>has served as our President and Chief Executive Officer since October 2019 and as a member of our Board since October 2019. Prior to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Mr. Browne served as Chief Revenue Officer of CCS Medical, Inc., a provider of home delivery medical supplies, from September 2014 to June 2019. Prior to CCS Medical, Mr. Browne served as Chief Operating Officer of The Kini Group, an integrated cloud-based software analytics and advisory firm, from March 2013 to August 2014. From November 2007 to March 2016, Mr. Browne served as President and Chief Executive Officer and a director of Neuro Resource Group, a venture start-up medical device company that was sold to a strategic buyer. In other roles, Mr. Browne served as President, Miltex Surgical Instrument Division for Integra LifeSciences Holdings Corporation, a publicly held medical device company that acquired Miltex Holdings, Inc. Mr. Browne served as Vice President, Sales and Marketing of Esurg.com, an e commerce company serving physician and ambulatory surgery markets. Prior to Esurg.com, Mr. Browne served as Senior Vice President, Health Systems Division of McKesson Corporation, a drug company, and prior to McKesson, served in various positions with increasing responsibility at Baxter Healthcare. Mr. Browne holds a Master of Business Administration from the Kellogg School of Management at Northwestern University and a Bachelor of Science degree, with a major in Finance and minor in Statistics, from Boston University. We believe that Mr. Browne’s day-to-day operations experience as a result of his role as our President and Chief Executive Officer enable him to make valuable contributions to our Board. In addition, in his role as President and Chief Executive Officer, Mr. Browne provides unique insight into our business strategies, opportunities and challenges, and serves as the unifying element between the leadership and strategic direction provided by our Board and the implementation of our business strategies by management.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2" w:name="page83"/>
    <w:bookmarkEnd w:id="82"/>
    <w:p>
      <w:pPr>
        <w:jc w:val="both"/>
        <w:ind w:firstLine="60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John K. Bakewell </w:t>
      </w:r>
      <w:r>
        <w:rPr>
          <w:rFonts w:ascii="Times New Roman" w:cs="Times New Roman" w:eastAsia="Times New Roman" w:hAnsi="Times New Roman"/>
          <w:sz w:val="17"/>
          <w:szCs w:val="17"/>
          <w:color w:val="auto"/>
        </w:rPr>
        <w:t>has served as a member of our Board since February 2018. He was initially elected to the Board in connection with our restructuring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February 2018. Mr. Bakewell is a strategic executive with more than 30 years of experience in senior executive roles and as a board member of several medical technology companies. He currently serves on the board of directors of Treace Medical Concepts, Inc. (NASDAQ: TMCI), a medical device company. Mr. Bakewell most recently held the position of Chief Financial Officer of Exact Sciences Corporation, a molecular diagnostics company recently acquired by Abbott Laboratories, and previously Chief Financial Officer of Lantheus Holdings, Inc. (NASDAQ: LNTH), a diagnostic medical imaging company. Mr. Bakewell also previously served in Chief Financial Officer positions at Interline Brands, Inc., RegionalCare Hospital Partners, Wright Medical Group, Inc., which was acquired by Stryker Corporation (NYSE: SYK) in November 2020, Cyberonics, Inc., now part of LivaNova PLC (NASDAQ: LIVN), Altra Energy Technologies, Inc. and ZEOS International, Ltd. He began his career in the public accounting profession, serving seven years, collectively, with Ernst &amp; Young and KPMG Peat Marwick. Mr. Bakewell previously served on the board of directors of Neuronetics, Inc. (NASDAQ: STIM), a public medical device company; Entellus Medical, Inc., a public ENT-focused medical device company, until its acquisition by Stryker Corporation; ev3 Inc., a public endovascular medical device company, until its acquisition by Covidien plc; and Corindus Vascular Robotics, Inc., a public cardiovascular robotics medical technology company and now a Siemens Healthineers company. Mr. Bakewell holds a Bachelor of Arts in Accounting from the University of Northern Iowa and is a certified public accountant (current status inactive). Mr. Bakewell’s financial expertise and extensive managerial experience as a senior executive of several publicly traded medical technology companies, as well as his experience serving on the board of directors of other companies contributes valuable experience to our Board.</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Jonn R. Beeson </w:t>
      </w:r>
      <w:r>
        <w:rPr>
          <w:rFonts w:ascii="Times New Roman" w:cs="Times New Roman" w:eastAsia="Times New Roman" w:hAnsi="Times New Roman"/>
          <w:sz w:val="17"/>
          <w:szCs w:val="17"/>
          <w:color w:val="auto"/>
        </w:rPr>
        <w:t>has served as a member of our Board since May 2023. Mr. Beeson is a partner with Jones Day, a global law firm, and has been practicing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corporate law since 1996. His practice focuses on mergers and acquisitions, divestitures, takeovers, capital raising, securities transactions, corporate governance, and stockholder activism matters. Mr. Beeson represents a variety of corporate clients and is most active in the life sciences, technology and software industries, with significant experience working with a wide range of medical device companies. Mr. Beeson holds a Bachelor of Science degree from the University of California, Irvine, and a Juris Doctor from the University of Pennsylvania. Mr. Beeson’s extensive experience in mergers and acquisitions, corporate governance matters and working with medical device companies contributes valuable experience to our Board.</w:t>
      </w:r>
    </w:p>
    <w:p>
      <w:pPr>
        <w:spacing w:after="0" w:line="171"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Abhinav Jain </w:t>
      </w:r>
      <w:r>
        <w:rPr>
          <w:rFonts w:ascii="Times New Roman" w:cs="Times New Roman" w:eastAsia="Times New Roman" w:hAnsi="Times New Roman"/>
          <w:sz w:val="16"/>
          <w:szCs w:val="16"/>
          <w:color w:val="auto"/>
        </w:rPr>
        <w:t>has served as a member of our Board since August 1, 2025. Since July 2019, Mr. Jain has served as an Analyst at Nantahala Capital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Management, LLC, an investment management company focused on investments in various sectors, including specialty and generic pharmaceuticals and medtech, and the beneficial owner of 48.8% of our outstanding common stock. Mr. Jain was appointed to the Board at the request of Nantahala and upon a determination by the Board that his appointment is in the best interests of the Company and our stockholders. From 2015 to 2017, Mr. Jain was an Associate at Angelo, Gordon &amp; Co., an alternative asset manager. At Angelo, Gordon &amp; Co., Mr. Jain focused on private equity and structured credit investments. Mr. Jain currently serves as a member of the board of directors of Aytu Biopharma, Inc. (NASDAQ: AYTU), a specialty pharmaceutical company, Talphera, Inc. (NASDAQ: TLPH), a specialty pharmaceutical company, and Eagle Pharmaceuticals, Inc. (OTCMKTS: EGRX, a specialty pharmaceutical company. He holds a Bachelor of Science degree in Chemical-Biological Engineering from Massachusetts Institute of Technology and a Master of Business Administration with honors in Finance and Entrepreneurial Management from The Wharton School of the University of Pennsylvania. Mr. Jain’s financial expertise and experience contributes valuable experience to our Board.</w:t>
      </w:r>
    </w:p>
    <w:p>
      <w:pPr>
        <w:spacing w:after="0" w:line="161"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Tyler P. Lipschultz </w:t>
      </w:r>
      <w:r>
        <w:rPr>
          <w:rFonts w:ascii="Times New Roman" w:cs="Times New Roman" w:eastAsia="Times New Roman" w:hAnsi="Times New Roman"/>
          <w:sz w:val="17"/>
          <w:szCs w:val="17"/>
          <w:color w:val="auto"/>
        </w:rPr>
        <w:t>has served as a member of our Board since August 1, 2025. Mr. Lipschultz was appointed to the Board at the request of Nantahala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 determination by the Board that his appointment is in the best interests of the Company and our stockholders. Mr. Lipschultz has over 35 years of leadership experience in orthopaedics, spine, and biologics. He currently serves as President of LocateBio, Inc., a U.S. subsidiary of a biotechnology company in England, a position he has held since November 2024. Prior to LocateBio, Mr. Lipschultz served as President, Global Biologics at Orthofix Medical Inc., a global medical technology company, from January 2023 until July 2025. Prior to Orthofix, Mr. Lipschultz served as Senior Vice President, Orthobiologics and Business Development of SeaSpine Holdings Corporation, a global medical technology company focused on surgical solutions for the treatment of spinal disorders, from February 2018 until its acquisition by Orthofix in January 2023, and prior to that position, served as Vice President, Orthobiologics and Business Development of SeaSpine from July 2015 to February 2018. From June 2008 to March 2015, Mr. Lipschultz held positions of increasing responsibility at NuVasive, Inc., a publicly traded medical device company, most recently serving as its Executive Vice President, Global Operations, and, prior to that, Executive Vice President, Biologics. Prior to joining NuVasive, Mr. Lipschultz was a director at ProtoStar, a medical device incubator that formed Annulex, CVRx, and VERTx, which he co-founded. In 2002, VERTx merged with Spine Wave, where Mr. Lipschultz subsequently served in a variety of roles, including Executive Vice President and General Manager of the mechanical business. Prior to ProtoStar, Mr. Lipschultz held the position of Equity Research Analyst at Piper Jaffray and served in various marketing/product management roles at Stryker Corporation, Smith &amp; Nephew plc, and DePuy. Mr. Lipschultz received a Bachelor of Arts degree in Economics and Business Administration from Kalamazoo College and a Master of Business Administration from the executive program at Krannert School of Management at Purdue University. Mr. Lipschultz’s substantial experience in the biologics, orthopaedics, and spine industries contributes valuable experience to our Board.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3" w:name="page84"/>
    <w:bookmarkEnd w:id="83"/>
    <w:p>
      <w:pPr>
        <w:jc w:val="both"/>
        <w:ind w:firstLine="605"/>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Scott C. Neils </w:t>
      </w:r>
      <w:r>
        <w:rPr>
          <w:rFonts w:ascii="Times New Roman" w:cs="Times New Roman" w:eastAsia="Times New Roman" w:hAnsi="Times New Roman"/>
          <w:sz w:val="17"/>
          <w:szCs w:val="17"/>
          <w:color w:val="auto"/>
        </w:rPr>
        <w:t>has served as our Chief Financial Officer since June 2022 and was appointed as our Assistant Secretary in September 2025. Prior to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served as our Interim Chief Financial Officer from January 2022 to June 2022 and as our Controller from August 2019 until January 2022. Mr. Neils has over 15 years of experience focused on public accounting and corporate finance. In this role, Mr. Neils gained extensive experience managing our finance and accounting functions. Prior to joining Xtant, Mr. Neils served as Audit Senior Manager at Baker Tilly US, LLP (formerly Baker Tilly Virchow Krause, LLP), an advisory, tax and assurance firm, from November 2015 to August 2019. Prior to that position, Mr. Neils was at Grant Thornton LLP, an accounting and advisory organization, from September 2007 to November 2015, most recently as Audit Manager. Mr. Neils is a Certified Public Accountant. He holds a Bachelor of Science in Business in Accounting and a Master of Accountancy from the Carlson School of Management at the University of Minnesota.</w:t>
      </w:r>
    </w:p>
    <w:p>
      <w:pPr>
        <w:spacing w:after="0" w:line="171" w:lineRule="exact"/>
        <w:rPr>
          <w:sz w:val="20"/>
          <w:szCs w:val="20"/>
          <w:color w:val="auto"/>
        </w:rPr>
      </w:pPr>
    </w:p>
    <w:p>
      <w:pPr>
        <w:jc w:val="both"/>
        <w:ind w:firstLine="605"/>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Mark A. Schallenberger </w:t>
      </w:r>
      <w:r>
        <w:rPr>
          <w:rFonts w:ascii="Times New Roman" w:cs="Times New Roman" w:eastAsia="Times New Roman" w:hAnsi="Times New Roman"/>
          <w:sz w:val="16"/>
          <w:szCs w:val="16"/>
          <w:color w:val="auto"/>
        </w:rPr>
        <w:t>was appointed our Chief Operating Officer in April 2025, and prior to that position, served as Chief Operations Officer since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January 2023. Prior to this, Mr. Schallenberger served as Chief Operations Officer of Surgenex LLC, a medical technology manufacturer, from June 2019 to January 2023. Prior to Surgenex, Mr. Schallenberger served as Senior Director of Marketing &amp; Product Development of DCI Donor Services Tissue Bank, a tissue bank, from February 2016 to June 2019. Prior to DCI Donor Services Tissue Bank, Mr. Schallenberger served various roles with increasing responsibility from September 2010 to February 2016 culminating with Director of Scientific Affairs with Xtant Medical Holdings, Inc. formerly Bacterin International Holdings, Inc. Mr. Schallenberger holds a Master of Science in Chemical Biology from The Scripps Research Institute and a Bachelor of Science degree in Chemistry from the University of Montana.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Understanding with Nantahala Regarding Board Composition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Abhinav Jain and Tyler Lipschultz were appointed to our Board effective as of August 1, 2025 at the request of Nantahala and upon a determination by our Board that their appointment and the resulting Board composition is in the best interests of the Company and our stockholders. There is no investor rights agreement or other arrangements between us and Nantahala regarding board composition or other governance rights.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OrbiMed Investor Rights Agreement</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Until April 15, 2025, we were party to an Investor Rights Agreement with OrbiMed Royalty Opportunities II, LP (“Royalty Opportunities”) and ROS Acquisition Offshore LP (“ROS”), which are funds affiliated with OrbiMed Advisors LLC. Under the Investor Rights Agreement, we had granted Royalty Opportunities and ROS certain governance and other rights, including director nomination rights, special approval rights, and rights of first refusal, so long as certain common stock ownership thresholds were maintained by Royalty Opportunities and ROS. As described above, effective April 15, 2025, Royalty Opportunities and ROS sold their shares of our common stock to funds affiliated with Nantahala Capital Management, LLC and certain other investors pursuant to a stock purchase agreement, resulting in OrbiMed Advisors LLC and its affiliates no longer being stockholders of the Company, based on beneficial ownership filings made with the SEC and other information available to us. After the closing of such transaction, on April 15, 2025, we provided Royalty Opportunities and ROS written notice of termination of the Investor Rights Agreement in accordance with Article IV thereof, which provided that the Investor Rights Agreement would terminate upon written notice of either the Company or Royalty Opportunities and ROS at such time as their ownership of our common stock, as a percentage of our outstanding common stock, is less than 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has affirmatively determined that John K. Bakewell, Jonn R. Beeson, Abhinav Jain, Tyler P. Lipschultz and Stavros G. Vizirgianakis are “independent directors,” as defined under the independence standards of the NYSE American, and that former directors, Robert McNamara and Lori Mitchell-Keller, were “independent directors,” as defined under the independence standards of the NYSE American, prior to their resignation from the Board.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Stavros G. Vizirgianakis serves as Chairman of the Board and has served in this position since August 2022 when he joined our Board in connection with our private placement. Sean E. Browne serves as our President and Chief Executive Officer. We believe this leadership structure is in the best interests of the Company and our stockholders and strikes the appropriate balance between the Chief Executive Officer’s responsibility for the strategic direction, day-to-day leadership, and performance of the Company and the Chairman of the Board’s responsibility to guide the overall strategic direction of the Company, provide oversight of our corporate governance and guidance to our Chief Executive Officer, and to set the agenda for and preside over Board meetings. We recognize that different leadership structures may be appropriate for companies in different situations and believe that no one structure is suitable for all companies. We believe that we are currently well-served by this leadership structure.</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connection with our August 2022 private placement, we entered into an agreement with Stavros G. Vizirgianakis, as the lead investor of the private placement, pursuant to which we agreed to provide Mr. Vizirgianakis certain director nomination rights. Pursuant to the terms of the agreement, we agreed to and expanded the size of the Board by one position and elected Mr. Vizirgianakis as a director to fill the vacancy created as a result of the increase, effective upon completion of the closing of the first tranche of securities in the private placement. In addition, we agreed to and elected Mr. Vizirgianakis as Chairman of the Board, effective upon completion of the first closing. The director nomination rights set forth in the agreement terminated on October 7,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currently maintain three Board committees, an Audit Committee, a Compensation Committee and a Nominating and Corporate Governance Committee.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the current membership of each of our three standing board committees as of February 28,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Audit</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Nominating and Corporate</w:t>
            </w:r>
          </w:p>
        </w:tc>
      </w:tr>
      <w:tr>
        <w:trPr>
          <w:trHeight w:val="222"/>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Committee</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Committee</w:t>
            </w: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Governance Committee</w:t>
            </w:r>
          </w:p>
        </w:tc>
      </w:tr>
      <w:tr>
        <w:trPr>
          <w:trHeight w:val="195"/>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Stavros G. Vizirgianakis</w:t>
            </w:r>
          </w:p>
        </w:tc>
        <w:tc>
          <w:tcPr>
            <w:tcW w:w="2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Chair</w:t>
            </w:r>
          </w:p>
        </w:tc>
      </w:tr>
      <w:tr>
        <w:trPr>
          <w:trHeight w:val="202"/>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Sean E. Browne</w:t>
            </w: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2"/>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K. Bakewell</w:t>
            </w:r>
          </w:p>
        </w:tc>
        <w:tc>
          <w:tcPr>
            <w:tcW w:w="2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Chair</w:t>
            </w:r>
          </w:p>
        </w:tc>
        <w:tc>
          <w:tcPr>
            <w:tcW w:w="2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t>
            </w:r>
          </w:p>
        </w:tc>
      </w:tr>
      <w:tr>
        <w:trPr>
          <w:trHeight w:val="202"/>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Jonn R. Beeson</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Chair</w:t>
            </w:r>
          </w:p>
        </w:tc>
        <w:tc>
          <w:tcPr>
            <w:tcW w:w="2580" w:type="dxa"/>
            <w:vAlign w:val="bottom"/>
          </w:tcPr>
          <w:p>
            <w:pPr>
              <w:spacing w:after="0"/>
              <w:rPr>
                <w:sz w:val="17"/>
                <w:szCs w:val="17"/>
                <w:color w:val="auto"/>
              </w:rPr>
            </w:pPr>
          </w:p>
        </w:tc>
      </w:tr>
      <w:tr>
        <w:trPr>
          <w:trHeight w:val="202"/>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Abhinav Jain</w:t>
            </w:r>
          </w:p>
        </w:tc>
        <w:tc>
          <w:tcPr>
            <w:tcW w:w="2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6"/>
              </w:rPr>
              <w:t>●</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t>
            </w:r>
          </w:p>
        </w:tc>
      </w:tr>
      <w:tr>
        <w:trPr>
          <w:trHeight w:val="218"/>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Tyler P. Lipschultz</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w:t>
            </w:r>
          </w:p>
        </w:tc>
        <w:tc>
          <w:tcPr>
            <w:tcW w:w="2580" w:type="dxa"/>
            <w:vAlign w:val="bottom"/>
          </w:tcPr>
          <w:p>
            <w:pPr>
              <w:spacing w:after="0"/>
              <w:rPr>
                <w:sz w:val="18"/>
                <w:szCs w:val="18"/>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 xml:space="preserve">The organization and primary responsibilities of the Audit Committee are set forth in its charter, posted on our website at </w:t>
      </w:r>
      <w:r>
        <w:rPr>
          <w:rFonts w:ascii="Times New Roman" w:cs="Times New Roman" w:eastAsia="Times New Roman" w:hAnsi="Times New Roman"/>
          <w:sz w:val="17"/>
          <w:szCs w:val="17"/>
          <w:i w:val="1"/>
          <w:iCs w:val="1"/>
          <w:color w:val="auto"/>
        </w:rPr>
        <w:t>www.xtantmedical.com</w:t>
      </w:r>
      <w:r>
        <w:rPr>
          <w:rFonts w:ascii="Times New Roman" w:cs="Times New Roman" w:eastAsia="Times New Roman" w:hAnsi="Times New Roman"/>
          <w:sz w:val="17"/>
          <w:szCs w:val="17"/>
          <w:color w:val="auto"/>
        </w:rPr>
        <w:t xml:space="preserve"> (click “Investors” and “Corporate Governance”), and include various matters with respect to the oversight of our accounting and financial reporting process and audits of our financial statements. The primary purposes of the Audit Committee include:</w:t>
      </w:r>
    </w:p>
    <w:p>
      <w:pPr>
        <w:spacing w:after="0" w:line="168" w:lineRule="exact"/>
        <w:rPr>
          <w:sz w:val="20"/>
          <w:szCs w:val="20"/>
          <w:color w:val="auto"/>
        </w:rPr>
      </w:pPr>
    </w:p>
    <w:p>
      <w:pPr>
        <w:ind w:left="900" w:hanging="294"/>
        <w:spacing w:after="0"/>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accounting and financial reporting processes of the Company and audits of the financial statements of the Company;</w:t>
      </w:r>
    </w:p>
    <w:p>
      <w:pPr>
        <w:spacing w:after="0" w:line="207" w:lineRule="exact"/>
        <w:rPr>
          <w:rFonts w:ascii="Times New Roman" w:cs="Times New Roman" w:eastAsia="Times New Roman" w:hAnsi="Times New Roman"/>
          <w:sz w:val="17"/>
          <w:szCs w:val="17"/>
          <w:color w:val="auto"/>
        </w:rPr>
      </w:pPr>
    </w:p>
    <w:p>
      <w:pPr>
        <w:ind w:left="900" w:right="5020" w:hanging="294"/>
        <w:spacing w:after="0" w:line="526" w:lineRule="auto"/>
        <w:tabs>
          <w:tab w:leader="none" w:pos="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assistance to the Board with respect to its oversight of the following: o integrity of the Company’s financial statements and internal controls;</w:t>
      </w: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o   the Company’s compliance with legal and regulatory requirements;</w:t>
      </w:r>
    </w:p>
    <w:p>
      <w:pPr>
        <w:spacing w:after="0" w:line="207"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o   the qualifications and independence of the Company’s independent registered public accounting firm; and</w:t>
      </w:r>
    </w:p>
    <w:p>
      <w:pPr>
        <w:spacing w:after="0" w:line="207"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o   the performance of the Company’s internal audit function, if any, and independent registered public accounting firm; and</w:t>
      </w:r>
    </w:p>
    <w:p>
      <w:pPr>
        <w:spacing w:after="0" w:line="207" w:lineRule="exact"/>
        <w:rPr>
          <w:rFonts w:ascii="Times New Roman" w:cs="Times New Roman" w:eastAsia="Times New Roman" w:hAnsi="Times New Roman"/>
          <w:sz w:val="16"/>
          <w:szCs w:val="16"/>
          <w:color w:val="auto"/>
        </w:rPr>
      </w:pPr>
    </w:p>
    <w:p>
      <w:pPr>
        <w:jc w:val="center"/>
        <w:ind w:left="5540" w:right="1260" w:hanging="4934"/>
        <w:spacing w:after="0" w:line="522" w:lineRule="auto"/>
        <w:tabs>
          <w:tab w:leader="none" w:pos="90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report required to be prepared by the Audit Committee pursuant to the rules of the Securities and Exchange Commission.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5" w:name="page86"/>
    <w:bookmarkEnd w:id="85"/>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Audit Committee currently consists of Mr. Bakewell (Chair), Mr. Beeson, and Mr. Lipschultz. From January 1, 2025 until August 1, 2025, the Audit Committee consisted of Mr. Bakewell (Chair), Mr. McNamara, a former director, and Ms. Mitchell-Keller, a former director. Under the NYSE American listing standards, all Audit Committee members must be independent directors and meet heightened independence requirements under the federal securities laws. In addition, all Audit Committee members must be financially literate, and at least one member must be financially sophisticated. Further, under SEC rules, the Board must determine whether at least one member of the Audit Committee is an “audit committee financial expert,” as defined by the SEC’s rules. The Board has determined that each of Mr. Bakewell, Mr. Beeson, and Mr. Lipschultz is independent and financially literate and each of the former Audit Committee members, Mr. McNamara and Ms. Mitchell Keller, was independent and financially literate prior to their resignation from the Board. The Board also has determined that Mr. Bakewell is financially sophisticated and qualifies as an “audit committee financial expert” in accordance with the applicable rules and regulations of the SEC and former director, Mr. McNamara, was financially sophisticated and qualified as an “audit committee financial expert” in accordance with the applicable rules and regulations of the SEC prior to his resignation from the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 xml:space="preserve">The organization and responsibilities of the Compensation Committee are set forth in its charter, which is posted on our website at </w:t>
      </w:r>
      <w:r>
        <w:rPr>
          <w:rFonts w:ascii="Times New Roman" w:cs="Times New Roman" w:eastAsia="Times New Roman" w:hAnsi="Times New Roman"/>
          <w:sz w:val="17"/>
          <w:szCs w:val="17"/>
          <w:i w:val="1"/>
          <w:iCs w:val="1"/>
          <w:color w:val="auto"/>
        </w:rPr>
        <w:t>www.xtantmedical.com</w:t>
      </w:r>
      <w:r>
        <w:rPr>
          <w:rFonts w:ascii="Times New Roman" w:cs="Times New Roman" w:eastAsia="Times New Roman" w:hAnsi="Times New Roman"/>
          <w:sz w:val="17"/>
          <w:szCs w:val="17"/>
          <w:color w:val="auto"/>
        </w:rPr>
        <w:t xml:space="preserve"> (click “Investors” and “Corporate Governance”). The primary purposes of the Compensation Committee include:</w:t>
      </w:r>
    </w:p>
    <w:p>
      <w:pPr>
        <w:spacing w:after="0" w:line="155" w:lineRule="exact"/>
        <w:rPr>
          <w:sz w:val="20"/>
          <w:szCs w:val="20"/>
          <w:color w:val="auto"/>
        </w:rPr>
      </w:pPr>
    </w:p>
    <w:p>
      <w:pPr>
        <w:ind w:left="900" w:hanging="294"/>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to the Board all compensation for our Chief Executive Officer and approving all compensation for our other executive officers;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our equity-based compensation plans;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assessing, and approving overall strategies for attracting, developing, retaining, and motivating Company management and employees;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development and implementation of succession plans for the Chief Executive Officer and other key executive officers and employees;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assessing, and approving overall compensation structure on an annual basis;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and leading a process for the determination of non-employee director compensation.</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Although the Compensation Committee may delegate any or all of its responsibilities to a subcommittee of the Compensation Committee, it has not done so. Our Chief Executive Officer provides his recommendations to the Compensation Committee regarding compensation to be paid to the executive officers and bonus plan performance objectives and goals. The Compensation Committee may engage and obtain advice and assistance from outside advisors as it deems necessary to carry out its duties. In August 2023, the Compensation Committee engaged Mercer (US) Inc. to serve as its independent compensation consultant and to assist with the assessment of our executive and non-employee director compensation programs. Mercer (US) Inc. did not provide any services to the Company unrelated to executive or director compensation.</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Compensation Committee currently consists of Mr. Beeson (Chair), Mr. Jain, and Mr. Lipschultz. From January 1, 2025 until August 1, 2025, the Compensation Committee consisted of Mr. McNamara (Chair), a former director, Mr. Beeson and Ms. Mitchell-Keller, a former director. The Board has determined that each of Mr. Beeson, Mr. Jain and Mr. Lipschultz satisfies the heightened independence criteria for compensation committee members under the NYSE American listing standards and is a “non-employee director” within the meaning of Rule 16b-3 under the Securities Exchange Act of 1934, as amended. The Board also determined that each of the former Compensation Committee members, Mr. McNamara and Ms. Mitchell-Keller, satisfied the heightened independence criteria for compensation committee members under the NYSE American listing standards and was a “non-employee director” within the meaning of Rule 16b-3 under the Exchange Act prior to their resignation.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 xml:space="preserve">The organization and responsibilities of the Nominating and Corporate Governance Committee are set forth in its charter, which is posted on our website at </w:t>
      </w:r>
      <w:r>
        <w:rPr>
          <w:rFonts w:ascii="Times New Roman" w:cs="Times New Roman" w:eastAsia="Times New Roman" w:hAnsi="Times New Roman"/>
          <w:sz w:val="17"/>
          <w:szCs w:val="17"/>
          <w:i w:val="1"/>
          <w:iCs w:val="1"/>
          <w:color w:val="auto"/>
        </w:rPr>
        <w:t xml:space="preserve">www.xtantmedical.com </w:t>
      </w:r>
      <w:r>
        <w:rPr>
          <w:rFonts w:ascii="Times New Roman" w:cs="Times New Roman" w:eastAsia="Times New Roman" w:hAnsi="Times New Roman"/>
          <w:sz w:val="17"/>
          <w:szCs w:val="17"/>
          <w:color w:val="auto"/>
        </w:rPr>
        <w:t>(click “Investors” and “Corporate Governance”). The primary purposes of the Nominating and Corporate Governance Committee include:</w:t>
      </w:r>
    </w:p>
    <w:p>
      <w:pPr>
        <w:spacing w:after="0" w:line="159" w:lineRule="exact"/>
        <w:rPr>
          <w:sz w:val="20"/>
          <w:szCs w:val="20"/>
          <w:color w:val="auto"/>
        </w:rPr>
      </w:pPr>
    </w:p>
    <w:p>
      <w:pPr>
        <w:ind w:left="900" w:hanging="294"/>
        <w:spacing w:after="0" w:line="274" w:lineRule="auto"/>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individuals qualified to become Board members consistent with criteria approved by the Board and recommending to the Board director nominees for election at each annual meeting of stockholders and the persons to be elected by the Board to fill any vacancies on the Board;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the Board regarding director retirement age, tenure and refreshment policies;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the Board regarding Board committee structure and composition;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86" w:name="page87"/>
    <w:bookmarkEnd w:id="86"/>
    <w:p>
      <w:pPr>
        <w:ind w:left="900" w:hanging="294"/>
        <w:spacing w:after="0"/>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the Board a set of corporate governance guidelines and overseeing corporate governance issues; and</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overseeing an orientation process for new directors and reviewing our policies and programs with respect to the continuing education of directors.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Nominating and Corporate Governance Committee consists of Mr. Vizirgianakis (Chair), Mr. Bakewell and Mr. Jain. From January 1, 2025 until August 1, 2025, the Nominating and Corporate Governance Committee consisted of Mr. Beeson (Chair), Mr. Bakewell and Mr. Vizirgianakis.</w:t>
      </w:r>
    </w:p>
    <w:p>
      <w:pPr>
        <w:spacing w:after="0" w:line="15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connection with its primary responsibilities set forth above, the Nominating and Corporate Governance Committee is responsible for developing and overseeing an orientation process for new directors and to review our policies and programs with respect to the continuing education of directors. Accordingly, the Nominating and Corporate Governance Committee has adopted a new director orientation process, pursuant to which new directors will be provided with access to information about the Company to assist the director in better understanding the business as well as the responsibilities and culture of the Board and its committees. New directors will be provided with suggested reading materials, an initial orientation session, follow-up one-on-one meetings, and sponsorship by an existing director. The Nominating and Corporate Governance Committee has additionally adopted a director education reimbursement policy to encourage existing directors to seek additional education opportunities regarding corporate governance and other subject matters relevant to their service.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Pursuant to its charter, the Nominating and Corporate Governance Committee, in evaluating candidates for nomination to the Board, takes into account the independence and other requirements applicable pursuant to law, SEC rules, the requirements of any stock exchange on which securities of the Company are listed, or otherwise. At a minimum, the Nominating and Corporate Governance Committee considers (i) whether each such nominee has demonstrated, by significant accomplishment in such nominee’s field, an ability to make a meaningful contribution to the Board’s oversight of the business and affairs of the Company and (ii) the nominee’s reputation for honesty and ethical conduct in such nominee’s personal and professional activities. Additional factors which the Nominating and Corporate Governance Committee may consider include a candidate’s judgment, skill, objectivity, independence, leadership, integrity, diversity, business or other experience, financial or other expertise, time availability in light of other commitments and conflicts of interest. The Nominating and Corporate Governance Committee will consider candidates recommended by stockholders and others, as it deems appropriate. In considering candidates submitted by stockholders, the Nominating and Corporate Governance Committee will take into consideration the needs of the Board and the qualifications of the candidate. We do not have a formal diversity policy for directors.</w:t>
      </w:r>
    </w:p>
    <w:p>
      <w:pPr>
        <w:spacing w:after="0" w:line="183"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Nominating and Corporate Governance Committee identifies director candidates based on input provided by a number of sources, including Board members, stockholders, management, and third parties. The Nominating and Corporate Governance Committee does not distinguish between nominees recommended by our stockholders and those recommended by other parties. Any stockholder recommendation must be sent to our Corporate Secretary at Xtant Medical Holdings, Inc., 664 Cruiser Lane, Belgrade, Montana 59714, and must include certain information concerning the nominee as specified in our Bylaws.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and/or other dispositions of our securities by directors, officers and employees, among other insiders. We believe our insider trading policy is reasonably designed to promote compliance with insider trading laws, rules and regulations, and the NYSE American listing standards. Our insider trading policy is filed with the SEC as an exhibit to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 and Code of Conduct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We have adopted a Code of Ethics for the CEO and Senior Financial Officers as well as a Code of Conduct that applies to all directors, officers, and employees. Our corporate governance materials, including our Code of Ethics for the CEO and Senior Financial Officers and Code of Conduct, are available on our website at </w:t>
      </w:r>
      <w:r>
        <w:rPr>
          <w:rFonts w:ascii="Times New Roman" w:cs="Times New Roman" w:eastAsia="Times New Roman" w:hAnsi="Times New Roman"/>
          <w:sz w:val="17"/>
          <w:szCs w:val="17"/>
          <w:i w:val="1"/>
          <w:iCs w:val="1"/>
          <w:color w:val="auto"/>
        </w:rPr>
        <w:t>www.xtantmedical.com</w:t>
      </w:r>
      <w:r>
        <w:rPr>
          <w:rFonts w:ascii="Times New Roman" w:cs="Times New Roman" w:eastAsia="Times New Roman" w:hAnsi="Times New Roman"/>
          <w:sz w:val="17"/>
          <w:szCs w:val="17"/>
          <w:color w:val="auto"/>
        </w:rPr>
        <w:t xml:space="preserve"> (click “Investors” and “Corporate Governance”). We intend to disclose on our corporate website any amendment to, or waiver from, a provision of our Code of Ethics for the CEO and Senior Financial Officers that applies to directors and executive officers and that is required to be disclosed pursuant to the rules of the SEC and the NYSE American.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section describes the compensation of the executive officers named in the Summary Compensation Table below, which individuals consist of our President and Chief Executive Officer and the two most highly compensated executive officers (other than our President and Chief Executive Officer) serving as executive officers as of December 31, 2025:</w:t>
      </w:r>
    </w:p>
    <w:p>
      <w:pPr>
        <w:spacing w:after="0" w:line="169" w:lineRule="exact"/>
        <w:rPr>
          <w:sz w:val="20"/>
          <w:szCs w:val="20"/>
          <w:color w:val="auto"/>
        </w:rPr>
      </w:pPr>
    </w:p>
    <w:p>
      <w:pPr>
        <w:ind w:left="900" w:hanging="294"/>
        <w:spacing w:after="0"/>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Sean E. Browne, our President and Chief Executive Officer and principal executive officer (“CEO” or “PEO”);</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C. Neils, our Chief Financial Officer and Assistant Secretary (“CFO”);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A. Schallenberger, our Chief Operating Officer (“COO”).</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These executive officers are collectively referred to as our named executive officers.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When reading this Executive Compensation Overview, please note we are a small reporting company and are not required to provide a “Compensation Discussion and Analysis” of the type required by Item 402 of SEC Regulation S-K. This Overview is intended to supplement the SEC-required disclosure, which is included in this section, and it is not a Compensation Discussion and Analysis.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Elements of Our Executive Compensation Program</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During 2025, our executive compensation program consisted of several key elements, which are described in the table below, along with the key characteristics of, and the purpose for, each element and key 2025 changes.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0"/>
        </w:trPr>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Element</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7"/>
                <w:szCs w:val="17"/>
                <w:b w:val="1"/>
                <w:bCs w:val="1"/>
                <w:color w:val="auto"/>
              </w:rPr>
              <w:t>Key Characteristics</w:t>
            </w: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Purpose</w:t>
            </w:r>
          </w:p>
        </w:tc>
        <w:tc>
          <w:tcPr>
            <w:tcW w:w="3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Key 2025 Changes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0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7"/>
                <w:szCs w:val="17"/>
                <w:i w:val="1"/>
                <w:iCs w:val="1"/>
                <w:color w:val="auto"/>
              </w:rPr>
              <w:t>Base Salary</w:t>
            </w:r>
          </w:p>
        </w:tc>
        <w:tc>
          <w:tcPr>
            <w:tcW w:w="220" w:type="dxa"/>
            <w:vAlign w:val="bottom"/>
            <w:tcBorders>
              <w:top w:val="single" w:sz="8" w:color="CCEEFF"/>
            </w:tcBorders>
            <w:shd w:val="clear" w:color="auto" w:fill="CCEEFF"/>
          </w:tcPr>
          <w:p>
            <w:pPr>
              <w:spacing w:after="0"/>
              <w:rPr>
                <w:sz w:val="14"/>
                <w:szCs w:val="14"/>
                <w:color w:val="auto"/>
              </w:rPr>
            </w:pPr>
          </w:p>
        </w:tc>
        <w:tc>
          <w:tcPr>
            <w:tcW w:w="282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w w:val="99"/>
              </w:rPr>
              <w:t>A fixed amount, paid in cash periodically</w:t>
            </w:r>
          </w:p>
        </w:tc>
        <w:tc>
          <w:tcPr>
            <w:tcW w:w="24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Provides a source of fixed income</w:t>
            </w:r>
          </w:p>
        </w:tc>
        <w:tc>
          <w:tcPr>
            <w:tcW w:w="200" w:type="dxa"/>
            <w:vAlign w:val="bottom"/>
            <w:tcBorders>
              <w:top w:val="single" w:sz="8" w:color="CCEEFF"/>
            </w:tcBorders>
            <w:shd w:val="clear" w:color="auto" w:fill="CCEEFF"/>
          </w:tcPr>
          <w:p>
            <w:pPr>
              <w:spacing w:after="0"/>
              <w:rPr>
                <w:sz w:val="14"/>
                <w:szCs w:val="14"/>
                <w:color w:val="auto"/>
              </w:rPr>
            </w:pPr>
          </w:p>
        </w:tc>
        <w:tc>
          <w:tcPr>
            <w:tcW w:w="348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No changes, other than our COO received an 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throughout the year and reviewed at least</w:t>
            </w: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that is market competitive and</w:t>
            </w: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increase in connection with his promotion to COO.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(Fixed, Cash)</w:t>
            </w:r>
          </w:p>
        </w:tc>
        <w:tc>
          <w:tcPr>
            <w:tcW w:w="3280" w:type="dxa"/>
            <w:vAlign w:val="bottom"/>
            <w:gridSpan w:val="3"/>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annually and, if appropriate, adjusted.</w:t>
            </w:r>
          </w:p>
        </w:tc>
        <w:tc>
          <w:tcPr>
            <w:tcW w:w="2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reflects scope and responsibility of</w:t>
            </w:r>
          </w:p>
        </w:tc>
        <w:tc>
          <w:tcPr>
            <w:tcW w:w="3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position held.</w:t>
            </w:r>
          </w:p>
        </w:tc>
        <w:tc>
          <w:tcPr>
            <w:tcW w:w="3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19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7"/>
                <w:szCs w:val="17"/>
                <w:i w:val="1"/>
                <w:iCs w:val="1"/>
                <w:color w:val="auto"/>
              </w:rPr>
              <w:t>Short-Term Incentive (STI)</w:t>
            </w:r>
          </w:p>
        </w:tc>
        <w:tc>
          <w:tcPr>
            <w:tcW w:w="3280" w:type="dxa"/>
            <w:vAlign w:val="bottom"/>
            <w:gridSpan w:val="3"/>
            <w:shd w:val="clear" w:color="auto" w:fill="CCEEFF"/>
          </w:tcPr>
          <w:p>
            <w:pPr>
              <w:ind w:left="220"/>
              <w:spacing w:after="0" w:line="172" w:lineRule="exact"/>
              <w:rPr>
                <w:sz w:val="20"/>
                <w:szCs w:val="20"/>
                <w:color w:val="auto"/>
              </w:rPr>
            </w:pPr>
            <w:r>
              <w:rPr>
                <w:rFonts w:ascii="Times New Roman" w:cs="Times New Roman" w:eastAsia="Times New Roman" w:hAnsi="Times New Roman"/>
                <w:sz w:val="17"/>
                <w:szCs w:val="17"/>
                <w:color w:val="auto"/>
              </w:rPr>
              <w:t>A variable, short-term, discretionary</w:t>
            </w:r>
          </w:p>
        </w:tc>
        <w:tc>
          <w:tcPr>
            <w:tcW w:w="25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auto"/>
              </w:rPr>
              <w:t>Motivates and rewards our</w:t>
            </w:r>
          </w:p>
        </w:tc>
        <w:tc>
          <w:tcPr>
            <w:tcW w:w="34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auto"/>
                <w:w w:val="99"/>
              </w:rPr>
              <w:t>No changes to target bonus percentages, other than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element of compensation that is payable</w:t>
            </w: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executives for achievement of</w:t>
            </w: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our COO received an increase from 50% to 75%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(Variable, Cash)</w:t>
            </w:r>
          </w:p>
        </w:tc>
        <w:tc>
          <w:tcPr>
            <w:tcW w:w="3280" w:type="dxa"/>
            <w:vAlign w:val="bottom"/>
            <w:gridSpan w:val="3"/>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in cash based on achievement of key pre-</w:t>
            </w:r>
          </w:p>
        </w:tc>
        <w:tc>
          <w:tcPr>
            <w:tcW w:w="2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annual corporate and, in some</w:t>
            </w:r>
          </w:p>
        </w:tc>
        <w:tc>
          <w:tcPr>
            <w:tcW w:w="3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his base salary.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vMerge w:val="continue"/>
            <w:shd w:val="clear" w:color="auto" w:fill="CCEEFF"/>
          </w:tcPr>
          <w:p>
            <w:pPr>
              <w:spacing w:after="0"/>
              <w:rPr>
                <w:sz w:val="16"/>
                <w:szCs w:val="16"/>
                <w:color w:val="auto"/>
              </w:rPr>
            </w:pPr>
          </w:p>
        </w:tc>
        <w:tc>
          <w:tcPr>
            <w:tcW w:w="3280" w:type="dxa"/>
            <w:vAlign w:val="bottom"/>
            <w:gridSpan w:val="3"/>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established annual corporate and, in some</w:t>
            </w:r>
          </w:p>
        </w:tc>
        <w:tc>
          <w:tcPr>
            <w:tcW w:w="2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cases, individual objectives.</w:t>
            </w:r>
          </w:p>
        </w:tc>
        <w:tc>
          <w:tcPr>
            <w:tcW w:w="3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cases, individual objectives.</w:t>
            </w:r>
          </w:p>
        </w:tc>
        <w:tc>
          <w:tcPr>
            <w:tcW w:w="2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pre-established corporate objectives for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8"/>
              </w:rPr>
              <w:t>2025 STI plan were total revenue (55% weighting),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adjusted EBITDA (40% weighting), and gross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margin (5% weighting).</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Our CEO had two pre-established individual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objective which, if not achieved, could reduce his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2025 STI payout by up to 30%. One-third of our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COO’s 2025 STI payout was based on pre-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established individual objectives.</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84</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7"/>
                <w:szCs w:val="17"/>
                <w:b w:val="1"/>
                <w:bCs w:val="1"/>
                <w:color w:val="auto"/>
              </w:rPr>
              <w:t>Element</w:t>
            </w:r>
          </w:p>
        </w:tc>
        <w:tc>
          <w:tcPr>
            <w:tcW w:w="220" w:type="dxa"/>
            <w:vAlign w:val="bottom"/>
          </w:tcPr>
          <w:p>
            <w:pPr>
              <w:spacing w:after="0"/>
              <w:rPr>
                <w:sz w:val="19"/>
                <w:szCs w:val="19"/>
                <w:color w:val="auto"/>
              </w:rPr>
            </w:pPr>
          </w:p>
        </w:tc>
        <w:tc>
          <w:tcPr>
            <w:tcW w:w="28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Key Characteristics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00" w:type="dxa"/>
            <w:vAlign w:val="bottom"/>
          </w:tcPr>
          <w:p>
            <w:pPr>
              <w:spacing w:after="0" w:line="178" w:lineRule="exact"/>
              <w:rPr>
                <w:sz w:val="20"/>
                <w:szCs w:val="20"/>
                <w:color w:val="auto"/>
              </w:rPr>
            </w:pPr>
            <w:r>
              <w:rPr>
                <w:rFonts w:ascii="Times New Roman" w:cs="Times New Roman" w:eastAsia="Times New Roman" w:hAnsi="Times New Roman"/>
                <w:sz w:val="17"/>
                <w:szCs w:val="17"/>
                <w:i w:val="1"/>
                <w:iCs w:val="1"/>
                <w:color w:val="auto"/>
                <w:w w:val="99"/>
              </w:rPr>
              <w:t>Long-Term Incentives (LTI)</w:t>
            </w:r>
          </w:p>
        </w:tc>
        <w:tc>
          <w:tcPr>
            <w:tcW w:w="220" w:type="dxa"/>
            <w:vAlign w:val="bottom"/>
          </w:tcPr>
          <w:p>
            <w:pPr>
              <w:spacing w:after="0"/>
              <w:rPr>
                <w:sz w:val="15"/>
                <w:szCs w:val="15"/>
                <w:color w:val="auto"/>
              </w:rPr>
            </w:pPr>
          </w:p>
        </w:tc>
        <w:tc>
          <w:tcPr>
            <w:tcW w:w="282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A variable, long-term element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i w:val="1"/>
                <w:iCs w:val="1"/>
                <w:color w:val="auto"/>
              </w:rPr>
              <w:t>(Variable,  Equity-Based</w:t>
            </w:r>
          </w:p>
        </w:tc>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98"/>
              </w:rPr>
              <w:t>compensation that is provided in the form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of deferred stock units (DSUs) and</w:t>
            </w:r>
          </w:p>
        </w:tc>
        <w:tc>
          <w:tcPr>
            <w:tcW w:w="0" w:type="dxa"/>
            <w:vAlign w:val="bottom"/>
          </w:tcPr>
          <w:p>
            <w:pPr>
              <w:spacing w:after="0"/>
              <w:rPr>
                <w:sz w:val="1"/>
                <w:szCs w:val="1"/>
                <w:color w:val="auto"/>
              </w:rPr>
            </w:pPr>
          </w:p>
        </w:tc>
      </w:tr>
      <w:tr>
        <w:trPr>
          <w:trHeight w:val="222"/>
        </w:trPr>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Awards)</w:t>
            </w:r>
          </w:p>
        </w:tc>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performance stock units (PSUs).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2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Aligns the interests of our executives with our stockholders; encourages our executives to focus on our long-term performance; promotes retention; and encourages significant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-908050</wp:posOffset>
            </wp:positionV>
            <wp:extent cx="7141210" cy="2954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2954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Times New Roman" w:cs="Times New Roman" w:eastAsia="Times New Roman" w:hAnsi="Times New Roman"/>
          <w:sz w:val="17"/>
          <w:szCs w:val="17"/>
          <w:b w:val="1"/>
          <w:bCs w:val="1"/>
          <w:color w:val="auto"/>
        </w:rPr>
        <w:t>Key 2025 Changes</w:t>
      </w:r>
    </w:p>
    <w:p>
      <w:pPr>
        <w:spacing w:after="0" w:line="2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The number of DSUs and PSUs granted to each NEO was determined based on a certain percentage of their annual base salary, consisting of 100% for our CEO and 50% for our other two NEOs.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While the mix of our LTI program consisted of 50% DSUs and 50% PSUs, the vesting of the PSUs was revised from achievement of relative total stockholder return performance goals to Xtant stock price goals over a three-year performance period.</w:t>
      </w:r>
    </w:p>
    <w:p>
      <w:pPr>
        <w:spacing w:after="0" w:line="17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We used a 30-day volume weighted average price of our common stock to determine the number of DSUs and PSUs to grant. Accordingly, the grant date fair value of these awards may be different than the value we used in determining the number of RSUs or DSUs.</w:t>
      </w:r>
    </w:p>
    <w:p>
      <w:pPr>
        <w:spacing w:after="0" w:line="176"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7"/>
          <w:szCs w:val="17"/>
          <w:color w:val="auto"/>
        </w:rPr>
        <w:t>The grant timing changed to November 2025 after stockholder approval of an increase in the number of shares reserved under our stockholder-approved equity incentive plan.</w:t>
      </w:r>
    </w:p>
    <w:p>
      <w:pPr>
        <w:spacing w:after="0" w:line="181" w:lineRule="exact"/>
        <w:rPr>
          <w:sz w:val="20"/>
          <w:szCs w:val="20"/>
          <w:color w:val="auto"/>
        </w:rPr>
      </w:pPr>
    </w:p>
    <w:p>
      <w:pPr>
        <w:sectPr>
          <w:pgSz w:w="11900" w:h="16838" w:orient="portrait"/>
          <w:cols w:equalWidth="0" w:num="3">
            <w:col w:w="4960" w:space="240"/>
            <w:col w:w="2340" w:space="220"/>
            <w:col w:w="3480"/>
          </w:cols>
          <w:pgMar w:left="320" w:top="661" w:right="339" w:bottom="1440" w:gutter="0" w:footer="0" w:header="0"/>
        </w:sectPr>
      </w:pPr>
    </w:p>
    <w:tbl>
      <w:tblPr>
        <w:tblLayout w:type="fixed"/>
        <w:tblInd w:w="0" w:type="dxa"/>
        <w:tblCellMar>
          <w:top w:w="0" w:type="dxa"/>
          <w:left w:w="0" w:type="dxa"/>
          <w:bottom w:w="0" w:type="dxa"/>
          <w:right w:w="0" w:type="dxa"/>
        </w:tblCellMar>
      </w:tblPr>
      <w:tr>
        <w:trPr>
          <w:trHeight w:val="195"/>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Retirement Benefits</w:t>
            </w: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A defined contribution retirement plan</w:t>
            </w:r>
          </w:p>
        </w:tc>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Provides an opportunity for</w:t>
            </w:r>
          </w:p>
        </w:tc>
        <w:tc>
          <w:tcPr>
            <w:tcW w:w="3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No changes.</w:t>
            </w:r>
          </w:p>
        </w:tc>
      </w:tr>
      <w:tr>
        <w:trPr>
          <w:trHeight w:val="202"/>
        </w:trPr>
        <w:tc>
          <w:tcPr>
            <w:tcW w:w="1720" w:type="dxa"/>
            <w:vAlign w:val="bottom"/>
            <w:shd w:val="clear" w:color="auto" w:fill="CCEEFF"/>
          </w:tcPr>
          <w:p>
            <w:pPr>
              <w:spacing w:after="0"/>
              <w:rPr>
                <w:sz w:val="17"/>
                <w:szCs w:val="17"/>
                <w:color w:val="auto"/>
              </w:rPr>
            </w:pPr>
          </w:p>
        </w:tc>
        <w:tc>
          <w:tcPr>
            <w:tcW w:w="3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with a discretionary company match.</w:t>
            </w:r>
          </w:p>
        </w:tc>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employees to save and prepare</w:t>
            </w:r>
          </w:p>
        </w:tc>
        <w:tc>
          <w:tcPr>
            <w:tcW w:w="3060" w:type="dxa"/>
            <w:vAlign w:val="bottom"/>
            <w:shd w:val="clear" w:color="auto" w:fill="CCEEFF"/>
          </w:tcPr>
          <w:p>
            <w:pPr>
              <w:spacing w:after="0"/>
              <w:rPr>
                <w:sz w:val="17"/>
                <w:szCs w:val="17"/>
                <w:color w:val="auto"/>
              </w:rPr>
            </w:pPr>
          </w:p>
        </w:tc>
      </w:tr>
      <w:tr>
        <w:trPr>
          <w:trHeight w:val="218"/>
        </w:trPr>
        <w:tc>
          <w:tcPr>
            <w:tcW w:w="1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financially for retirement.</w:t>
            </w:r>
          </w:p>
        </w:tc>
        <w:tc>
          <w:tcPr>
            <w:tcW w:w="3060" w:type="dxa"/>
            <w:vAlign w:val="bottom"/>
            <w:shd w:val="clear" w:color="auto" w:fill="CCEEFF"/>
          </w:tcPr>
          <w:p>
            <w:pPr>
              <w:spacing w:after="0"/>
              <w:rPr>
                <w:sz w:val="18"/>
                <w:szCs w:val="18"/>
                <w:color w:val="auto"/>
              </w:rPr>
            </w:pPr>
          </w:p>
        </w:tc>
      </w:tr>
      <w:tr>
        <w:trPr>
          <w:trHeight w:val="403"/>
        </w:trPr>
        <w:tc>
          <w:tcPr>
            <w:tcW w:w="17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2396"/>
              <w:spacing w:after="0"/>
              <w:rPr>
                <w:sz w:val="20"/>
                <w:szCs w:val="20"/>
                <w:color w:val="auto"/>
              </w:rPr>
            </w:pPr>
            <w:r>
              <w:rPr>
                <w:rFonts w:ascii="Times New Roman" w:cs="Times New Roman" w:eastAsia="Times New Roman" w:hAnsi="Times New Roman"/>
                <w:sz w:val="17"/>
                <w:szCs w:val="17"/>
                <w:color w:val="auto"/>
              </w:rPr>
              <w:t>85</w:t>
            </w: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Compensation Table</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table below provides summary information concerning all compensation awarded to, earned by, or paid to our named executive officers for the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Non-Equity</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2"/>
              </w:rPr>
              <w:t>Bonus</w:t>
            </w:r>
            <w:r>
              <w:rPr>
                <w:rFonts w:ascii="Times New Roman" w:cs="Times New Roman" w:eastAsia="Times New Roman" w:hAnsi="Times New Roman"/>
                <w:sz w:val="28"/>
                <w:szCs w:val="28"/>
                <w:b w:val="1"/>
                <w:bCs w:val="1"/>
                <w:color w:val="auto"/>
                <w:w w:val="92"/>
                <w:vertAlign w:val="superscript"/>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Incentive Plan</w:t>
            </w:r>
          </w:p>
        </w:tc>
        <w:tc>
          <w:tcPr>
            <w:tcW w:w="16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60" w:type="dxa"/>
            <w:vAlign w:val="bottom"/>
          </w:tcPr>
          <w:p>
            <w:pPr>
              <w:spacing w:after="0"/>
              <w:rPr>
                <w:sz w:val="21"/>
                <w:szCs w:val="2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Year</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ind w:right="300"/>
              <w:spacing w:after="0" w:line="251" w:lineRule="exact"/>
              <w:rPr>
                <w:sz w:val="20"/>
                <w:szCs w:val="20"/>
                <w:color w:val="auto"/>
              </w:rPr>
            </w:pPr>
            <w:r>
              <w:rPr>
                <w:rFonts w:ascii="Times New Roman" w:cs="Times New Roman" w:eastAsia="Times New Roman" w:hAnsi="Times New Roman"/>
                <w:sz w:val="17"/>
                <w:szCs w:val="17"/>
                <w:b w:val="1"/>
                <w:bCs w:val="1"/>
                <w:color w:val="auto"/>
                <w:w w:val="94"/>
              </w:rPr>
              <w:t>Awards</w:t>
            </w:r>
            <w:r>
              <w:rPr>
                <w:rFonts w:ascii="Times New Roman" w:cs="Times New Roman" w:eastAsia="Times New Roman" w:hAnsi="Times New Roman"/>
                <w:sz w:val="28"/>
                <w:szCs w:val="28"/>
                <w:b w:val="1"/>
                <w:bCs w:val="1"/>
                <w:color w:val="auto"/>
                <w:w w:val="94"/>
                <w:vertAlign w:val="superscript"/>
              </w:rPr>
              <w:t>(2)</w:t>
            </w: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500" w:type="dxa"/>
            <w:vAlign w:val="bottom"/>
            <w:gridSpan w:val="3"/>
          </w:tcPr>
          <w:p>
            <w:pPr>
              <w:jc w:val="center"/>
              <w:ind w:right="260"/>
              <w:spacing w:after="0" w:line="251" w:lineRule="exact"/>
              <w:rPr>
                <w:sz w:val="20"/>
                <w:szCs w:val="20"/>
                <w:color w:val="auto"/>
              </w:rPr>
            </w:pPr>
            <w:r>
              <w:rPr>
                <w:rFonts w:ascii="Times New Roman" w:cs="Times New Roman" w:eastAsia="Times New Roman" w:hAnsi="Times New Roman"/>
                <w:sz w:val="17"/>
                <w:szCs w:val="17"/>
                <w:b w:val="1"/>
                <w:bCs w:val="1"/>
                <w:color w:val="auto"/>
                <w:w w:val="94"/>
              </w:rPr>
              <w:t>Compensation</w:t>
            </w:r>
            <w:r>
              <w:rPr>
                <w:rFonts w:ascii="Times New Roman" w:cs="Times New Roman" w:eastAsia="Times New Roman" w:hAnsi="Times New Roman"/>
                <w:sz w:val="28"/>
                <w:szCs w:val="28"/>
                <w:b w:val="1"/>
                <w:bCs w:val="1"/>
                <w:color w:val="auto"/>
                <w:w w:val="94"/>
                <w:vertAlign w:val="superscript"/>
              </w:rPr>
              <w:t>(3)</w:t>
            </w:r>
          </w:p>
        </w:tc>
        <w:tc>
          <w:tcPr>
            <w:tcW w:w="1480" w:type="dxa"/>
            <w:vAlign w:val="bottom"/>
            <w:gridSpan w:val="3"/>
          </w:tcPr>
          <w:p>
            <w:pPr>
              <w:spacing w:after="0" w:line="251"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8"/>
                <w:szCs w:val="28"/>
                <w:b w:val="1"/>
                <w:bCs w:val="1"/>
                <w:color w:val="auto"/>
                <w:vertAlign w:val="superscript"/>
              </w:rPr>
              <w:t>(4)</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94"/>
        </w:trPr>
        <w:tc>
          <w:tcPr>
            <w:tcW w:w="25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Sean E.</w:t>
            </w: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2025</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4"/>
              </w:rPr>
              <w:t>$ 624,000</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4"/>
              </w:rPr>
              <w:t>$ 100,000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588,812</w:t>
            </w: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200"/>
              <w:spacing w:after="0" w:line="194" w:lineRule="exact"/>
              <w:rPr>
                <w:sz w:val="20"/>
                <w:szCs w:val="20"/>
                <w:color w:val="auto"/>
              </w:rPr>
            </w:pPr>
            <w:r>
              <w:rPr>
                <w:rFonts w:ascii="Times New Roman" w:cs="Times New Roman" w:eastAsia="Times New Roman" w:hAnsi="Times New Roman"/>
                <w:sz w:val="17"/>
                <w:szCs w:val="17"/>
                <w:color w:val="auto"/>
                <w:w w:val="82"/>
              </w:rPr>
              <w:t>—</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ind w:left="580"/>
              <w:spacing w:after="0" w:line="194" w:lineRule="exact"/>
              <w:rPr>
                <w:sz w:val="20"/>
                <w:szCs w:val="20"/>
                <w:color w:val="auto"/>
              </w:rPr>
            </w:pPr>
            <w:r>
              <w:rPr>
                <w:rFonts w:ascii="Times New Roman" w:cs="Times New Roman" w:eastAsia="Times New Roman" w:hAnsi="Times New Roman"/>
                <w:sz w:val="17"/>
                <w:szCs w:val="17"/>
                <w:color w:val="auto"/>
                <w:w w:val="94"/>
              </w:rPr>
              <w:t>38,864</w:t>
            </w: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4"/>
              </w:rPr>
              <w:t>$ 1,351,676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 xml:space="preserve">Browne </w:t>
            </w:r>
            <w:r>
              <w:rPr>
                <w:rFonts w:ascii="Times New Roman" w:cs="Times New Roman" w:eastAsia="Times New Roman" w:hAnsi="Times New Roman"/>
                <w:sz w:val="17"/>
                <w:szCs w:val="17"/>
                <w:i w:val="1"/>
                <w:iCs w:val="1"/>
                <w:color w:val="auto"/>
              </w:rPr>
              <w:t>President and Chief</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617,539</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6"/>
              </w:rPr>
              <w:t>1,807,132</w:t>
            </w:r>
          </w:p>
        </w:tc>
        <w:tc>
          <w:tcPr>
            <w:tcW w:w="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37,065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2,461,736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5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Mark A. Schallenberger</w:t>
            </w:r>
          </w:p>
        </w:tc>
        <w:tc>
          <w:tcPr>
            <w:tcW w:w="1020" w:type="dxa"/>
            <w:vAlign w:val="bottom"/>
            <w:gridSpan w:val="3"/>
          </w:tcPr>
          <w:p>
            <w:pPr>
              <w:jc w:val="right"/>
              <w:ind w:right="260"/>
              <w:spacing w:after="0" w:line="181" w:lineRule="exact"/>
              <w:rPr>
                <w:sz w:val="20"/>
                <w:szCs w:val="20"/>
                <w:color w:val="auto"/>
              </w:rPr>
            </w:pPr>
            <w:r>
              <w:rPr>
                <w:rFonts w:ascii="Times New Roman" w:cs="Times New Roman" w:eastAsia="Times New Roman" w:hAnsi="Times New Roman"/>
                <w:sz w:val="17"/>
                <w:szCs w:val="17"/>
                <w:color w:val="auto"/>
              </w:rPr>
              <w:t>2025</w:t>
            </w:r>
          </w:p>
        </w:tc>
        <w:tc>
          <w:tcPr>
            <w:tcW w:w="92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7"/>
                <w:szCs w:val="17"/>
                <w:color w:val="auto"/>
              </w:rPr>
              <w:t>447,680</w:t>
            </w:r>
          </w:p>
        </w:tc>
        <w:tc>
          <w:tcPr>
            <w:tcW w:w="80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7"/>
                <w:szCs w:val="17"/>
                <w:color w:val="auto"/>
                <w:w w:val="94"/>
              </w:rPr>
              <w:t>$ 100,000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7"/>
                <w:szCs w:val="17"/>
                <w:color w:val="auto"/>
              </w:rPr>
              <w:t>435,720</w:t>
            </w:r>
          </w:p>
        </w:tc>
        <w:tc>
          <w:tcPr>
            <w:tcW w:w="260" w:type="dxa"/>
            <w:vAlign w:val="bottom"/>
          </w:tcPr>
          <w:p>
            <w:pPr>
              <w:spacing w:after="0"/>
              <w:rPr>
                <w:sz w:val="15"/>
                <w:szCs w:val="15"/>
                <w:color w:val="auto"/>
              </w:rPr>
            </w:pPr>
          </w:p>
        </w:tc>
        <w:tc>
          <w:tcPr>
            <w:tcW w:w="620" w:type="dxa"/>
            <w:vAlign w:val="bottom"/>
            <w:gridSpan w:val="2"/>
          </w:tcPr>
          <w:p>
            <w:pPr>
              <w:ind w:left="2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140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7"/>
                <w:szCs w:val="17"/>
                <w:color w:val="auto"/>
              </w:rPr>
              <w:t>113,131</w:t>
            </w:r>
          </w:p>
        </w:tc>
        <w:tc>
          <w:tcPr>
            <w:tcW w:w="160" w:type="dxa"/>
            <w:vAlign w:val="bottom"/>
          </w:tcPr>
          <w:p>
            <w:pPr>
              <w:spacing w:after="0"/>
              <w:rPr>
                <w:sz w:val="15"/>
                <w:szCs w:val="15"/>
                <w:color w:val="auto"/>
              </w:rPr>
            </w:pPr>
          </w:p>
        </w:tc>
        <w:tc>
          <w:tcPr>
            <w:tcW w:w="1320" w:type="dxa"/>
            <w:vAlign w:val="bottom"/>
            <w:gridSpan w:val="2"/>
          </w:tcPr>
          <w:p>
            <w:pPr>
              <w:ind w:left="580"/>
              <w:spacing w:after="0" w:line="181" w:lineRule="exact"/>
              <w:rPr>
                <w:sz w:val="20"/>
                <w:szCs w:val="20"/>
                <w:color w:val="auto"/>
              </w:rPr>
            </w:pPr>
            <w:r>
              <w:rPr>
                <w:rFonts w:ascii="Times New Roman" w:cs="Times New Roman" w:eastAsia="Times New Roman" w:hAnsi="Times New Roman"/>
                <w:sz w:val="17"/>
                <w:szCs w:val="17"/>
                <w:color w:val="auto"/>
              </w:rPr>
              <w:t>14,000</w:t>
            </w:r>
          </w:p>
        </w:tc>
        <w:tc>
          <w:tcPr>
            <w:tcW w:w="88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7"/>
                <w:szCs w:val="17"/>
                <w:color w:val="auto"/>
              </w:rPr>
              <w:t>1,110,531</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2024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411,692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428,469</w:t>
            </w:r>
          </w:p>
        </w:tc>
        <w:tc>
          <w:tcPr>
            <w:tcW w:w="260" w:type="dxa"/>
            <w:vAlign w:val="bottom"/>
          </w:tcPr>
          <w:p>
            <w:pPr>
              <w:spacing w:after="0"/>
              <w:rPr>
                <w:sz w:val="19"/>
                <w:szCs w:val="19"/>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38,800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878,961</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C. Neils</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416,000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392,541</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30,828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939,369</w:t>
            </w: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i w:val="1"/>
                <w:iCs w:val="1"/>
                <w:color w:val="auto"/>
              </w:rPr>
              <w:t>Chief Financial Officer and Assistant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Secretary</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411,692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438,551</w:t>
            </w:r>
          </w:p>
        </w:tc>
        <w:tc>
          <w:tcPr>
            <w:tcW w:w="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33,264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883,507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jc w:val="both"/>
        <w:ind w:left="600" w:hanging="599"/>
        <w:spacing w:after="0" w:line="256" w:lineRule="auto"/>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incentive bonus payouts based on performance against pre-established corporate and, in some cases, individual performance goals are reported in the “Non-equity incentive plan compensation” column. While we generally do not pay any discretionary bonuses or bonuses that are subjectively determined, we awarded a $100,000 discretionary bonus to each NEO for 2025 performance in light of our increased revenue and strategic actions taken in 2025 and for retention purposes, especially in light of no bonuses or non-equity incentive plan compensation earned for 2024.</w:t>
      </w:r>
    </w:p>
    <w:p>
      <w:pPr>
        <w:spacing w:after="0" w:line="174" w:lineRule="exact"/>
        <w:rPr>
          <w:rFonts w:ascii="Times New Roman" w:cs="Times New Roman" w:eastAsia="Times New Roman" w:hAnsi="Times New Roman"/>
          <w:sz w:val="17"/>
          <w:szCs w:val="17"/>
          <w:color w:val="auto"/>
        </w:rPr>
      </w:pPr>
    </w:p>
    <w:p>
      <w:pPr>
        <w:jc w:val="both"/>
        <w:ind w:left="600" w:hanging="599"/>
        <w:spacing w:after="0" w:line="253" w:lineRule="auto"/>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represent the aggregate grant date fair value for DSU and PSU awards computed in accordance with Financial Accounting Standards Board (“FASB”) Accounting Standards Codification (“ASC”) Topic 718. These are not amounts paid to or realized by the NEOs. We caution that the amounts reported in the table for stock awards and, therefore, total compensation may not represent the amounts that each NEO will actually realize from the awards. Whether, and to what extent, an NEO realizes value will depend on a number of factors, including our future stock price. The grant date fair value of the PSU awards assumes target levels of performance. The grant date fair value of the PSU awards assuming maximum levels of performances are as follows: Mr. Browne ($664,205), Mr. Schallenberger ($491,511), and Mr. Neils ($442,803).</w:t>
      </w:r>
    </w:p>
    <w:p>
      <w:pPr>
        <w:spacing w:after="0" w:line="175"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represent payouts under our annual bonus plan and for each year reflect the amounts earned for that year but paid during the following year. No bonuses were earned or paid for 2024 performance.</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table below provides information concerning amounts reported in the “All Other Compensation” column of the Summary Compensation Table for 2025 with respect to each named executive officer.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401(k)</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Commuting</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2"/>
        </w:trPr>
        <w:tc>
          <w:tcPr>
            <w:tcW w:w="1700" w:type="dxa"/>
            <w:vAlign w:val="bottom"/>
          </w:tcPr>
          <w:p>
            <w:pPr>
              <w:spacing w:after="0"/>
              <w:rPr>
                <w:sz w:val="19"/>
                <w:szCs w:val="19"/>
                <w:color w:val="auto"/>
              </w:rPr>
            </w:pPr>
          </w:p>
        </w:tc>
        <w:tc>
          <w:tcPr>
            <w:tcW w:w="3140" w:type="dxa"/>
            <w:vAlign w:val="bottom"/>
          </w:tcPr>
          <w:p>
            <w:pPr>
              <w:ind w:left="13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Match</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Expenses</w:t>
            </w:r>
          </w:p>
        </w:tc>
        <w:tc>
          <w:tcPr>
            <w:tcW w:w="28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80" w:type="dxa"/>
            <w:vAlign w:val="bottom"/>
          </w:tcPr>
          <w:p>
            <w:pPr>
              <w:spacing w:after="0"/>
              <w:rPr>
                <w:sz w:val="19"/>
                <w:szCs w:val="19"/>
                <w:color w:val="auto"/>
              </w:rPr>
            </w:pPr>
          </w:p>
        </w:tc>
      </w:tr>
      <w:tr>
        <w:trPr>
          <w:trHeight w:val="195"/>
        </w:trPr>
        <w:tc>
          <w:tcPr>
            <w:tcW w:w="1700" w:type="dxa"/>
            <w:vAlign w:val="bottom"/>
          </w:tcPr>
          <w:p>
            <w:pPr>
              <w:spacing w:after="0"/>
              <w:rPr>
                <w:sz w:val="16"/>
                <w:szCs w:val="16"/>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Sean E. Browne</w:t>
            </w: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24,864</w:t>
            </w: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38,864</w:t>
            </w:r>
          </w:p>
        </w:tc>
        <w:tc>
          <w:tcPr>
            <w:tcW w:w="80" w:type="dxa"/>
            <w:vAlign w:val="bottom"/>
            <w:tcBorders>
              <w:top w:val="single" w:sz="8" w:color="CCEEFF"/>
            </w:tcBorders>
            <w:shd w:val="clear" w:color="auto" w:fill="CCEEFF"/>
          </w:tcPr>
          <w:p>
            <w:pPr>
              <w:spacing w:after="0"/>
              <w:rPr>
                <w:sz w:val="16"/>
                <w:szCs w:val="16"/>
                <w:color w:val="auto"/>
              </w:rPr>
            </w:pPr>
          </w:p>
        </w:tc>
        <w:tc>
          <w:tcPr>
            <w:tcW w:w="1680" w:type="dxa"/>
            <w:vAlign w:val="bottom"/>
          </w:tcPr>
          <w:p>
            <w:pPr>
              <w:spacing w:after="0"/>
              <w:rPr>
                <w:sz w:val="16"/>
                <w:szCs w:val="16"/>
                <w:color w:val="auto"/>
              </w:rPr>
            </w:pPr>
          </w:p>
        </w:tc>
      </w:tr>
      <w:tr>
        <w:trPr>
          <w:trHeight w:val="202"/>
        </w:trPr>
        <w:tc>
          <w:tcPr>
            <w:tcW w:w="170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Mark A. Schallenberger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14,000</w:t>
            </w:r>
          </w:p>
        </w:tc>
        <w:tc>
          <w:tcPr>
            <w:tcW w:w="16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14,000</w:t>
            </w: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C. Neils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14,000</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16,828</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30,828</w:t>
            </w:r>
          </w:p>
        </w:tc>
        <w:tc>
          <w:tcPr>
            <w:tcW w:w="1680" w:type="dxa"/>
            <w:vAlign w:val="bottom"/>
          </w:tcPr>
          <w:p>
            <w:pPr>
              <w:spacing w:after="0"/>
              <w:rPr>
                <w:sz w:val="17"/>
                <w:szCs w:val="17"/>
                <w:color w:val="auto"/>
              </w:rPr>
            </w:pPr>
          </w:p>
        </w:tc>
      </w:tr>
      <w:tr>
        <w:trPr>
          <w:trHeight w:val="410"/>
        </w:trPr>
        <w:tc>
          <w:tcPr>
            <w:tcW w:w="17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Employment and Other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Employment Agreements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Effective October 7, 2019, we entered into an employment agreement with Sean E. Browne, our President and Chief Executive Officer, which provides for an initial annual base salary of $600,000 (which was subsequently increased to $624,000 in February 2024) and a target annual bonus opportunity equal to 100% of his annual base salary. We agreed to reimburse his reasonable travel and business expenses. Our agreement with Mr. Browne also contains standard confidentiality, non-competition, non-solicitation and assignment of intellectual property provisions, as well as standard severance and change in control provisions. Effective November 7, 2024, we entered into an amendment to Mr. Browne’s employment agreement to make certain changes to the provisions regarding termination by the Company without “cause” or by Mr. Browne for “good reason” in connection with or within 12 months after a “change in control” (as such terms are defined in the agreement) and the definition of “change in control”. The severance and change in control provisions, as amended, are described under “—Potential Payments upon Termination or Change in Control.”</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Effective June 1, 2022, we entered into an employment agreement with Scott C. Neils, our Chief Financial Officer, which provided for an initial annual base salary of $400,000 (which was subsequently increased to $416,000) and a target annual bonus opportunity equal to 50% of his annual base salary. Our agreement with Mr. Neils also contains standard confidentiality, non-competition, non-solicitation and assignment of intellectual property provisions, as well as standard severance and change in control provisions, which are described under “—Potential Payments upon Termination or Change in Control.”</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Effective January 16, 2023, we entered into an employment agreement with Mark A. Schallenberger, formally our Chief Operations Officer and currently our Chief Operating Officer, which provided for an annual base salary $400,000 (which was subsequently increased to $461,760) and a target annual bonus opportunity equal to 50% of his annual base salary (which was subsequently increased to 75%). Our agreement with Mr. Schallenberger also contains standard confidentiality, non-competition, non-solicitation and assignment of intellectual property provisions, as well as standard severance and change in control provisions, which are described under “—Potential Payments upon Termination or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Consulting Agreement with Mark A. Schallenberger</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Prior to his employment as our Chief Operations Officer, we entered into a two-month consulting agreement with Mark A. Schallenberger, effective as of December 29, 2022. Pursuant to the consulting agreement, we agreed to pay Mr. Schallenberger $25,000 as an up-front payment for services to be rendered and an additional $25,000 upon completion of the project contemplated therein, which final payment was made in 2024. The consulting agreement terminated in accordance with its terms.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 Agreements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entered into indemnification agreements with our executive officers that require us to indemnify them against certain liabilities that may arise by reason of their status or service as directors or executive officers to the fullest extent permitted by applicable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Retirement Plan</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We have a 401(k) plan for our employees. The 401(k) plan is a defined contribution plan covering substantially all of our employees. Employees are eligible to participate in the plan on the first day of any month after starting employment. Employees are allowed to contribute a percentage of their wages to the 401(k) plan, subject to statutorily prescribed limits and are subject to a discretionary employer match of 100% of their wage deferrals not in excess of 4% of their wages.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Equity Awards at Fiscal Year-End</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table below provides information regarding unexercised option awards and unvested stock awards held by each of our named executive officers that remained outstanding at our fiscal year-end, December 31, 2025. All of the outstanding equity awards described below were either granted under the Xtant Medical Holdings, Inc. 2023 Equity Incentive Plan (as subsequently amended, the “2023 Plan”) or the Xtant Medical Holdings, Inc. 2018 Equity Incentive Plan (as subsequently amended, the “2018 Plan”).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ind w:left="660"/>
              <w:spacing w:after="0"/>
              <w:rPr>
                <w:sz w:val="20"/>
                <w:szCs w:val="20"/>
                <w:color w:val="auto"/>
              </w:rPr>
            </w:pPr>
            <w:r>
              <w:rPr>
                <w:rFonts w:ascii="Times New Roman" w:cs="Times New Roman" w:eastAsia="Times New Roman" w:hAnsi="Times New Roman"/>
                <w:sz w:val="17"/>
                <w:szCs w:val="17"/>
                <w:b w:val="1"/>
                <w:bCs w:val="1"/>
                <w:color w:val="auto"/>
                <w:w w:val="96"/>
              </w:rPr>
              <w:t>Option Awards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Borders>
              <w:top w:val="single" w:sz="8" w:color="auto"/>
            </w:tcBorders>
            <w:gridSpan w:val="2"/>
          </w:tcPr>
          <w:p>
            <w:pPr>
              <w:jc w:val="center"/>
              <w:ind w:right="120"/>
              <w:spacing w:after="0" w:line="182"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2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jc w:val="center"/>
              <w:ind w:right="340"/>
              <w:spacing w:after="0" w:line="182"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top w:val="single" w:sz="8" w:color="auto"/>
            </w:tcBorders>
            <w:gridSpan w:val="2"/>
          </w:tcPr>
          <w:p>
            <w:pPr>
              <w:jc w:val="center"/>
              <w:ind w:right="180"/>
              <w:spacing w:after="0" w:line="182"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w w:val="96"/>
              </w:rPr>
              <w:t>Market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Shares or</w:t>
            </w:r>
          </w:p>
        </w:tc>
        <w:tc>
          <w:tcPr>
            <w:tcW w:w="1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of Shares or</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Units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Units of</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22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2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Stock that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Stock that</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24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12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2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Have Not</w:t>
            </w: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22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Exercisable</w:t>
            </w:r>
          </w:p>
        </w:tc>
        <w:tc>
          <w:tcPr>
            <w:tcW w:w="220" w:type="dxa"/>
            <w:vAlign w:val="bottom"/>
          </w:tcPr>
          <w:p>
            <w:pPr>
              <w:spacing w:after="0"/>
              <w:rPr>
                <w:sz w:val="21"/>
                <w:szCs w:val="21"/>
                <w:color w:val="auto"/>
              </w:rPr>
            </w:pPr>
          </w:p>
        </w:tc>
        <w:tc>
          <w:tcPr>
            <w:tcW w:w="1520" w:type="dxa"/>
            <w:vAlign w:val="bottom"/>
            <w:gridSpan w:val="2"/>
          </w:tcPr>
          <w:p>
            <w:pPr>
              <w:jc w:val="center"/>
              <w:ind w:right="340"/>
              <w:spacing w:after="0" w:line="251" w:lineRule="exact"/>
              <w:rPr>
                <w:sz w:val="20"/>
                <w:szCs w:val="20"/>
                <w:color w:val="auto"/>
              </w:rPr>
            </w:pPr>
            <w:r>
              <w:rPr>
                <w:rFonts w:ascii="Times New Roman" w:cs="Times New Roman" w:eastAsia="Times New Roman" w:hAnsi="Times New Roman"/>
                <w:sz w:val="17"/>
                <w:szCs w:val="17"/>
                <w:b w:val="1"/>
                <w:bCs w:val="1"/>
                <w:color w:val="auto"/>
                <w:w w:val="95"/>
              </w:rPr>
              <w:t>Unexercisable</w:t>
            </w:r>
            <w:r>
              <w:rPr>
                <w:rFonts w:ascii="Times New Roman" w:cs="Times New Roman" w:eastAsia="Times New Roman" w:hAnsi="Times New Roman"/>
                <w:sz w:val="28"/>
                <w:szCs w:val="28"/>
                <w:b w:val="1"/>
                <w:bCs w:val="1"/>
                <w:color w:val="auto"/>
                <w:w w:val="95"/>
                <w:vertAlign w:val="superscript"/>
              </w:rPr>
              <w:t>(1)</w:t>
            </w: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120" w:type="dxa"/>
            <w:vAlign w:val="bottom"/>
            <w:tcBorders>
              <w:right w:val="single" w:sz="8" w:color="auto"/>
            </w:tcBorders>
            <w:gridSpan w:val="2"/>
          </w:tcPr>
          <w:p>
            <w:pPr>
              <w:jc w:val="center"/>
              <w:ind w:right="100"/>
              <w:spacing w:after="0" w:line="251" w:lineRule="exact"/>
              <w:rPr>
                <w:sz w:val="20"/>
                <w:szCs w:val="20"/>
                <w:color w:val="auto"/>
              </w:rPr>
            </w:pPr>
            <w:r>
              <w:rPr>
                <w:rFonts w:ascii="Times New Roman" w:cs="Times New Roman" w:eastAsia="Times New Roman" w:hAnsi="Times New Roman"/>
                <w:sz w:val="17"/>
                <w:szCs w:val="17"/>
                <w:b w:val="1"/>
                <w:bCs w:val="1"/>
                <w:color w:val="auto"/>
                <w:w w:val="89"/>
              </w:rPr>
              <w:t>Date</w:t>
            </w:r>
            <w:r>
              <w:rPr>
                <w:rFonts w:ascii="Times New Roman" w:cs="Times New Roman" w:eastAsia="Times New Roman" w:hAnsi="Times New Roman"/>
                <w:sz w:val="28"/>
                <w:szCs w:val="28"/>
                <w:b w:val="1"/>
                <w:bCs w:val="1"/>
                <w:color w:val="auto"/>
                <w:w w:val="89"/>
                <w:vertAlign w:val="superscript"/>
              </w:rPr>
              <w:t>(2)</w:t>
            </w:r>
          </w:p>
        </w:tc>
        <w:tc>
          <w:tcPr>
            <w:tcW w:w="200" w:type="dxa"/>
            <w:vAlign w:val="bottom"/>
          </w:tcPr>
          <w:p>
            <w:pPr>
              <w:spacing w:after="0"/>
              <w:rPr>
                <w:sz w:val="21"/>
                <w:szCs w:val="21"/>
                <w:color w:val="auto"/>
              </w:rPr>
            </w:pPr>
          </w:p>
        </w:tc>
        <w:tc>
          <w:tcPr>
            <w:tcW w:w="1160" w:type="dxa"/>
            <w:vAlign w:val="bottom"/>
            <w:gridSpan w:val="2"/>
          </w:tcPr>
          <w:p>
            <w:pPr>
              <w:jc w:val="center"/>
              <w:ind w:right="160"/>
              <w:spacing w:after="0" w:line="251" w:lineRule="exact"/>
              <w:rPr>
                <w:sz w:val="20"/>
                <w:szCs w:val="20"/>
                <w:color w:val="auto"/>
              </w:rPr>
            </w:pPr>
            <w:r>
              <w:rPr>
                <w:rFonts w:ascii="Times New Roman" w:cs="Times New Roman" w:eastAsia="Times New Roman" w:hAnsi="Times New Roman"/>
                <w:sz w:val="17"/>
                <w:szCs w:val="17"/>
                <w:b w:val="1"/>
                <w:bCs w:val="1"/>
                <w:color w:val="auto"/>
                <w:w w:val="90"/>
              </w:rPr>
              <w:t>Vested</w:t>
            </w:r>
            <w:r>
              <w:rPr>
                <w:rFonts w:ascii="Times New Roman" w:cs="Times New Roman" w:eastAsia="Times New Roman" w:hAnsi="Times New Roman"/>
                <w:sz w:val="28"/>
                <w:szCs w:val="28"/>
                <w:b w:val="1"/>
                <w:bCs w:val="1"/>
                <w:color w:val="auto"/>
                <w:w w:val="90"/>
                <w:vertAlign w:val="superscript"/>
              </w:rPr>
              <w:t>(3)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center"/>
              <w:ind w:right="200"/>
              <w:spacing w:after="0" w:line="251" w:lineRule="exact"/>
              <w:rPr>
                <w:sz w:val="20"/>
                <w:szCs w:val="20"/>
                <w:color w:val="auto"/>
              </w:rPr>
            </w:pPr>
            <w:r>
              <w:rPr>
                <w:rFonts w:ascii="Times New Roman" w:cs="Times New Roman" w:eastAsia="Times New Roman" w:hAnsi="Times New Roman"/>
                <w:sz w:val="17"/>
                <w:szCs w:val="17"/>
                <w:b w:val="1"/>
                <w:bCs w:val="1"/>
                <w:color w:val="auto"/>
                <w:w w:val="87"/>
              </w:rPr>
              <w:t>Vested</w:t>
            </w:r>
            <w:r>
              <w:rPr>
                <w:rFonts w:ascii="Times New Roman" w:cs="Times New Roman" w:eastAsia="Times New Roman" w:hAnsi="Times New Roman"/>
                <w:sz w:val="28"/>
                <w:szCs w:val="28"/>
                <w:b w:val="1"/>
                <w:bCs w:val="1"/>
                <w:color w:val="auto"/>
                <w:w w:val="87"/>
                <w:vertAlign w:val="superscript"/>
              </w:rPr>
              <w:t>(4)</w:t>
            </w:r>
          </w:p>
        </w:tc>
        <w:tc>
          <w:tcPr>
            <w:tcW w:w="0" w:type="dxa"/>
            <w:vAlign w:val="bottom"/>
          </w:tcPr>
          <w:p>
            <w:pPr>
              <w:spacing w:after="0"/>
              <w:rPr>
                <w:sz w:val="1"/>
                <w:szCs w:val="1"/>
                <w:color w:val="auto"/>
              </w:rPr>
            </w:pPr>
          </w:p>
        </w:tc>
      </w:tr>
      <w:tr>
        <w:trPr>
          <w:trHeight w:val="194"/>
        </w:trPr>
        <w:tc>
          <w:tcPr>
            <w:tcW w:w="17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Sean E. Browne</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7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2025-2027 PSUs</w:t>
            </w:r>
            <w:r>
              <w:rPr>
                <w:rFonts w:ascii="Times New Roman" w:cs="Times New Roman" w:eastAsia="Times New Roman" w:hAnsi="Times New Roman"/>
                <w:sz w:val="27"/>
                <w:szCs w:val="27"/>
                <w:color w:val="auto"/>
                <w:vertAlign w:val="superscript"/>
              </w:rPr>
              <w:t>(5)</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11/15/2025</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34,994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27,295</w:t>
            </w:r>
          </w:p>
        </w:tc>
        <w:tc>
          <w:tcPr>
            <w:tcW w:w="0" w:type="dxa"/>
            <w:vAlign w:val="bottom"/>
          </w:tcPr>
          <w:p>
            <w:pPr>
              <w:spacing w:after="0"/>
              <w:rPr>
                <w:sz w:val="1"/>
                <w:szCs w:val="1"/>
                <w:color w:val="auto"/>
              </w:rPr>
            </w:pPr>
          </w:p>
        </w:tc>
      </w:tr>
      <w:tr>
        <w:trPr>
          <w:trHeight w:val="240"/>
        </w:trPr>
        <w:tc>
          <w:tcPr>
            <w:tcW w:w="17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2024-2026 PSUs</w:t>
            </w:r>
            <w:r>
              <w:rPr>
                <w:rFonts w:ascii="Times New Roman" w:cs="Times New Roman" w:eastAsia="Times New Roman" w:hAnsi="Times New Roman"/>
                <w:sz w:val="27"/>
                <w:szCs w:val="27"/>
                <w:color w:val="auto"/>
                <w:vertAlign w:val="superscript"/>
              </w:rPr>
              <w:t>(6)</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04/03/2024</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365,816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285,336</w:t>
            </w:r>
          </w:p>
        </w:tc>
        <w:tc>
          <w:tcPr>
            <w:tcW w:w="0" w:type="dxa"/>
            <w:vAlign w:val="bottom"/>
          </w:tcPr>
          <w:p>
            <w:pPr>
              <w:spacing w:after="0"/>
              <w:rPr>
                <w:sz w:val="1"/>
                <w:szCs w:val="1"/>
                <w:color w:val="auto"/>
              </w:rPr>
            </w:pPr>
          </w:p>
        </w:tc>
      </w:tr>
      <w:tr>
        <w:trPr>
          <w:trHeight w:val="240"/>
        </w:trPr>
        <w:tc>
          <w:tcPr>
            <w:tcW w:w="17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RSUs</w:t>
            </w:r>
            <w:r>
              <w:rPr>
                <w:rFonts w:ascii="Times New Roman" w:cs="Times New Roman" w:eastAsia="Times New Roman" w:hAnsi="Times New Roman"/>
                <w:sz w:val="27"/>
                <w:szCs w:val="27"/>
                <w:color w:val="auto"/>
                <w:vertAlign w:val="superscript"/>
              </w:rPr>
              <w:t>(7)</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08/15/2023</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87,108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67,944</w:t>
            </w:r>
          </w:p>
        </w:tc>
        <w:tc>
          <w:tcPr>
            <w:tcW w:w="0" w:type="dxa"/>
            <w:vAlign w:val="bottom"/>
          </w:tcPr>
          <w:p>
            <w:pPr>
              <w:spacing w:after="0"/>
              <w:rPr>
                <w:sz w:val="1"/>
                <w:szCs w:val="1"/>
                <w:color w:val="auto"/>
              </w:rPr>
            </w:pPr>
          </w:p>
        </w:tc>
      </w:tr>
      <w:tr>
        <w:trPr>
          <w:trHeight w:val="240"/>
        </w:trPr>
        <w:tc>
          <w:tcPr>
            <w:tcW w:w="17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DSUs</w:t>
            </w:r>
            <w:r>
              <w:rPr>
                <w:rFonts w:ascii="Times New Roman" w:cs="Times New Roman" w:eastAsia="Times New Roman" w:hAnsi="Times New Roman"/>
                <w:sz w:val="27"/>
                <w:szCs w:val="27"/>
                <w:color w:val="auto"/>
                <w:vertAlign w:val="superscript"/>
              </w:rPr>
              <w:t>(8)</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11/15/2025</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394,937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308,051</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04/03/2024</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548,724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428,005</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10/15/2019</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2.70</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10/15/2029</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11/15/2020</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1,468,859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11/15/2030</w:t>
            </w: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08/15/2023</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88,923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1.20</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08/15/2033</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17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Scott C. Neils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70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2025-2027 PSUs</w:t>
            </w:r>
            <w:r>
              <w:rPr>
                <w:rFonts w:ascii="Times New Roman" w:cs="Times New Roman" w:eastAsia="Times New Roman" w:hAnsi="Times New Roman"/>
                <w:sz w:val="27"/>
                <w:szCs w:val="27"/>
                <w:color w:val="auto"/>
                <w:vertAlign w:val="superscript"/>
              </w:rPr>
              <w:t>(5)</w:t>
            </w: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11/15/2025</w:t>
            </w:r>
          </w:p>
        </w:tc>
        <w:tc>
          <w:tcPr>
            <w:tcW w:w="2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26,329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20,537</w:t>
            </w:r>
          </w:p>
        </w:tc>
        <w:tc>
          <w:tcPr>
            <w:tcW w:w="0" w:type="dxa"/>
            <w:vAlign w:val="bottom"/>
          </w:tcPr>
          <w:p>
            <w:pPr>
              <w:spacing w:after="0"/>
              <w:rPr>
                <w:sz w:val="1"/>
                <w:szCs w:val="1"/>
                <w:color w:val="auto"/>
              </w:rPr>
            </w:pPr>
          </w:p>
        </w:tc>
      </w:tr>
      <w:tr>
        <w:trPr>
          <w:trHeight w:val="240"/>
        </w:trPr>
        <w:tc>
          <w:tcPr>
            <w:tcW w:w="170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2024-2026 PSUs</w:t>
            </w:r>
            <w:r>
              <w:rPr>
                <w:rFonts w:ascii="Times New Roman" w:cs="Times New Roman" w:eastAsia="Times New Roman" w:hAnsi="Times New Roman"/>
                <w:sz w:val="27"/>
                <w:szCs w:val="27"/>
                <w:color w:val="auto"/>
                <w:vertAlign w:val="superscript"/>
              </w:rPr>
              <w:t>(6)</w:t>
            </w: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04/03/2024</w:t>
            </w:r>
          </w:p>
        </w:tc>
        <w:tc>
          <w:tcPr>
            <w:tcW w:w="2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88,776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69,245</w:t>
            </w:r>
          </w:p>
        </w:tc>
        <w:tc>
          <w:tcPr>
            <w:tcW w:w="0" w:type="dxa"/>
            <w:vAlign w:val="bottom"/>
          </w:tcPr>
          <w:p>
            <w:pPr>
              <w:spacing w:after="0"/>
              <w:rPr>
                <w:sz w:val="1"/>
                <w:szCs w:val="1"/>
                <w:color w:val="auto"/>
              </w:rPr>
            </w:pPr>
          </w:p>
        </w:tc>
      </w:tr>
      <w:tr>
        <w:trPr>
          <w:trHeight w:val="238"/>
        </w:trPr>
        <w:tc>
          <w:tcPr>
            <w:tcW w:w="1700" w:type="dxa"/>
            <w:vAlign w:val="bottom"/>
          </w:tcPr>
          <w:p>
            <w:pPr>
              <w:spacing w:after="0" w:line="237" w:lineRule="exact"/>
              <w:rPr>
                <w:sz w:val="20"/>
                <w:szCs w:val="20"/>
                <w:color w:val="auto"/>
              </w:rPr>
            </w:pPr>
            <w:r>
              <w:rPr>
                <w:rFonts w:ascii="Times New Roman" w:cs="Times New Roman" w:eastAsia="Times New Roman" w:hAnsi="Times New Roman"/>
                <w:sz w:val="16"/>
                <w:szCs w:val="16"/>
                <w:color w:val="auto"/>
              </w:rPr>
              <w:t>RSUs</w:t>
            </w:r>
            <w:r>
              <w:rPr>
                <w:rFonts w:ascii="Times New Roman" w:cs="Times New Roman" w:eastAsia="Times New Roman" w:hAnsi="Times New Roman"/>
                <w:sz w:val="27"/>
                <w:szCs w:val="27"/>
                <w:color w:val="auto"/>
                <w:vertAlign w:val="superscript"/>
              </w:rPr>
              <w:t>(7)</w:t>
            </w: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01/15/2022</w:t>
            </w:r>
          </w:p>
        </w:tc>
        <w:tc>
          <w:tcPr>
            <w:tcW w:w="2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22,246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17,352</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08/15/2022</w:t>
            </w:r>
          </w:p>
        </w:tc>
        <w:tc>
          <w:tcPr>
            <w:tcW w:w="2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62,974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49,120</w:t>
            </w:r>
          </w:p>
        </w:tc>
        <w:tc>
          <w:tcPr>
            <w:tcW w:w="0" w:type="dxa"/>
            <w:vAlign w:val="bottom"/>
          </w:tcPr>
          <w:p>
            <w:pPr>
              <w:spacing w:after="0"/>
              <w:rPr>
                <w:sz w:val="1"/>
                <w:szCs w:val="1"/>
                <w:color w:val="auto"/>
              </w:rPr>
            </w:pPr>
          </w:p>
        </w:tc>
      </w:tr>
      <w:tr>
        <w:trPr>
          <w:trHeight w:val="218"/>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DSUs</w:t>
            </w:r>
            <w:r>
              <w:rPr>
                <w:rFonts w:ascii="Times New Roman" w:cs="Times New Roman" w:eastAsia="Times New Roman" w:hAnsi="Times New Roman"/>
                <w:sz w:val="28"/>
                <w:szCs w:val="28"/>
                <w:color w:val="auto"/>
                <w:vertAlign w:val="superscript"/>
              </w:rPr>
              <w:t>(8)</w:t>
            </w: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08/15/2023</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58,072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45,296</w:t>
            </w:r>
          </w:p>
        </w:tc>
        <w:tc>
          <w:tcPr>
            <w:tcW w:w="0" w:type="dxa"/>
            <w:vAlign w:val="bottom"/>
          </w:tcPr>
          <w:p>
            <w:pPr>
              <w:spacing w:after="0"/>
              <w:rPr>
                <w:sz w:val="1"/>
                <w:szCs w:val="1"/>
                <w:color w:val="auto"/>
              </w:rPr>
            </w:pPr>
          </w:p>
        </w:tc>
      </w:tr>
      <w:tr>
        <w:trPr>
          <w:trHeight w:val="224"/>
        </w:trPr>
        <w:tc>
          <w:tcPr>
            <w:tcW w:w="1700" w:type="dxa"/>
            <w:vAlign w:val="bottom"/>
            <w:vMerge w:val="continue"/>
          </w:tcPr>
          <w:p>
            <w:pPr>
              <w:spacing w:after="0"/>
              <w:rPr>
                <w:sz w:val="19"/>
                <w:szCs w:val="19"/>
                <w:color w:val="auto"/>
              </w:rPr>
            </w:pP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11/15/2025</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263,291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205,367</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04/03/2024</w:t>
            </w:r>
          </w:p>
        </w:tc>
        <w:tc>
          <w:tcPr>
            <w:tcW w:w="2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133,164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103,868</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11/15/2019</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20,508</w:t>
            </w:r>
          </w:p>
        </w:tc>
        <w:tc>
          <w:tcPr>
            <w:tcW w:w="22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11/15/2029</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08/15/2021</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96,154</w:t>
            </w:r>
          </w:p>
        </w:tc>
        <w:tc>
          <w:tcPr>
            <w:tcW w:w="22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1.27</w:t>
            </w: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08/15/2031</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01/15/2022</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102,341</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6,823</w:t>
            </w:r>
          </w:p>
        </w:tc>
        <w:tc>
          <w:tcPr>
            <w:tcW w:w="24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0.648</w:t>
            </w: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01/15/2032</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08/15/2023</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76,219</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59,282</w:t>
            </w:r>
          </w:p>
        </w:tc>
        <w:tc>
          <w:tcPr>
            <w:tcW w:w="2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1.20</w:t>
            </w: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08/15/2033</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A. Schallenberger</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7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2025-2027 PSUs</w:t>
            </w:r>
            <w:r>
              <w:rPr>
                <w:rFonts w:ascii="Times New Roman" w:cs="Times New Roman" w:eastAsia="Times New Roman" w:hAnsi="Times New Roman"/>
                <w:sz w:val="27"/>
                <w:szCs w:val="27"/>
                <w:color w:val="auto"/>
                <w:vertAlign w:val="superscript"/>
              </w:rPr>
              <w:t>(5)</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11/15/2025</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29,225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22,796</w:t>
            </w:r>
          </w:p>
        </w:tc>
        <w:tc>
          <w:tcPr>
            <w:tcW w:w="0" w:type="dxa"/>
            <w:vAlign w:val="bottom"/>
          </w:tcPr>
          <w:p>
            <w:pPr>
              <w:spacing w:after="0"/>
              <w:rPr>
                <w:sz w:val="1"/>
                <w:szCs w:val="1"/>
                <w:color w:val="auto"/>
              </w:rPr>
            </w:pPr>
          </w:p>
        </w:tc>
      </w:tr>
      <w:tr>
        <w:trPr>
          <w:trHeight w:val="240"/>
        </w:trPr>
        <w:tc>
          <w:tcPr>
            <w:tcW w:w="17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2024-2026 PSUs</w:t>
            </w:r>
            <w:r>
              <w:rPr>
                <w:rFonts w:ascii="Times New Roman" w:cs="Times New Roman" w:eastAsia="Times New Roman" w:hAnsi="Times New Roman"/>
                <w:sz w:val="27"/>
                <w:szCs w:val="27"/>
                <w:color w:val="auto"/>
                <w:vertAlign w:val="superscript"/>
              </w:rPr>
              <w:t>(6)</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04/03/2024</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86,735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67,653</w:t>
            </w:r>
          </w:p>
        </w:tc>
        <w:tc>
          <w:tcPr>
            <w:tcW w:w="0" w:type="dxa"/>
            <w:vAlign w:val="bottom"/>
          </w:tcPr>
          <w:p>
            <w:pPr>
              <w:spacing w:after="0"/>
              <w:rPr>
                <w:sz w:val="1"/>
                <w:szCs w:val="1"/>
                <w:color w:val="auto"/>
              </w:rPr>
            </w:pPr>
          </w:p>
        </w:tc>
      </w:tr>
      <w:tr>
        <w:trPr>
          <w:trHeight w:val="240"/>
        </w:trPr>
        <w:tc>
          <w:tcPr>
            <w:tcW w:w="17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RSUs</w:t>
            </w:r>
            <w:r>
              <w:rPr>
                <w:rFonts w:ascii="Times New Roman" w:cs="Times New Roman" w:eastAsia="Times New Roman" w:hAnsi="Times New Roman"/>
                <w:sz w:val="27"/>
                <w:szCs w:val="27"/>
                <w:color w:val="auto"/>
                <w:vertAlign w:val="superscript"/>
              </w:rPr>
              <w:t>(7)</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02/15/2023</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44,500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34,710</w:t>
            </w:r>
          </w:p>
        </w:tc>
        <w:tc>
          <w:tcPr>
            <w:tcW w:w="0" w:type="dxa"/>
            <w:vAlign w:val="bottom"/>
          </w:tcPr>
          <w:p>
            <w:pPr>
              <w:spacing w:after="0"/>
              <w:rPr>
                <w:sz w:val="1"/>
                <w:szCs w:val="1"/>
                <w:color w:val="auto"/>
              </w:rPr>
            </w:pPr>
          </w:p>
        </w:tc>
      </w:tr>
      <w:tr>
        <w:trPr>
          <w:trHeight w:val="202"/>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DSUs</w:t>
            </w:r>
            <w:r>
              <w:rPr>
                <w:rFonts w:ascii="Times New Roman" w:cs="Times New Roman" w:eastAsia="Times New Roman" w:hAnsi="Times New Roman"/>
                <w:sz w:val="28"/>
                <w:szCs w:val="28"/>
                <w:color w:val="auto"/>
                <w:vertAlign w:val="superscript"/>
              </w:rPr>
              <w:t>(8)</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08/15/2023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58,072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45,296</w:t>
            </w:r>
          </w:p>
        </w:tc>
        <w:tc>
          <w:tcPr>
            <w:tcW w:w="0" w:type="dxa"/>
            <w:vAlign w:val="bottom"/>
          </w:tcPr>
          <w:p>
            <w:pPr>
              <w:spacing w:after="0"/>
              <w:rPr>
                <w:sz w:val="1"/>
                <w:szCs w:val="1"/>
                <w:color w:val="auto"/>
              </w:rPr>
            </w:pPr>
          </w:p>
        </w:tc>
      </w:tr>
      <w:tr>
        <w:trPr>
          <w:trHeight w:val="240"/>
        </w:trPr>
        <w:tc>
          <w:tcPr>
            <w:tcW w:w="17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11/15/2025</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292,253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227,957</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04/03/2024</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130,102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101,480</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02/15/2023</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72,187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32,813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0.77</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02/15/2033</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5"/>
              </w:rPr>
              <w:t>08/15/2023</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59,282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1.20</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08/15/2033</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jc w:val="both"/>
        <w:ind w:left="600" w:hanging="599"/>
        <w:spacing w:after="0" w:line="256" w:lineRule="auto"/>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stock options vest over a four-year period, with 25% of the underlying shares vesting on the one-year anniversary of the grant date and the remaining 75% of such shares over the three-year period thereafter in 12 as nearly equal as possible quarterly installments. Options will vest in full immediately if they are not continued, assumed or substituted with equivalent awards upon a change in control or in the event of a termination of employment up to one year following a change in control, and a pro rata percentage will vest immediately if the executive dies.</w:t>
      </w:r>
    </w:p>
    <w:p>
      <w:pPr>
        <w:spacing w:after="0" w:line="174"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options awards have a 10-year term but may terminate earlier if the recipient’s employment or service relationship with the Company terminates.</w:t>
      </w:r>
    </w:p>
    <w:p>
      <w:pPr>
        <w:spacing w:after="0" w:line="207"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SEC rules, the number of PSUs shown represents the number of units that may be earned as of December 31, 2025 based on threshold performance. The SEC rules require that the threshold number of units be disclosed because the number of units that would have been earned based on actual results under the performance conditions for the respective performance periods was below the threshold level of performance under the program as of December 31,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3" w:name="page94"/>
    <w:bookmarkEnd w:id="93"/>
    <w:p>
      <w:pPr>
        <w:ind w:left="600" w:hanging="599"/>
        <w:spacing w:after="0"/>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closing price of our common stock on December 31, 2025 ($0.78), as reported by the NYSE American.</w:t>
      </w:r>
    </w:p>
    <w:p>
      <w:pPr>
        <w:spacing w:after="0" w:line="207"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2025-2027 PSU awards will vest, if at all, solely based on our stock price performance established for the three-year performance period, which will end on December 31, 2027. In addition, the PSU awards will vest earlier upon certain terminations of employment and upon a change in control if the award is not continued, assumed, or substituted with equivalent awards by the successor entity. Amounts reported represent the number of PSU awards that were in progress based on threshold levels of performance through December 31, 2027.</w:t>
      </w:r>
    </w:p>
    <w:p>
      <w:pPr>
        <w:spacing w:after="0" w:line="174"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2024-2026 PSU awards will vest, if at all, solely based on the achievement of relative total stockholder return performance goals established for the three-year performance period, which will end on December 31, 2026. In addition, the PSU awards will vest earlier upon certain terminations of employment and upon a change in control if the award is not continued, assumed, or substituted with equivalent awards by the successor entity. Amounts reported represent the number of PSU awards that were in progress based on threshold levels of performance through December 31, 2026.</w:t>
      </w:r>
    </w:p>
    <w:p>
      <w:pPr>
        <w:spacing w:after="0" w:line="174"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RSU awards vest in nearly equal installments annually over a four-year period beginning on the one-year anniversary of the grant date. RSU awards will vest in full immediately if they are not continued, assumed or substituted with equivalent awards upon a change in control or in the event of a termination of employment up to one year following a change in control, and a pro rata percentage will vest immediately if the executive dies.</w:t>
      </w:r>
    </w:p>
    <w:p>
      <w:pPr>
        <w:spacing w:after="0" w:line="169"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DSU awards vest in nearly equal installments annually over a four-year period beginning on the one-year anniversary of the grant date. DSU awards will vest in full immediately if they are not continued, assumed or substituted with equivalent awards upon a change in control or in the event of a termination of employment up to one year following a change in control, and a pro rata percentage will vest immediately if the executive dies.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Xtant Medical Holdings, Inc. 2023 Equity Incentive Plan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2023, the Board and the Company’s stockholders approved and adopted the 2023 Plan and in 2025, the Board and the Company’s stockholders approved and adopted an amendment to the 2023 Plan to increase the number of shares available for issuance by an additional 12,300,000 shares. The purpose of the 2023 Plan is to advance the interests of the Company and our stockholders by enabling us to attract and retain qualified individuals to perform services, provide incentive compensation for such individuals in a form that is linked to the growth and profitability of our company and increases in stockholder value, and provide opportunities for equity participation that align the interests of participants with those of our stockholders.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2023 Plan replaced the 2018 Plan. However, the terms of the 2018 Plan continue to govern awards outstanding under the 2018 Plan until exercised, expired, paid, or otherwise terminated or canceled.</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2023 Plan permits the Board, or a committee or subcommittee thereof, to grant to eligible employees, non-employee directors, and consultants of the Company non-statutory and incentive stock options, stock appreciation rights, restricted stock awards, RSUs, DSUs, performance awards (including PSUs), non-employee director awards, and other stock-based awards. Subject to adjustment, the maximum number of shares of our common stock authorized for issuance under the 2023 Plan is 32,101,902 shares. To date, we have granted stock options, RSUs, DSUs, and PSUs under the 2023 Plan. As of December 31, 2025, 12,966,721 shares of our common stock remained available for issuance under the 2023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Policies and Practices Related to the Grant of Certain Equity Awards Close to Time to the Release of Material Nonpublic Information</w:t>
      </w:r>
    </w:p>
    <w:p>
      <w:pPr>
        <w:spacing w:after="0" w:line="212" w:lineRule="exact"/>
        <w:rPr>
          <w:sz w:val="20"/>
          <w:szCs w:val="20"/>
          <w:color w:val="auto"/>
        </w:rPr>
      </w:pPr>
    </w:p>
    <w:p>
      <w:pPr>
        <w:jc w:val="both"/>
        <w:ind w:firstLine="605"/>
        <w:spacing w:after="0" w:line="273" w:lineRule="auto"/>
        <w:rPr>
          <w:sz w:val="20"/>
          <w:szCs w:val="20"/>
          <w:color w:val="auto"/>
        </w:rPr>
      </w:pPr>
      <w:r>
        <w:rPr>
          <w:rFonts w:ascii="Times New Roman" w:cs="Times New Roman" w:eastAsia="Times New Roman" w:hAnsi="Times New Roman"/>
          <w:sz w:val="16"/>
          <w:szCs w:val="16"/>
          <w:color w:val="auto"/>
        </w:rPr>
        <w:t>During 2025, we did not grant any stock options or similar awards as part of our equity compensation program. Our 2025 equity compensation program consisted of a mix of 50% DSU or RSU awards and 50% PSU awards for our executives and certain other employees, 100% RSU awards for our other employees, and</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100% DSU or RSU awards for our non-employee directors. With respect to the timing equity awards, we typically grant all equity awards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the month following corporate approval of the awards. If we decide to grant stock options or similar awards in the future, we intend not to grant them in anticipation of the release of material nonpublic information that is likely to result in changes to the price of our common stock, such as a significant positive or negative earnings announcement, and not time the public release of such information based on stock option grant dates.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i w:val="1"/>
          <w:iCs w:val="1"/>
          <w:color w:val="auto"/>
        </w:rPr>
        <w:t>Potential Payments upon Termination or Change in Control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Employment Agreements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employment agreements with our executive officers contain severance provisions, including in connection with a change in control. The receipt of any severance by the executive officers is conditioned upon the execution of a release of claims. Under the terms of the employment agreements we have entered into with our named executive officers, if the executive’s employment is terminated by us without “cause” (as defined in the agreement), the executive will be entitled to receive a severance payment equal to 12 months of his annual base salary, payable as salary continuation, reimbursement of COBRA payments for up to 12 months, and the prorated amount of any unpaid bonus for the calendar year in which his termination of employment occurs, if earned pursuant to the terms thereof.</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Under the terms of our amended employment agreement with Mr. Browne, if his employment is terminated by us without “cause” or by him for “good reason” in connection with or within 12 months after a “change in control” (as such terms are defined in the agreement), he will be entitled to receive (i) a lump-sum severance payment equal to 1.5 times the sum of his base salary plus his annual target bonus; and (ii) if timely elected, payment of COBRA continuation coverage premiums for up to 18 months. Under the terms of our employment agreements with our other named executive officers, if the executive’s employment is terminated by us without “cause” or by the executive for “good reason” in connection with or within 12 months after a “change in control” (as such terms are defined in the agreement), the executive’s severance payment, as previously described, will be paid in one lump sum.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Award Agreements</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All equity awards held by our named executive officers have been granted under 2018 Plan or the 2023 Plan. Under the terms of the 2018 Plan and the 2023 Plan and the award agreements governing these awards, if an executive’s employment or other service with us is terminated for cause, then all outstanding awards held by such executive will be terminated and forfeited. In the event an executive’s employment or other service with us is terminated by reason of death, then:</w:t>
      </w:r>
    </w:p>
    <w:p>
      <w:pPr>
        <w:spacing w:after="0" w:line="151" w:lineRule="exact"/>
        <w:rPr>
          <w:sz w:val="20"/>
          <w:szCs w:val="20"/>
          <w:color w:val="auto"/>
        </w:rPr>
      </w:pPr>
    </w:p>
    <w:p>
      <w:pPr>
        <w:jc w:val="both"/>
        <w:ind w:left="900" w:hanging="294"/>
        <w:spacing w:after="0" w:line="261" w:lineRule="auto"/>
        <w:tabs>
          <w:tab w:leader="none" w:pos="9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stock options will vest and become exercisable immediately as to a pro rata percentage of the unvested portion of the option scheduled to vest on the next applicable vesting date, and the vested portion of the options will remain exercisable for a period of one year after the date of such termination (but in no event after the expiration date).</w:t>
      </w:r>
    </w:p>
    <w:p>
      <w:pPr>
        <w:spacing w:after="0" w:line="169"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unvested RSU awards will vest and become immediately issuable as to a pro rata percentage of the unvested portion of the RSU awards scheduled to vest on the next applicable vesting date and the unvested portion of the RSU awards will terminate.</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 rata percentage of the outstanding unvested DSU awards scheduled to vest on the next applicable vesting date will become immediately vested and settled in shares of common stock.</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 dies within one year of the grant date, the outstanding unvested PSU awards will terminate, and if the executive dies one year or more after the grant date, the PSU awards will become immediately vested with respect to that number of underlying shares of common stock subject to the PSU awards the rights to which would have vested based on the assumption that the performance goal was satisfied at the target level, prorated for the number of full months of the executive’s employment, and such vested PSU awards will be settled in shares of common stock.</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the event an executive’s employment or other service with us is terminated by reason of disability, then:</w:t>
      </w:r>
    </w:p>
    <w:p>
      <w:pPr>
        <w:spacing w:after="0" w:line="208" w:lineRule="exact"/>
        <w:rPr>
          <w:sz w:val="20"/>
          <w:szCs w:val="20"/>
          <w:color w:val="auto"/>
        </w:rPr>
      </w:pPr>
    </w:p>
    <w:p>
      <w:pPr>
        <w:ind w:left="900" w:hanging="294"/>
        <w:spacing w:after="0" w:line="274"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stock options will remain exercisable to the extent exercisable on the termination date for a period of one year after the date of such termination (but in no event after the expiration date).</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unvested RSU awards will terminate.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unvested DSU awards will terminate.</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executive’s employment terminates by reason of disability within one year of the grant date, the outstanding unvested PSU awards will terminate, and if the executive’s employment terminates by reason of disability one year or more after the grant date, the PSU awards will become immediately vested with respect to that number of underlying shares of common stock subject to the PSU awards the rights to which would have vested based on the assumption that the performance goal was satisfied at the target level, prorated for the number of full months of the executive’s employment, and such vested PSU awards will be settled in shares of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5" w:name="page96"/>
    <w:bookmarkEnd w:id="95"/>
    <w:p>
      <w:pPr>
        <w:ind w:left="600"/>
        <w:spacing w:after="0"/>
        <w:rPr>
          <w:sz w:val="20"/>
          <w:szCs w:val="20"/>
          <w:color w:val="auto"/>
        </w:rPr>
      </w:pPr>
      <w:r>
        <w:rPr>
          <w:rFonts w:ascii="Times New Roman" w:cs="Times New Roman" w:eastAsia="Times New Roman" w:hAnsi="Times New Roman"/>
          <w:sz w:val="17"/>
          <w:szCs w:val="17"/>
          <w:color w:val="auto"/>
        </w:rPr>
        <w:t>In the event an executive’s employment or other service with us is terminated for any other reason, then:</w:t>
      </w:r>
    </w:p>
    <w:p>
      <w:pPr>
        <w:spacing w:after="0" w:line="208" w:lineRule="exact"/>
        <w:rPr>
          <w:sz w:val="20"/>
          <w:szCs w:val="20"/>
          <w:color w:val="auto"/>
        </w:rPr>
      </w:pPr>
    </w:p>
    <w:p>
      <w:pPr>
        <w:ind w:left="900" w:hanging="294"/>
        <w:spacing w:after="0" w:line="274" w:lineRule="auto"/>
        <w:tabs>
          <w:tab w:leader="none" w:pos="9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stock options will remain exercisable to the extent exercisable on the termination date for a period of 90 days after the date of such termination (but in no event after the expiration date).</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unvested RSU awards will terminate.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unvested DSU awards will terminate.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unvested PSU awards will terminate.</w:t>
      </w:r>
    </w:p>
    <w:p>
      <w:pPr>
        <w:spacing w:after="0" w:line="20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In addition, the equity award agreements governing the equity awards held by our named executive officers contain “change in control” provisions. Under the award agreements, without limiting the authority of the Compensation Committee to adjust awards, if a “change in control” of the Company (as defined in the 2018 Plan and the 2023 Plan) occurs, then, unless otherwise provided in the award or other agreement, if an award is continued, assumed, or substituted by the successor entity, the award will not vest or lapse solely as a result of the change in control but will instead remain outstanding under the terms pursuant to which it has been continued, assumed, or substituted and will continue to vest or lapse pursuant to such terms. If the award is continued, assumed, or substituted by the successor entity and within one year following the change in control, the executive is either terminated by the successor entity without “cause” or, if the executive resigns for “good reason,” each as defined in the award agreement, then the outstanding option will vest and become immediately exercisable as of the termination or resignation and will remain exercisable until the earlier of the expiration of its full specified term or the first anniversary of the date of such termination or resignation, and the outstanding RSU, DSU, or PSU award will be fully vested and will be converted into shares of our common stock immediately thereafter. If an award is not continued, assumed, or substituted by the successor entity, then the outstanding option will be fully vested and exercisable, and the Compensation Committee will either give the executive a reasonable opportunity to exercise the option prior to the change in control transaction or will pay the difference between the exercise price of the option and the per share consideration paid to similarly situated stockholders. Under these conditions, the outstanding RSU or DUS or award will be fully vested and will be converted into shares of our common stock immediately thereafter and the PSU awards will become earned and paid out based on the transaction value as provided in the change in control transaction or as provided in the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Compensation Program</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director cash compensation consists of an annual cash retainer paid to each non-employee director and an additional annual cash retainer paid to the Chairman of the Board, Chair of each of our Board Committees and Board Committee members, and annual equity grants.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table below sets forth the annual cash retainers for 2025: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6"/>
        </w:trPr>
        <w:tc>
          <w:tcPr>
            <w:tcW w:w="9000" w:type="dxa"/>
            <w:vAlign w:val="bottom"/>
          </w:tcPr>
          <w:p>
            <w:pPr>
              <w:ind w:left="408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Annual Cash Retainer</w:t>
            </w:r>
          </w:p>
        </w:tc>
      </w:tr>
      <w:tr>
        <w:trPr>
          <w:trHeight w:val="195"/>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Non-Employee Director (other than Board Chairman)</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Board Chairman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110,000</w:t>
            </w:r>
          </w:p>
        </w:tc>
      </w:tr>
      <w:tr>
        <w:trPr>
          <w:trHeight w:val="20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Committee Chair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22,500</w:t>
            </w:r>
          </w:p>
        </w:tc>
      </w:tr>
      <w:tr>
        <w:trPr>
          <w:trHeight w:val="20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 Member (other than Chair)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11,250</w:t>
            </w:r>
          </w:p>
        </w:tc>
      </w:tr>
      <w:tr>
        <w:trPr>
          <w:trHeight w:val="20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Committee Chair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16,250</w:t>
            </w:r>
          </w:p>
        </w:tc>
      </w:tr>
      <w:tr>
        <w:trPr>
          <w:trHeight w:val="20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Committee Member (other than Chair)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8,125</w:t>
            </w:r>
          </w:p>
        </w:tc>
      </w:tr>
      <w:tr>
        <w:trPr>
          <w:trHeight w:val="20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Chair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218"/>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Member (other than Chair)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w:t>
            </w:r>
          </w:p>
        </w:tc>
      </w:tr>
    </w:tbl>
    <w:p>
      <w:pPr>
        <w:spacing w:after="0" w:line="169"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In addition to annual cash retainers, our non-employee director compensation program provides for annual equity grants. In 2025, annual RSU or DSU awards were granted to all of our non-employee directors, with an additional award granted to Mr. Vizirgianakis in consideration of his Chairman of the Board role and to recognize the significant time and effort he dedicated to Board matters during 2025. Because we use a 30-day volume weighted average price of our common stock to determine the number of RSUs or DSUs to grant, the grant date fair value of these awards may be different than the value we used in determining the number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7"/>
          <w:szCs w:val="17"/>
          <w:color w:val="auto"/>
        </w:rPr>
        <w:t>of RSUs or DSUs. Consistent with our equity grant policy, these equity grants were granted on November 15, 2025,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date of the month following corporate approval of the awards.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6" w:name="page97"/>
    <w:bookmarkEnd w:id="96"/>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have adopted a director education reimbursement policy, pursuant to which we will reimburse directors for all reasonable costs of attending director education programs to encourage continuing director education. Amounts reimbursed include costs associated with attending each program, including tuition, travel, lodging and meals. In addition, we will reimburse directors for the reasonable cost of subscriptions to periodicals or online information services relating to corporate governance and other subject matters relevant to board service, as well as membership fees of organizations which promote corporate governance and board education. Directors serving on multiple boards are encouraged to obtain pro rata reimbursement of their director education expenses from each corporation that they serve, but we will nonetheless reimburse 100% of the costs if this is not practicable.</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Pursuant to the 2023 Plan, the sum of any cash compensation, or other compensation, and the value of awards granted to a non-employee director as compensation for services as a non-employee director during any fiscal year may not exceed $400,000 (increased to $600,000 with respect to any non-employee director serving as the Chair of the Board or lead independent director or in the fiscal year of a non-employee director’s initial service as a non-employee director).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Compensation Table for Fiscal 2025</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table below describes the compensation earned by individuals who served as directors during fiscal 2025, other than Sean E. Browne, our President and Chief Executive Officer. Mr. Browne is not compensated separately for his service as a director, and his compensation is discussed under “—</w:t>
      </w:r>
      <w:r>
        <w:rPr>
          <w:rFonts w:ascii="Times New Roman" w:cs="Times New Roman" w:eastAsia="Times New Roman" w:hAnsi="Times New Roman"/>
          <w:sz w:val="17"/>
          <w:szCs w:val="17"/>
          <w:i w:val="1"/>
          <w:iCs w:val="1"/>
          <w:color w:val="auto"/>
        </w:rPr>
        <w:t>Executive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Fees Earned or</w:t>
            </w:r>
          </w:p>
        </w:tc>
        <w:tc>
          <w:tcPr>
            <w:tcW w:w="1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6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w w:val="97"/>
              </w:rPr>
              <w:t>Paid in Cash</w:t>
            </w:r>
          </w:p>
        </w:tc>
        <w:tc>
          <w:tcPr>
            <w:tcW w:w="120" w:type="dxa"/>
            <w:vAlign w:val="bottom"/>
          </w:tcPr>
          <w:p>
            <w:pPr>
              <w:spacing w:after="0"/>
              <w:rPr>
                <w:sz w:val="21"/>
                <w:szCs w:val="21"/>
                <w:color w:val="auto"/>
              </w:rPr>
            </w:pPr>
          </w:p>
        </w:tc>
        <w:tc>
          <w:tcPr>
            <w:tcW w:w="1360" w:type="dxa"/>
            <w:vAlign w:val="bottom"/>
            <w:gridSpan w:val="2"/>
          </w:tcPr>
          <w:p>
            <w:pPr>
              <w:jc w:val="right"/>
              <w:ind w:right="460"/>
              <w:spacing w:after="0" w:line="252" w:lineRule="exact"/>
              <w:rPr>
                <w:sz w:val="20"/>
                <w:szCs w:val="20"/>
                <w:color w:val="auto"/>
              </w:rPr>
            </w:pPr>
            <w:r>
              <w:rPr>
                <w:rFonts w:ascii="Times New Roman" w:cs="Times New Roman" w:eastAsia="Times New Roman" w:hAnsi="Times New Roman"/>
                <w:sz w:val="29"/>
                <w:szCs w:val="29"/>
                <w:b w:val="1"/>
                <w:bCs w:val="1"/>
                <w:color w:val="auto"/>
                <w:w w:val="92"/>
                <w:vertAlign w:val="subscript"/>
              </w:rPr>
              <w:t>Awards</w:t>
            </w:r>
            <w:r>
              <w:rPr>
                <w:rFonts w:ascii="Times New Roman" w:cs="Times New Roman" w:eastAsia="Times New Roman" w:hAnsi="Times New Roman"/>
                <w:sz w:val="13"/>
                <w:szCs w:val="13"/>
                <w:b w:val="1"/>
                <w:bCs w:val="1"/>
                <w:color w:val="auto"/>
                <w:w w:val="92"/>
              </w:rPr>
              <w:t>(1)(2)</w:t>
            </w:r>
          </w:p>
        </w:tc>
        <w:tc>
          <w:tcPr>
            <w:tcW w:w="160" w:type="dxa"/>
            <w:vAlign w:val="bottom"/>
          </w:tcPr>
          <w:p>
            <w:pPr>
              <w:spacing w:after="0"/>
              <w:rPr>
                <w:sz w:val="21"/>
                <w:szCs w:val="21"/>
                <w:color w:val="auto"/>
              </w:rPr>
            </w:pPr>
          </w:p>
        </w:tc>
        <w:tc>
          <w:tcPr>
            <w:tcW w:w="980" w:type="dxa"/>
            <w:vAlign w:val="bottom"/>
          </w:tcPr>
          <w:p>
            <w:pPr>
              <w:ind w:left="60"/>
              <w:spacing w:after="0" w:line="251" w:lineRule="exact"/>
              <w:rPr>
                <w:sz w:val="20"/>
                <w:szCs w:val="20"/>
                <w:color w:val="auto"/>
              </w:rPr>
            </w:pP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28"/>
                <w:szCs w:val="28"/>
                <w:b w:val="1"/>
                <w:bCs w:val="1"/>
                <w:color w:val="auto"/>
                <w:vertAlign w:val="superscript"/>
              </w:rPr>
              <w:t>(3)</w:t>
            </w:r>
          </w:p>
        </w:tc>
        <w:tc>
          <w:tcPr>
            <w:tcW w:w="340" w:type="dxa"/>
            <w:vAlign w:val="bottom"/>
          </w:tcPr>
          <w:p>
            <w:pPr>
              <w:spacing w:after="0"/>
              <w:rPr>
                <w:sz w:val="21"/>
                <w:szCs w:val="21"/>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220" w:type="dxa"/>
            <w:vAlign w:val="bottom"/>
          </w:tcPr>
          <w:p>
            <w:pPr>
              <w:spacing w:after="0"/>
              <w:rPr>
                <w:sz w:val="21"/>
                <w:szCs w:val="21"/>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4"/>
        </w:trPr>
        <w:tc>
          <w:tcPr>
            <w:tcW w:w="39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John K. Bakewell</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82,500</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102,848</w:t>
            </w: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820"/>
              <w:spacing w:after="0" w:line="194" w:lineRule="exact"/>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800"/>
              <w:spacing w:after="0" w:line="194" w:lineRule="exact"/>
              <w:rPr>
                <w:sz w:val="20"/>
                <w:szCs w:val="20"/>
                <w:color w:val="auto"/>
              </w:rPr>
            </w:pPr>
            <w:r>
              <w:rPr>
                <w:rFonts w:ascii="Times New Roman" w:cs="Times New Roman" w:eastAsia="Times New Roman" w:hAnsi="Times New Roman"/>
                <w:sz w:val="17"/>
                <w:szCs w:val="17"/>
                <w:color w:val="auto"/>
                <w:w w:val="82"/>
              </w:rPr>
              <w:t>—</w:t>
            </w: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185,348</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Jonn R. Beeson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82,865</w:t>
            </w:r>
          </w:p>
        </w:tc>
        <w:tc>
          <w:tcPr>
            <w:tcW w:w="12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102,848</w:t>
            </w:r>
          </w:p>
        </w:tc>
        <w:tc>
          <w:tcPr>
            <w:tcW w:w="160" w:type="dxa"/>
            <w:vAlign w:val="bottom"/>
          </w:tcPr>
          <w:p>
            <w:pPr>
              <w:spacing w:after="0"/>
              <w:rPr>
                <w:sz w:val="17"/>
                <w:szCs w:val="17"/>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185,713</w:t>
            </w:r>
          </w:p>
        </w:tc>
      </w:tr>
      <w:tr>
        <w:trPr>
          <w:trHeight w:val="20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Abhinav Jain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28,385</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102,848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131,233</w:t>
            </w:r>
          </w:p>
        </w:tc>
      </w:tr>
      <w:tr>
        <w:trPr>
          <w:trHeight w:val="202"/>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Tyler Lipschultz</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30,990</w:t>
            </w:r>
          </w:p>
        </w:tc>
        <w:tc>
          <w:tcPr>
            <w:tcW w:w="12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102,848</w:t>
            </w:r>
          </w:p>
        </w:tc>
        <w:tc>
          <w:tcPr>
            <w:tcW w:w="160" w:type="dxa"/>
            <w:vAlign w:val="bottom"/>
          </w:tcPr>
          <w:p>
            <w:pPr>
              <w:spacing w:after="0"/>
              <w:rPr>
                <w:sz w:val="17"/>
                <w:szCs w:val="17"/>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133,838</w:t>
            </w:r>
          </w:p>
        </w:tc>
      </w:tr>
      <w:tr>
        <w:trPr>
          <w:trHeight w:val="240"/>
        </w:trPr>
        <w:tc>
          <w:tcPr>
            <w:tcW w:w="394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Robert E. McNamara</w:t>
            </w:r>
            <w:r>
              <w:rPr>
                <w:rFonts w:ascii="Times New Roman" w:cs="Times New Roman" w:eastAsia="Times New Roman" w:hAnsi="Times New Roman"/>
                <w:sz w:val="27"/>
                <w:szCs w:val="27"/>
                <w:b w:val="1"/>
                <w:bCs w:val="1"/>
                <w:color w:val="auto"/>
                <w:vertAlign w:val="superscript"/>
              </w:rPr>
              <w:t>(4)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48,125</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48,125</w:t>
            </w:r>
          </w:p>
        </w:tc>
      </w:tr>
      <w:tr>
        <w:trPr>
          <w:trHeight w:val="240"/>
        </w:trPr>
        <w:tc>
          <w:tcPr>
            <w:tcW w:w="394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Lori D. Mitchell-Keller</w:t>
            </w:r>
            <w:r>
              <w:rPr>
                <w:rFonts w:ascii="Times New Roman" w:cs="Times New Roman" w:eastAsia="Times New Roman" w:hAnsi="Times New Roman"/>
                <w:sz w:val="27"/>
                <w:szCs w:val="27"/>
                <w:b w:val="1"/>
                <w:bCs w:val="1"/>
                <w:color w:val="auto"/>
                <w:vertAlign w:val="superscript"/>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43,385</w:t>
            </w:r>
          </w:p>
        </w:tc>
        <w:tc>
          <w:tcPr>
            <w:tcW w:w="12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43,385</w:t>
            </w:r>
          </w:p>
        </w:tc>
      </w:tr>
      <w:tr>
        <w:trPr>
          <w:trHeight w:val="20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Stavros G. Vizirgianakis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117,083</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359,969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477,052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jc w:val="both"/>
        <w:ind w:left="600" w:hanging="599"/>
        <w:spacing w:after="0" w:line="256" w:lineRule="auto"/>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in the “Stock Awards” column represent the aggregate grant date fair value for the RSU awards or DSU awards granted to each non-employee director in 2025 computed in accordance with FASB ASC Topic 718. The grant date fair value is determined based on the closing price of our common stock on the grant date. These grant date fair value amounts may differ from the amounts provided in our non-employee director compensation program since the number of RSU or DSU awards is determined based on our stock price as of a date prior to the actual grant date.</w:t>
      </w:r>
    </w:p>
    <w:p>
      <w:pPr>
        <w:spacing w:after="0" w:line="174"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15, 2025, each non-employee director serving at the time, other than Mr. Vizirgianakis, received an RSU or DSU award covering 158,228 shares of our common stock, and Mr. Vizirgianakis, as Chair of the Board, received DSU awards covering an aggregate of 553,797 shares of our common stock. As of December 31, 2025, the non-employee directors held the following unvested stock awards: Mr. Bakewell (158,228); Mr. Beeson (158,228); Mr. Jain; (158,228); Mr. Lipschultz (158,228); and Mr. Vizirgianakis (553,797).</w:t>
      </w:r>
    </w:p>
    <w:p>
      <w:pPr>
        <w:spacing w:after="0" w:line="174"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the non-employee directors held the following option awards: Mr. Bakewell (28,230); Mr. Beeson (28,230); and Mr. Vizirgianakis (42,345).</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Mr. McNamara and Ms. Mitchell-Keller resigned as a director of the Company effective August 1,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7" w:name="page98"/>
    <w:bookmarkEnd w:id="97"/>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Beneficial Owners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table below sets forth, as of February 28, 2026, information as to beneficial owners that have reported to the SEC or have otherwise advised us that they are a beneficial owner, as defined by the SEC’s rules and regulations, of more than 5% of our outstanding common stock.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gridSpan w:val="2"/>
          </w:tcPr>
          <w:p>
            <w:pPr>
              <w:ind w:left="1260"/>
              <w:spacing w:after="0"/>
              <w:rPr>
                <w:sz w:val="20"/>
                <w:szCs w:val="20"/>
                <w:color w:val="auto"/>
              </w:rPr>
            </w:pPr>
            <w:r>
              <w:rPr>
                <w:rFonts w:ascii="Times New Roman" w:cs="Times New Roman" w:eastAsia="Times New Roman" w:hAnsi="Times New Roman"/>
                <w:sz w:val="17"/>
                <w:szCs w:val="17"/>
                <w:b w:val="1"/>
                <w:bCs w:val="1"/>
                <w:color w:val="auto"/>
              </w:rPr>
              <w:t>Name and Address of</w:t>
            </w:r>
          </w:p>
        </w:tc>
        <w:tc>
          <w:tcPr>
            <w:tcW w:w="22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Amount and Nature of</w:t>
            </w:r>
          </w:p>
        </w:tc>
        <w:tc>
          <w:tcPr>
            <w:tcW w:w="20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Percent of Class</w:t>
            </w:r>
            <w:r>
              <w:rPr>
                <w:rFonts w:ascii="Times New Roman" w:cs="Times New Roman" w:eastAsia="Times New Roman" w:hAnsi="Times New Roman"/>
                <w:sz w:val="28"/>
                <w:szCs w:val="28"/>
                <w:b w:val="1"/>
                <w:bCs w:val="1"/>
                <w:color w:val="auto"/>
                <w:vertAlign w:val="superscript"/>
              </w:rPr>
              <w:t>(1)</w:t>
            </w:r>
          </w:p>
        </w:tc>
        <w:tc>
          <w:tcPr>
            <w:tcW w:w="0" w:type="dxa"/>
            <w:vAlign w:val="bottom"/>
          </w:tcPr>
          <w:p>
            <w:pPr>
              <w:spacing w:after="0"/>
              <w:rPr>
                <w:sz w:val="1"/>
                <w:szCs w:val="1"/>
                <w:color w:val="auto"/>
              </w:rPr>
            </w:pPr>
          </w:p>
        </w:tc>
      </w:tr>
      <w:tr>
        <w:trPr>
          <w:trHeight w:val="222"/>
        </w:trPr>
        <w:tc>
          <w:tcPr>
            <w:tcW w:w="2720" w:type="dxa"/>
            <w:vAlign w:val="bottom"/>
            <w:gridSpan w:val="2"/>
          </w:tcPr>
          <w:p>
            <w:pPr>
              <w:ind w:left="780"/>
              <w:spacing w:after="0"/>
              <w:rPr>
                <w:sz w:val="20"/>
                <w:szCs w:val="20"/>
                <w:color w:val="auto"/>
              </w:rPr>
            </w:pPr>
            <w:r>
              <w:rPr>
                <w:rFonts w:ascii="Times New Roman" w:cs="Times New Roman" w:eastAsia="Times New Roman" w:hAnsi="Times New Roman"/>
                <w:sz w:val="17"/>
                <w:szCs w:val="17"/>
                <w:b w:val="1"/>
                <w:bCs w:val="1"/>
                <w:color w:val="auto"/>
              </w:rPr>
              <w:t>Title of Class</w:t>
            </w:r>
          </w:p>
        </w:tc>
        <w:tc>
          <w:tcPr>
            <w:tcW w:w="4280" w:type="dxa"/>
            <w:vAlign w:val="bottom"/>
            <w:gridSpan w:val="2"/>
          </w:tcPr>
          <w:p>
            <w:pPr>
              <w:ind w:left="1400"/>
              <w:spacing w:after="0"/>
              <w:rPr>
                <w:sz w:val="20"/>
                <w:szCs w:val="20"/>
                <w:color w:val="auto"/>
              </w:rPr>
            </w:pPr>
            <w:r>
              <w:rPr>
                <w:rFonts w:ascii="Times New Roman" w:cs="Times New Roman" w:eastAsia="Times New Roman" w:hAnsi="Times New Roman"/>
                <w:sz w:val="17"/>
                <w:szCs w:val="17"/>
                <w:b w:val="1"/>
                <w:bCs w:val="1"/>
                <w:color w:val="auto"/>
              </w:rPr>
              <w:t>Beneficial Owner</w:t>
            </w:r>
          </w:p>
        </w:tc>
        <w:tc>
          <w:tcPr>
            <w:tcW w:w="2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Beneficial Ownership</w:t>
            </w:r>
          </w:p>
        </w:tc>
        <w:tc>
          <w:tcPr>
            <w:tcW w:w="2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Nantahala Capital Management, LLC</w:t>
            </w:r>
            <w:r>
              <w:rPr>
                <w:rFonts w:ascii="Times New Roman" w:cs="Times New Roman" w:eastAsia="Times New Roman" w:hAnsi="Times New Roman"/>
                <w:sz w:val="25"/>
                <w:szCs w:val="25"/>
                <w:color w:val="auto"/>
                <w:vertAlign w:val="superscript"/>
              </w:rPr>
              <w:t>(2)</w:t>
            </w:r>
          </w:p>
        </w:tc>
        <w:tc>
          <w:tcPr>
            <w:tcW w:w="2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130 Main Street, 2nd Floor</w:t>
            </w:r>
          </w:p>
        </w:tc>
        <w:tc>
          <w:tcPr>
            <w:tcW w:w="1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Canaan, CT 06840</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68,394,000</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428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Stavros G. Vizirgianakis</w:t>
            </w:r>
            <w:r>
              <w:rPr>
                <w:rFonts w:ascii="Times New Roman" w:cs="Times New Roman" w:eastAsia="Times New Roman" w:hAnsi="Times New Roman"/>
                <w:sz w:val="25"/>
                <w:szCs w:val="25"/>
                <w:color w:val="auto"/>
                <w:vertAlign w:val="superscript"/>
              </w:rPr>
              <w:t>(3)</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664 Cruiser Lane</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Belgrade, MT 59714</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8,449,102</w:t>
            </w:r>
          </w:p>
        </w:tc>
        <w:tc>
          <w:tcPr>
            <w:tcW w:w="32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Lytton-Kambara Foundation</w:t>
            </w:r>
            <w:r>
              <w:rPr>
                <w:rFonts w:ascii="Times New Roman" w:cs="Times New Roman" w:eastAsia="Times New Roman" w:hAnsi="Times New Roman"/>
                <w:sz w:val="25"/>
                <w:szCs w:val="25"/>
                <w:color w:val="auto"/>
                <w:vertAlign w:val="superscript"/>
              </w:rPr>
              <w:t>(4)</w:t>
            </w: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467 Central Park West</w:t>
            </w:r>
          </w:p>
        </w:tc>
        <w:tc>
          <w:tcPr>
            <w:tcW w:w="1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NY 10025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7,702,002</w:t>
            </w:r>
          </w:p>
        </w:tc>
        <w:tc>
          <w:tcPr>
            <w:tcW w:w="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600" w:hanging="599"/>
        <w:spacing w:after="0"/>
        <w:tabs>
          <w:tab w:leader="none" w:pos="6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is based on 140,068,260 shares of our common stock outstanding as of February 28, 2026.</w:t>
      </w:r>
    </w:p>
    <w:p>
      <w:pPr>
        <w:spacing w:after="0" w:line="207" w:lineRule="exact"/>
        <w:rPr>
          <w:rFonts w:ascii="Times New Roman" w:cs="Times New Roman" w:eastAsia="Times New Roman" w:hAnsi="Times New Roman"/>
          <w:sz w:val="17"/>
          <w:szCs w:val="17"/>
          <w:color w:val="auto"/>
        </w:rPr>
      </w:pPr>
    </w:p>
    <w:p>
      <w:pPr>
        <w:jc w:val="both"/>
        <w:ind w:left="600" w:hanging="599"/>
        <w:spacing w:after="0" w:line="252" w:lineRule="auto"/>
        <w:tabs>
          <w:tab w:leader="none" w:pos="6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contained in a Schedule 13D, as amended, filed with the SEC on August 5, 2025. Represents 68,394,000 shares of common stock beneficially owned by Nantahala Capital Partners Limited Partnership, a Massachusetts limited partnership (“NCP”) and Nantahala Capital Management, LLC, a Massachusetts limited liability company (“Nantahala”) through certain managed accounts and private funds including NCP (collectively, the “Nantahala Investors”). Nantahala serves as General Partner, Investment Manager, or Sub-Advisor to the Nantahala Investors. Wilmot B. Harkey and Daniel Mack are the principals and managing members of Nantahala. Mr. Harkey and Mr. Mack may be deemed, pursuant to Rule 13d-3 of the Securities Exchange Act of 1934, as amended, to be beneficial owners all of the shares of Common Stock held by the Nantahala Investors. Mr. Harkey and Mr. Mack have shared dispositive power and voting power over the shares.</w:t>
      </w:r>
    </w:p>
    <w:p>
      <w:pPr>
        <w:spacing w:after="0" w:line="177"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in part on information contained in a Schedule 13D filed with the SEC on September 6, 2022 and other information available to the Company. The number of shares consists of 5,995,355 shares of our common stock, 966,418 shares of vested DSUs, 42,345 shares of our common stock issuable upon exercise of options and 1,444,984 shares of our common stock issuable upon exercise of warrants.</w:t>
      </w:r>
    </w:p>
    <w:p>
      <w:pPr>
        <w:spacing w:after="0" w:line="194"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contained in a Schedule 13G/A filed with the SEC on February 17, 2026. Represents 7,702,002 shares of our common stock held by Lytton-Kambara Foundation. Laurence Lytton has voting and investment control over the shares of our common stock held by the Lytton-Kambara Foundation.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color w:val="auto"/>
        </w:rPr>
        <w:t>Security Ownership of Management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table below sets forth information relating to the beneficial ownership of our common stock as of February 28, 2026, by:</w:t>
      </w:r>
    </w:p>
    <w:p>
      <w:pPr>
        <w:spacing w:after="0" w:line="208" w:lineRule="exact"/>
        <w:rPr>
          <w:sz w:val="20"/>
          <w:szCs w:val="20"/>
          <w:color w:val="auto"/>
        </w:rPr>
      </w:pPr>
    </w:p>
    <w:p>
      <w:pPr>
        <w:ind w:left="900" w:hanging="294"/>
        <w:spacing w:after="0"/>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directors and executive officers as a group.</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The number of shares beneficially owned by each person is determined in accordance with the SEC’s rules and regulations, and the information is not necessarily indicative of beneficial ownership for any other purpose. Under the SEC’s rules and regulations, beneficial ownership includes any shares over which the individual has sole or shared voting power or investment power as well as any shares that the individual has the right to acquire within 60 days of February 28, 2026, through the exercise of any stock option, warrants, or other rights or the vesting of any RSU and DSU awards. Except as otherwise indicated, and subject to applicable community property laws, the persons named in the table have sole voting and investment power with respect to all shares of common stock held by that person.</w:t>
      </w:r>
    </w:p>
    <w:p>
      <w:pPr>
        <w:spacing w:after="0" w:line="16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percentage of shares beneficially owned is computed on the basis of 140,068,260 shares of our common stock outstanding as of February 28, 2026. Shares of our common stock that a person has the right to acquire within 60 days of February 28, 2026, are deemed outstanding for purposes of computing the percentage ownership of the person holding such rights, but are not deemed outstanding for purposes of computing the percentage ownership of any other person.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Amount and Nature of</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6"/>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Title of Class</w:t>
            </w:r>
          </w:p>
        </w:tc>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2200" w:type="dxa"/>
            <w:vAlign w:val="bottom"/>
            <w:gridSpan w:val="2"/>
          </w:tcPr>
          <w:p>
            <w:pPr>
              <w:jc w:val="right"/>
              <w:ind w:right="400"/>
              <w:spacing w:after="0" w:line="257" w:lineRule="exact"/>
              <w:rPr>
                <w:sz w:val="20"/>
                <w:szCs w:val="20"/>
                <w:color w:val="auto"/>
              </w:rPr>
            </w:pPr>
            <w:r>
              <w:rPr>
                <w:rFonts w:ascii="Times New Roman" w:cs="Times New Roman" w:eastAsia="Times New Roman" w:hAnsi="Times New Roman"/>
                <w:sz w:val="17"/>
                <w:szCs w:val="17"/>
                <w:b w:val="1"/>
                <w:bCs w:val="1"/>
                <w:color w:val="auto"/>
                <w:w w:val="99"/>
              </w:rPr>
              <w:t>Beneficial Ownership</w:t>
            </w:r>
            <w:r>
              <w:rPr>
                <w:rFonts w:ascii="Times New Roman" w:cs="Times New Roman" w:eastAsia="Times New Roman" w:hAnsi="Times New Roman"/>
                <w:sz w:val="28"/>
                <w:szCs w:val="28"/>
                <w:b w:val="1"/>
                <w:bCs w:val="1"/>
                <w:color w:val="auto"/>
                <w:w w:val="99"/>
                <w:vertAlign w:val="superscript"/>
              </w:rPr>
              <w:t>(1)</w:t>
            </w:r>
          </w:p>
        </w:tc>
        <w:tc>
          <w:tcPr>
            <w:tcW w:w="20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Percent of Class</w:t>
            </w:r>
          </w:p>
        </w:tc>
      </w:tr>
      <w:tr>
        <w:trPr>
          <w:trHeight w:val="194"/>
        </w:trPr>
        <w:tc>
          <w:tcPr>
            <w:tcW w:w="24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Common Stock</w:t>
            </w:r>
          </w:p>
        </w:tc>
        <w:tc>
          <w:tcPr>
            <w:tcW w:w="240" w:type="dxa"/>
            <w:vAlign w:val="bottom"/>
            <w:tcBorders>
              <w:top w:val="single" w:sz="8" w:color="CCEEFF"/>
            </w:tcBorders>
            <w:shd w:val="clear" w:color="auto" w:fill="CCEEFF"/>
          </w:tcPr>
          <w:p>
            <w:pPr>
              <w:spacing w:after="0"/>
              <w:rPr>
                <w:sz w:val="16"/>
                <w:szCs w:val="16"/>
                <w:color w:val="auto"/>
              </w:rPr>
            </w:pPr>
          </w:p>
        </w:tc>
        <w:tc>
          <w:tcPr>
            <w:tcW w:w="40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John K. Bakewell</w:t>
            </w:r>
          </w:p>
        </w:tc>
        <w:tc>
          <w:tcPr>
            <w:tcW w:w="22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784,118</w:t>
            </w:r>
          </w:p>
        </w:tc>
        <w:tc>
          <w:tcPr>
            <w:tcW w:w="32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Jonn R. Beeson</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1,656,711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2"/>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Sean E. Browne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3,652,348</w:t>
            </w:r>
          </w:p>
        </w:tc>
        <w:tc>
          <w:tcPr>
            <w:tcW w:w="3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2"/>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Abhinav Jain</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Tyler P. Lipschultz</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42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Stavros G. Vizirgianakis</w:t>
            </w:r>
            <w:r>
              <w:rPr>
                <w:rFonts w:ascii="Times New Roman" w:cs="Times New Roman" w:eastAsia="Times New Roman" w:hAnsi="Times New Roman"/>
                <w:sz w:val="27"/>
                <w:szCs w:val="27"/>
                <w:color w:val="auto"/>
                <w:vertAlign w:val="superscript"/>
              </w:rPr>
              <w:t>(2)</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8,449,102</w:t>
            </w:r>
          </w:p>
        </w:tc>
        <w:tc>
          <w:tcPr>
            <w:tcW w:w="32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02"/>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C. Neils</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680,781</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A. Schallenberger</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367,285</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87"/>
        </w:trPr>
        <w:tc>
          <w:tcPr>
            <w:tcW w:w="2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All current executive officers and directors as a group (8</w:t>
            </w:r>
          </w:p>
        </w:tc>
        <w:tc>
          <w:tcPr>
            <w:tcW w:w="1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54"/>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4280" w:type="dxa"/>
            <w:vAlign w:val="bottom"/>
            <w:gridSpan w:val="2"/>
            <w:shd w:val="clear" w:color="auto" w:fill="CCEEFF"/>
          </w:tcPr>
          <w:p>
            <w:pPr>
              <w:spacing w:after="0" w:line="254" w:lineRule="exact"/>
              <w:rPr>
                <w:sz w:val="20"/>
                <w:szCs w:val="20"/>
                <w:color w:val="auto"/>
              </w:rPr>
            </w:pPr>
            <w:r>
              <w:rPr>
                <w:rFonts w:ascii="Times New Roman" w:cs="Times New Roman" w:eastAsia="Times New Roman" w:hAnsi="Times New Roman"/>
                <w:sz w:val="17"/>
                <w:szCs w:val="17"/>
                <w:color w:val="auto"/>
              </w:rPr>
              <w:t>persons)</w:t>
            </w:r>
            <w:r>
              <w:rPr>
                <w:rFonts w:ascii="Times New Roman" w:cs="Times New Roman" w:eastAsia="Times New Roman" w:hAnsi="Times New Roman"/>
                <w:sz w:val="28"/>
                <w:szCs w:val="28"/>
                <w:color w:val="auto"/>
                <w:vertAlign w:val="superscript"/>
              </w:rPr>
              <w:t>(3)</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15,590,345</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600" w:hanging="599"/>
        <w:spacing w:after="0"/>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 of outstanding shares of common stock.</w:t>
      </w:r>
    </w:p>
    <w:p>
      <w:pPr>
        <w:spacing w:after="0" w:line="208" w:lineRule="exact"/>
        <w:rPr>
          <w:sz w:val="20"/>
          <w:szCs w:val="20"/>
          <w:color w:val="auto"/>
        </w:rPr>
      </w:pPr>
    </w:p>
    <w:p>
      <w:pPr>
        <w:ind w:left="600" w:hanging="599"/>
        <w:spacing w:after="0" w:line="274" w:lineRule="auto"/>
        <w:tabs>
          <w:tab w:leader="none" w:pos="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for the persons listed below the following shares subject to warrants, options, RSUs and DSUs held by that person that are currently exercisable or become exercisable within 60 days of February 28, 2026:</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3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DSUs and RSUs</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K. Bakewell</w:t>
            </w:r>
          </w:p>
        </w:tc>
        <w:tc>
          <w:tcPr>
            <w:tcW w:w="2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28,230</w:t>
            </w:r>
          </w:p>
        </w:tc>
        <w:tc>
          <w:tcPr>
            <w:tcW w:w="28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307,342</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Jonn R. Beeson</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253,818</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28,230</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307,342</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Sean E. Browne</w:t>
            </w: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1,924,935</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365,816</w:t>
            </w:r>
          </w:p>
        </w:tc>
        <w:tc>
          <w:tcPr>
            <w:tcW w:w="8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Abhinav Jain</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Tyler P. Lipschultz</w:t>
            </w: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Stavros G. Vizirgianakis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1,444,984</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42,345</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966,418</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C. Neils</w:t>
            </w: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310,514</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88,774</w:t>
            </w:r>
          </w:p>
        </w:tc>
        <w:tc>
          <w:tcPr>
            <w:tcW w:w="8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A. Schallenberger</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163,438</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86,734</w:t>
            </w:r>
          </w:p>
        </w:tc>
        <w:tc>
          <w:tcPr>
            <w:tcW w:w="80" w:type="dxa"/>
            <w:vAlign w:val="bottom"/>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3800" w:type="dxa"/>
            <w:vAlign w:val="bottom"/>
            <w:tcBorders>
              <w:top w:val="single" w:sz="8" w:color="CCEEFF"/>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All current directors and executive officers as a</w:t>
            </w:r>
          </w:p>
        </w:tc>
        <w:tc>
          <w:tcPr>
            <w:tcW w:w="15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8"/>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group (8 persons)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1,698,802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2,497,692</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2,122,426</w:t>
            </w:r>
          </w:p>
        </w:tc>
        <w:tc>
          <w:tcPr>
            <w:tcW w:w="80" w:type="dxa"/>
            <w:vAlign w:val="bottom"/>
            <w:shd w:val="clear" w:color="auto" w:fill="CCEEFF"/>
          </w:tcPr>
          <w:p>
            <w:pPr>
              <w:spacing w:after="0"/>
              <w:rPr>
                <w:sz w:val="18"/>
                <w:szCs w:val="18"/>
                <w:color w:val="auto"/>
              </w:rPr>
            </w:pPr>
          </w:p>
        </w:tc>
      </w:tr>
    </w:tbl>
    <w:p>
      <w:pPr>
        <w:spacing w:after="0" w:line="185" w:lineRule="exact"/>
        <w:rPr>
          <w:sz w:val="20"/>
          <w:szCs w:val="20"/>
          <w:color w:val="auto"/>
        </w:rPr>
      </w:pPr>
    </w:p>
    <w:p>
      <w:pPr>
        <w:jc w:val="both"/>
        <w:ind w:left="600" w:hanging="599"/>
        <w:spacing w:after="0" w:line="261" w:lineRule="auto"/>
        <w:tabs>
          <w:tab w:leader="none" w:pos="6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in part on information contained in a Schedule 13D filed with the SEC on September 6, 2022 and other information available to the Company. The number of shares consists of 5,995,355 shares of our common stock, 966,418 shares of vested DSUs, 42,345 shares of our common stock issuable upon exercise of options and 1,444,984 shares of our common stock issuable upon exercise of warrants.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table below provides information about our common stock that may be issued under our equity compensation plans as of 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gridSpan w:val="2"/>
          </w:tcPr>
          <w:p>
            <w:pPr>
              <w:jc w:val="center"/>
              <w:ind w:right="90"/>
              <w:spacing w:after="0"/>
              <w:rPr>
                <w:sz w:val="20"/>
                <w:szCs w:val="20"/>
                <w:color w:val="auto"/>
              </w:rPr>
            </w:pPr>
            <w:r>
              <w:rPr>
                <w:rFonts w:ascii="Times New Roman" w:cs="Times New Roman" w:eastAsia="Times New Roman" w:hAnsi="Times New Roman"/>
                <w:sz w:val="17"/>
                <w:szCs w:val="17"/>
                <w:b w:val="1"/>
                <w:bCs w:val="1"/>
                <w:color w:val="auto"/>
                <w:w w:val="98"/>
              </w:rPr>
              <w:t>Number of Securities</w:t>
            </w:r>
          </w:p>
        </w:tc>
      </w:tr>
      <w:tr>
        <w:trPr>
          <w:trHeight w:val="202"/>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10"/>
              <w:spacing w:after="0"/>
              <w:rPr>
                <w:sz w:val="20"/>
                <w:szCs w:val="20"/>
                <w:color w:val="auto"/>
              </w:rPr>
            </w:pPr>
            <w:r>
              <w:rPr>
                <w:rFonts w:ascii="Times New Roman" w:cs="Times New Roman" w:eastAsia="Times New Roman" w:hAnsi="Times New Roman"/>
                <w:sz w:val="17"/>
                <w:szCs w:val="17"/>
                <w:b w:val="1"/>
                <w:bCs w:val="1"/>
                <w:color w:val="auto"/>
                <w:w w:val="99"/>
              </w:rPr>
              <w:t>Number of Securities to</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center"/>
              <w:ind w:right="430"/>
              <w:spacing w:after="0"/>
              <w:rPr>
                <w:sz w:val="20"/>
                <w:szCs w:val="20"/>
                <w:color w:val="auto"/>
              </w:rPr>
            </w:pPr>
            <w:r>
              <w:rPr>
                <w:rFonts w:ascii="Times New Roman" w:cs="Times New Roman" w:eastAsia="Times New Roman" w:hAnsi="Times New Roman"/>
                <w:sz w:val="17"/>
                <w:szCs w:val="17"/>
                <w:b w:val="1"/>
                <w:bCs w:val="1"/>
                <w:color w:val="auto"/>
                <w:w w:val="96"/>
              </w:rPr>
              <w:t>Weighted Average</w:t>
            </w:r>
          </w:p>
        </w:tc>
        <w:tc>
          <w:tcPr>
            <w:tcW w:w="2040" w:type="dxa"/>
            <w:vAlign w:val="bottom"/>
            <w:gridSpan w:val="2"/>
          </w:tcPr>
          <w:p>
            <w:pPr>
              <w:jc w:val="center"/>
              <w:ind w:right="90"/>
              <w:spacing w:after="0"/>
              <w:rPr>
                <w:sz w:val="20"/>
                <w:szCs w:val="20"/>
                <w:color w:val="auto"/>
              </w:rPr>
            </w:pPr>
            <w:r>
              <w:rPr>
                <w:rFonts w:ascii="Times New Roman" w:cs="Times New Roman" w:eastAsia="Times New Roman" w:hAnsi="Times New Roman"/>
                <w:sz w:val="17"/>
                <w:szCs w:val="17"/>
                <w:b w:val="1"/>
                <w:bCs w:val="1"/>
                <w:color w:val="auto"/>
                <w:w w:val="98"/>
              </w:rPr>
              <w:t>Remaining Available for</w:t>
            </w:r>
          </w:p>
        </w:tc>
      </w:tr>
      <w:tr>
        <w:trPr>
          <w:trHeight w:val="202"/>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190"/>
              <w:spacing w:after="0"/>
              <w:rPr>
                <w:sz w:val="20"/>
                <w:szCs w:val="20"/>
                <w:color w:val="auto"/>
              </w:rPr>
            </w:pPr>
            <w:r>
              <w:rPr>
                <w:rFonts w:ascii="Times New Roman" w:cs="Times New Roman" w:eastAsia="Times New Roman" w:hAnsi="Times New Roman"/>
                <w:sz w:val="17"/>
                <w:szCs w:val="17"/>
                <w:b w:val="1"/>
                <w:bCs w:val="1"/>
                <w:color w:val="auto"/>
                <w:w w:val="98"/>
              </w:rPr>
              <w:t>Be Issued upon Exercise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center"/>
              <w:ind w:right="450"/>
              <w:spacing w:after="0"/>
              <w:rPr>
                <w:sz w:val="20"/>
                <w:szCs w:val="20"/>
                <w:color w:val="auto"/>
              </w:rPr>
            </w:pPr>
            <w:r>
              <w:rPr>
                <w:rFonts w:ascii="Times New Roman" w:cs="Times New Roman" w:eastAsia="Times New Roman" w:hAnsi="Times New Roman"/>
                <w:sz w:val="17"/>
                <w:szCs w:val="17"/>
                <w:b w:val="1"/>
                <w:bCs w:val="1"/>
                <w:color w:val="auto"/>
                <w:w w:val="98"/>
              </w:rPr>
              <w:t>Exercise Price of</w:t>
            </w:r>
          </w:p>
        </w:tc>
        <w:tc>
          <w:tcPr>
            <w:tcW w:w="2040" w:type="dxa"/>
            <w:vAlign w:val="bottom"/>
            <w:gridSpan w:val="2"/>
          </w:tcPr>
          <w:p>
            <w:pPr>
              <w:jc w:val="center"/>
              <w:ind w:right="110"/>
              <w:spacing w:after="0"/>
              <w:rPr>
                <w:sz w:val="20"/>
                <w:szCs w:val="20"/>
                <w:color w:val="auto"/>
              </w:rPr>
            </w:pPr>
            <w:r>
              <w:rPr>
                <w:rFonts w:ascii="Times New Roman" w:cs="Times New Roman" w:eastAsia="Times New Roman" w:hAnsi="Times New Roman"/>
                <w:sz w:val="17"/>
                <w:szCs w:val="17"/>
                <w:b w:val="1"/>
                <w:bCs w:val="1"/>
                <w:color w:val="auto"/>
                <w:w w:val="98"/>
              </w:rPr>
              <w:t>Future Issuance under</w:t>
            </w:r>
          </w:p>
        </w:tc>
      </w:tr>
      <w:tr>
        <w:trPr>
          <w:trHeight w:val="202"/>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10"/>
              <w:spacing w:after="0"/>
              <w:rPr>
                <w:sz w:val="20"/>
                <w:szCs w:val="20"/>
                <w:color w:val="auto"/>
              </w:rPr>
            </w:pPr>
            <w:r>
              <w:rPr>
                <w:rFonts w:ascii="Times New Roman" w:cs="Times New Roman" w:eastAsia="Times New Roman" w:hAnsi="Times New Roman"/>
                <w:sz w:val="17"/>
                <w:szCs w:val="17"/>
                <w:b w:val="1"/>
                <w:bCs w:val="1"/>
                <w:color w:val="auto"/>
                <w:w w:val="98"/>
              </w:rPr>
              <w:t>of Outstanding 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center"/>
              <w:ind w:right="430"/>
              <w:spacing w:after="0"/>
              <w:rPr>
                <w:sz w:val="20"/>
                <w:szCs w:val="20"/>
                <w:color w:val="auto"/>
              </w:rPr>
            </w:pPr>
            <w:r>
              <w:rPr>
                <w:rFonts w:ascii="Times New Roman" w:cs="Times New Roman" w:eastAsia="Times New Roman" w:hAnsi="Times New Roman"/>
                <w:sz w:val="17"/>
                <w:szCs w:val="17"/>
                <w:b w:val="1"/>
                <w:bCs w:val="1"/>
                <w:color w:val="auto"/>
                <w:w w:val="98"/>
              </w:rPr>
              <w:t>Outstanding Options,</w:t>
            </w:r>
          </w:p>
        </w:tc>
        <w:tc>
          <w:tcPr>
            <w:tcW w:w="2040" w:type="dxa"/>
            <w:vAlign w:val="bottom"/>
            <w:gridSpan w:val="2"/>
          </w:tcPr>
          <w:p>
            <w:pPr>
              <w:jc w:val="center"/>
              <w:ind w:right="90"/>
              <w:spacing w:after="0"/>
              <w:rPr>
                <w:sz w:val="20"/>
                <w:szCs w:val="20"/>
                <w:color w:val="auto"/>
              </w:rPr>
            </w:pPr>
            <w:r>
              <w:rPr>
                <w:rFonts w:ascii="Times New Roman" w:cs="Times New Roman" w:eastAsia="Times New Roman" w:hAnsi="Times New Roman"/>
                <w:sz w:val="17"/>
                <w:szCs w:val="17"/>
                <w:b w:val="1"/>
                <w:bCs w:val="1"/>
                <w:color w:val="auto"/>
                <w:w w:val="98"/>
              </w:rPr>
              <w:t>Equity Compensation</w:t>
            </w:r>
          </w:p>
        </w:tc>
      </w:tr>
      <w:tr>
        <w:trPr>
          <w:trHeight w:val="202"/>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10"/>
              <w:spacing w:after="0"/>
              <w:rPr>
                <w:sz w:val="20"/>
                <w:szCs w:val="20"/>
                <w:color w:val="auto"/>
              </w:rPr>
            </w:pPr>
            <w:r>
              <w:rPr>
                <w:rFonts w:ascii="Times New Roman" w:cs="Times New Roman" w:eastAsia="Times New Roman" w:hAnsi="Times New Roman"/>
                <w:sz w:val="17"/>
                <w:szCs w:val="17"/>
                <w:b w:val="1"/>
                <w:bCs w:val="1"/>
                <w:color w:val="auto"/>
                <w:w w:val="98"/>
              </w:rPr>
              <w:t>Warrants and Rights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center"/>
              <w:ind w:right="430"/>
              <w:spacing w:after="0"/>
              <w:rPr>
                <w:sz w:val="20"/>
                <w:szCs w:val="20"/>
                <w:color w:val="auto"/>
              </w:rPr>
            </w:pPr>
            <w:r>
              <w:rPr>
                <w:rFonts w:ascii="Times New Roman" w:cs="Times New Roman" w:eastAsia="Times New Roman" w:hAnsi="Times New Roman"/>
                <w:sz w:val="17"/>
                <w:szCs w:val="17"/>
                <w:b w:val="1"/>
                <w:bCs w:val="1"/>
                <w:color w:val="auto"/>
                <w:w w:val="97"/>
              </w:rPr>
              <w:t>Warrants and Rights</w:t>
            </w:r>
          </w:p>
        </w:tc>
        <w:tc>
          <w:tcPr>
            <w:tcW w:w="2040" w:type="dxa"/>
            <w:vAlign w:val="bottom"/>
            <w:gridSpan w:val="2"/>
          </w:tcPr>
          <w:p>
            <w:pPr>
              <w:jc w:val="center"/>
              <w:ind w:right="90"/>
              <w:spacing w:after="0"/>
              <w:rPr>
                <w:sz w:val="20"/>
                <w:szCs w:val="20"/>
                <w:color w:val="auto"/>
              </w:rPr>
            </w:pPr>
            <w:r>
              <w:rPr>
                <w:rFonts w:ascii="Times New Roman" w:cs="Times New Roman" w:eastAsia="Times New Roman" w:hAnsi="Times New Roman"/>
                <w:sz w:val="17"/>
                <w:szCs w:val="17"/>
                <w:b w:val="1"/>
                <w:bCs w:val="1"/>
                <w:color w:val="auto"/>
              </w:rPr>
              <w:t>Plans</w:t>
            </w:r>
          </w:p>
        </w:tc>
      </w:tr>
      <w:tr>
        <w:trPr>
          <w:trHeight w:val="222"/>
        </w:trPr>
        <w:tc>
          <w:tcPr>
            <w:tcW w:w="44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22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rPr>
              <w:t>(b)</w:t>
            </w:r>
          </w:p>
        </w:tc>
        <w:tc>
          <w:tcPr>
            <w:tcW w:w="3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w:t>
            </w:r>
          </w:p>
        </w:tc>
        <w:tc>
          <w:tcPr>
            <w:tcW w:w="160" w:type="dxa"/>
            <w:vAlign w:val="bottom"/>
            <w:tcBorders>
              <w:bottom w:val="single" w:sz="8" w:color="CCEEFF"/>
            </w:tcBorders>
          </w:tcPr>
          <w:p>
            <w:pPr>
              <w:spacing w:after="0"/>
              <w:rPr>
                <w:sz w:val="19"/>
                <w:szCs w:val="19"/>
                <w:color w:val="auto"/>
              </w:rPr>
            </w:pPr>
          </w:p>
        </w:tc>
      </w:tr>
      <w:tr>
        <w:trPr>
          <w:trHeight w:val="232"/>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14,769,724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12,966,721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w:t>
            </w:r>
          </w:p>
        </w:tc>
      </w:tr>
      <w:tr>
        <w:trPr>
          <w:trHeight w:val="264"/>
        </w:trPr>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2160" w:type="dxa"/>
            <w:vAlign w:val="bottom"/>
            <w:gridSpan w:val="2"/>
          </w:tcPr>
          <w:p>
            <w:pPr>
              <w:jc w:val="right"/>
              <w:ind w:right="21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gridSpan w:val="2"/>
          </w:tcPr>
          <w:p>
            <w:pPr>
              <w:jc w:val="right"/>
              <w:ind w:right="31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tcPr>
          <w:p>
            <w:pPr>
              <w:jc w:val="right"/>
              <w:ind w:right="9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14,769,724</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(2)</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12,966,721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w:t>
            </w:r>
          </w:p>
        </w:tc>
      </w:tr>
      <w:tr>
        <w:trPr>
          <w:trHeight w:val="20"/>
        </w:trPr>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jc w:val="both"/>
        <w:ind w:left="600" w:hanging="599"/>
        <w:spacing w:after="0" w:line="253" w:lineRule="auto"/>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includes 1,167,713 shares of our common stock issuable upon the exercise of stock options granted under the 2023 Plan; 2,592,759 shares of our common stock issuable upon the exercise of stock options granted under the 2018 Plan, 2,847,536 shares of our common stock issuable upon the settlement of RSU awards granted under the 2023 Plan, 4,642,717 shares of our common stock issuable upon the settlement of DSU awards granted under the 2023 Plan, 3,340,111 shares of our common stock issuable upon the settlement of PSU awards granted under the 2023 Plan (assuming target performance), and 178,888 shares of our common stock issuable upon the settlement of RSU awards granted under the 2018 Plan. Maximum performance under the PSU awards would result in the issuance of an additional 3,340,111 shares of common stock upon settlement thereof.</w:t>
      </w:r>
    </w:p>
    <w:p>
      <w:pPr>
        <w:spacing w:after="0" w:line="175"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included in the weighted-average exercise price calculation are 3,026,424 RSU awards, 4,826,926 DSU awards and 3,340,111 PSU awards (assuming target performance).</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includes 12,966,721 shares of our common stock remaining available for future issuance under the 2023 Plan. No shares remain available for grant under the 2018 Plan or any other plans since such plans have been terminated with respect to future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Review and Approval of Related Party Transactions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Pursuant to its charter, the Audit Committee reviews and approves all related party transactions and makes recommendations to the full Board regarding approval of such transactions, unless the Board specifically delegates this responsibility to the Compensation Committee. The Audit Committee reviewed the transactions described below and determined that they were fair, just, and reasonable to the Company and in the best interests of the Company and its stockholders.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Below is a description of transactions that have occurred during the past two fiscal years, or any currently proposed transactions, to which we were or are a participant and in which:</w:t>
      </w:r>
    </w:p>
    <w:p>
      <w:pPr>
        <w:spacing w:after="0" w:line="159" w:lineRule="exact"/>
        <w:rPr>
          <w:sz w:val="20"/>
          <w:szCs w:val="20"/>
          <w:color w:val="auto"/>
        </w:rPr>
      </w:pPr>
    </w:p>
    <w:p>
      <w:pPr>
        <w:ind w:left="900" w:hanging="294"/>
        <w:spacing w:after="0" w:line="274" w:lineRule="auto"/>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involved exceeded or will exceed the lesser of: $120,000 or one percent (1%) of the average of our total assets at year end for the last two completed fiscal years; and</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related person (including any director, director nominee, executive officer, holder of more than 5% of our common shares or any member of their immediate family) had or will have a direct or indirect material interest.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Shares by OrbiMed and Registration Rights Agreement</w:t>
      </w:r>
    </w:p>
    <w:p>
      <w:pPr>
        <w:spacing w:after="0" w:line="212"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On April 10, 2025, ROS Acquisition Offshore LP, OrbiMed Royalty Opportunities II, LP and Royalty Opportunities S.àr.l (together, the “OrbiMed Sellers”), each of which are affiliates of OrbiMed Advisors LLC and collectively former majority stockholders of the Company, entered into a stock purchase agreement with funds affiliated with Nantahala Capital Management, LLC (a beneficial owner of more than 5% of our common stock as of April 10, 2025), Carol Ann Vizirgianakis (the mother of Stavros G. Vizirgianakis, a director of the Company and Chairman of the Board), and certain other purchasers (collectively, the “Purchasers”), pursuant to which the OrbiMed Sellers agreed to sell and sold to the Purchasers an aggregate of 73,114,592 shares of our common stock at a per share price of $0.42. We were not party to the stock purchase agreement, which was privately negotiated amongst the OrbiMed Sellers and the Purchasers. However, to facilitate the transaction, we entered into a registration rights agreement with the Purchasers pursuant to which we agreed to prepare and file a shelf resale registration statement with the SEC for purposes of registering the resale of the shares and to use commercially reasonable efforts to cause the registration statement to be declared effective by the SEC. We also agreed, among other things, to indemnify the selling stockholders from certain liabilities and to pay all fees and expenses incident to our performance of or compliance with the registration rights agreement. We filed this registration statement on May 12, 2025, and it became effective on May 19,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OrbiMed Investor Rights Agreement</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Until April 15, 2025, we were party to an Investor Rights Agreement with OrbiMed Royalty Opportunities II, LP (“Royalty Opportunities”) and ROS Acquisition Offshore LP (“ROS”), which are funds affiliated with OrbiMed Advisors LLC. Under the Investor Rights Agreement, we had granted Royalty Opportunities and ROS certain governance and other rights, including director nomination rights, special approval rights, and rights of first refusal, so long as certain common stock ownership thresholds were maintained by Royalty Opportunities and ROS. As described above, effective April 15, 2025, Royalty Opportunities and ROS sold their shares of our common stock to funds affiliated with Nantahala Capital Management, LLC and certain other investors pursuant to a stock purchase agreement, resulting in OrbiMed Advisors LLC and its affiliates no longer being stockholders of the Company, based on beneficial ownership filings made with the SEC and other information available to us. After the closing of such transaction, on April 15, 2025, we provided Royalty Opportunities and ROS written notice of termination of the Investor Rights Agreement in accordance with Article IV thereof, which provided that the Investor Rights Agreement would terminate upon written notice of either the Company or Royalty Opportunities and ROS at such time as their ownership of our common stock, as a percentage of our outstanding common stock, is less than 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Understanding with Nantahala Regarding Board Composition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Abhinav Jain and Tyler Lipschultz were appointed to our Board effective as of August 1, 2025 at the request of Nantahala and upon a determination by our Board that their appointment and the resulting Board composition is in the best interests of the Company and our stockholders. There is no investor rights agreement or other arrangements between us and Nantahala regarding board composition or other governance rights.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Vizirgianakis Lead Investor Agreement</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As described in more detail under “</w:t>
      </w:r>
      <w:r>
        <w:rPr>
          <w:rFonts w:ascii="Times New Roman" w:cs="Times New Roman" w:eastAsia="Times New Roman" w:hAnsi="Times New Roman"/>
          <w:sz w:val="17"/>
          <w:szCs w:val="17"/>
          <w:i w:val="1"/>
          <w:iCs w:val="1"/>
          <w:color w:val="auto"/>
        </w:rPr>
        <w:t>General Information about the Board of Directors and Corporate Governance—Termination of Investor Rights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we are party to an agreement with Stavros G. Vizirgianakis, a director and Chairman of the Board, as the lead investor of our 2022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which we agreed, among other things, to provide him certain director nomination rights. These director nomination rights terminated on October 7,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Family Relationships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There are no family relationships between or among our directors, executive officers, or persons nominated or chosen by the Company to become directors or executive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Independence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Board has affirmatively determined that John Bakewell, Jonn Beeson, Abhinav Jain, Tyler Lipschultz, and Stavros Vizirgianakis are “independent directors,” as defined under the independence standards of the NYSE American.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and Non-Audit Fees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following table represents aggregate fees billed to the Company for the fiscal years ended December 31, 2025 and 2024 by Grant Thornton LLP.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19"/>
                <w:szCs w:val="19"/>
                <w:color w:val="auto"/>
              </w:rPr>
            </w:pPr>
          </w:p>
        </w:tc>
        <w:tc>
          <w:tcPr>
            <w:tcW w:w="414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r>
      <w:tr>
        <w:trPr>
          <w:trHeight w:val="195"/>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28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906,375</w:t>
            </w:r>
          </w:p>
        </w:tc>
        <w:tc>
          <w:tcPr>
            <w:tcW w:w="3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764,185</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2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2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2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fees</w:t>
            </w:r>
          </w:p>
        </w:tc>
        <w:tc>
          <w:tcPr>
            <w:tcW w:w="288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906,375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764,185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the foregoing table, “audit fees” are fees billed for services provided related to the audit of our annual financial statements, quarterly reviews of our interim financial statements, and services normally provided by the independent accountant in connection with statutory and regulatory filings or engagements for those fiscal periods. “Audit-related fees” are fees not included in audit fees that are billed by the independent accountant for assurance and related services that are reasonably related to the performance of the audit or review of our financial statements. These audit-related fees also consist of the review of our registration statements filed with the SEC and related services normally provided in connection with statutory and regulatory filings or engagements. “Tax fees” are fees billed by the independent accountant for professional services rendered for tax compliance, tax advice, and tax planning. “All other fees” are fees billed by the independent accountant for products and services not included in the foregoing categories.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Policy</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It is the Audit Committee’s policy to approve in advance the types and amounts of audit, audit-related, tax, and any other services to be provided by our independent registered public accounting firm. In situations where it is not practicable to obtain full Audit Committee approval, the Audit Committee has delegated authority to the Chair of the Audit Committee to grant pre-approval of auditing, audit-related, tax, and all other services up to $25,000. Any pre-approved decisions by the Chair are required to be reviewed with the Audit Committee at its next scheduled meeting. The Audit Committee approved 100% of all services provided by Grant Thornton during 2025 and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 and Financial Statement Schedules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consolidated financial statements are included in “Part II, Item 8. Financial Statements and Supplementary Data.”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 Schedules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financial statement schedules are omitted because they are inapplicable since we are a smaller reporting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exhibits being filed or furnished with this report are listed below, along with an indication as to each management contract or compensatory plan or arrangement.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 copy of any exhibits listed or referred to herein will be furnished at a reasonable cost to any person who is a stockholder upon receipt from any such person of a written request for any such exhibit. Such request should be sent to: Scott Neils, Chief Financial Officer, Xtant Medical Holdings, Inc., 664 Cruiser Lane, Belgrade, MT 59714, Attn: Stockholder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80" w:type="dxa"/>
            <w:vAlign w:val="bottom"/>
            <w:gridSpan w:val="4"/>
          </w:tcPr>
          <w:p>
            <w:pPr>
              <w:ind w:left="7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57"/>
        </w:trPr>
        <w:tc>
          <w:tcPr>
            <w:tcW w:w="20" w:type="dxa"/>
            <w:vAlign w:val="bottom"/>
          </w:tcPr>
          <w:p>
            <w:pPr>
              <w:spacing w:after="0"/>
              <w:rPr>
                <w:sz w:val="13"/>
                <w:szCs w:val="13"/>
                <w:color w:val="auto"/>
              </w:rPr>
            </w:pPr>
          </w:p>
        </w:tc>
        <w:tc>
          <w:tcPr>
            <w:tcW w:w="88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3"/>
                <w:szCs w:val="13"/>
                <w:color w:val="auto"/>
              </w:rPr>
            </w:pPr>
          </w:p>
        </w:tc>
        <w:tc>
          <w:tcPr>
            <w:tcW w:w="10220" w:type="dxa"/>
            <w:vAlign w:val="bottom"/>
            <w:tcBorders>
              <w:top w:val="single" w:sz="8" w:color="auto"/>
              <w:bottom w:val="single" w:sz="8" w:color="0000EE"/>
            </w:tcBorders>
            <w:gridSpan w:val="10"/>
          </w:tcPr>
          <w:p>
            <w:pPr>
              <w:spacing w:after="0" w:line="157" w:lineRule="exact"/>
              <w:rPr>
                <w:rFonts w:ascii="Times New Roman" w:cs="Times New Roman" w:eastAsia="Times New Roman" w:hAnsi="Times New Roman"/>
                <w:sz w:val="17"/>
                <w:szCs w:val="17"/>
                <w:color w:val="0000EE"/>
              </w:rPr>
            </w:pPr>
            <w:hyperlink r:id="rId118">
              <w:r>
                <w:rPr>
                  <w:rFonts w:ascii="Times New Roman" w:cs="Times New Roman" w:eastAsia="Times New Roman" w:hAnsi="Times New Roman"/>
                  <w:sz w:val="17"/>
                  <w:szCs w:val="17"/>
                  <w:color w:val="0000EE"/>
                </w:rPr>
                <w:t>Equity Purchase Agreement, dated February 28, 2023, among Xtant Medical Holdings, Inc, Surgalign SPV, Inc., Surgalign Spine Technologies, Inc.,</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9"/>
              </w:rPr>
            </w:pPr>
            <w:hyperlink r:id="rId118">
              <w:r>
                <w:rPr>
                  <w:rFonts w:ascii="Times New Roman" w:cs="Times New Roman" w:eastAsia="Times New Roman" w:hAnsi="Times New Roman"/>
                  <w:sz w:val="17"/>
                  <w:szCs w:val="17"/>
                  <w:color w:val="0000EE"/>
                  <w:w w:val="99"/>
                </w:rPr>
                <w:t>and Surgalign Holdings, Inc. (filed as Exhibit 2.1 to the Registrant’s Current Report on Form 8-K filed with the SEC on March 1, 2023 (SEC File No.</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Borders>
              <w:bottom w:val="single" w:sz="8" w:color="0000EE"/>
            </w:tcBorders>
            <w:gridSpan w:val="5"/>
          </w:tcPr>
          <w:p>
            <w:pPr>
              <w:spacing w:after="0" w:line="182" w:lineRule="exact"/>
              <w:rPr>
                <w:rFonts w:ascii="Times New Roman" w:cs="Times New Roman" w:eastAsia="Times New Roman" w:hAnsi="Times New Roman"/>
                <w:sz w:val="17"/>
                <w:szCs w:val="17"/>
                <w:color w:val="0000EE"/>
                <w:w w:val="98"/>
              </w:rPr>
            </w:pPr>
            <w:hyperlink r:id="rId118">
              <w:r>
                <w:rPr>
                  <w:rFonts w:ascii="Times New Roman" w:cs="Times New Roman" w:eastAsia="Times New Roman" w:hAnsi="Times New Roman"/>
                  <w:sz w:val="17"/>
                  <w:szCs w:val="17"/>
                  <w:color w:val="0000EE"/>
                  <w:w w:val="98"/>
                </w:rPr>
                <w:t>001-34951) and incorporated by reference herein)</w:t>
              </w:r>
            </w:hyperlink>
          </w:p>
        </w:tc>
        <w:tc>
          <w:tcPr>
            <w:tcW w:w="6860" w:type="dxa"/>
            <w:vAlign w:val="bottom"/>
            <w:gridSpan w:val="5"/>
          </w:tcPr>
          <w:p>
            <w:pPr>
              <w:spacing w:after="0"/>
              <w:rPr>
                <w:sz w:val="15"/>
                <w:szCs w:val="15"/>
                <w:color w:val="auto"/>
              </w:rPr>
            </w:pPr>
          </w:p>
        </w:tc>
      </w:tr>
      <w:tr>
        <w:trPr>
          <w:trHeight w:val="409"/>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2.2†</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19">
              <w:r>
                <w:rPr>
                  <w:rFonts w:ascii="Times New Roman" w:cs="Times New Roman" w:eastAsia="Times New Roman" w:hAnsi="Times New Roman"/>
                  <w:sz w:val="17"/>
                  <w:szCs w:val="17"/>
                  <w:color w:val="0000EE"/>
                </w:rPr>
                <w:t>Asset Purchase Agreement, dated as of June 18, 2023, between Surgalign Holdings, Inc. and Xtant Medical Holdings, Inc. (filed as Exhibit 2.1 to the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60" w:type="dxa"/>
            <w:vAlign w:val="bottom"/>
            <w:tcBorders>
              <w:bottom w:val="single" w:sz="8" w:color="0000EE"/>
            </w:tcBorders>
            <w:gridSpan w:val="9"/>
          </w:tcPr>
          <w:p>
            <w:pPr>
              <w:spacing w:after="0" w:line="182" w:lineRule="exact"/>
              <w:rPr>
                <w:rFonts w:ascii="Times New Roman" w:cs="Times New Roman" w:eastAsia="Times New Roman" w:hAnsi="Times New Roman"/>
                <w:sz w:val="17"/>
                <w:szCs w:val="17"/>
                <w:color w:val="0000EE"/>
                <w:w w:val="98"/>
              </w:rPr>
            </w:pPr>
            <w:hyperlink r:id="rId119">
              <w:r>
                <w:rPr>
                  <w:rFonts w:ascii="Times New Roman" w:cs="Times New Roman" w:eastAsia="Times New Roman" w:hAnsi="Times New Roman"/>
                  <w:sz w:val="17"/>
                  <w:szCs w:val="17"/>
                  <w:color w:val="0000EE"/>
                  <w:w w:val="98"/>
                </w:rPr>
                <w:t>Registrant’s Current Report on Form 8-K filed with the SEC on June 20, 2023 (SEC File No. 001-34951) and incorporated by reference herein)</w:t>
              </w:r>
            </w:hyperlink>
          </w:p>
        </w:tc>
        <w:tc>
          <w:tcPr>
            <w:tcW w:w="560" w:type="dxa"/>
            <w:vAlign w:val="bottom"/>
          </w:tcPr>
          <w:p>
            <w:pPr>
              <w:spacing w:after="0"/>
              <w:rPr>
                <w:sz w:val="15"/>
                <w:szCs w:val="15"/>
                <w:color w:val="auto"/>
              </w:rPr>
            </w:pPr>
          </w:p>
        </w:tc>
      </w:tr>
      <w:tr>
        <w:trPr>
          <w:trHeight w:val="409"/>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8"/>
              </w:rPr>
            </w:pPr>
            <w:hyperlink r:id="rId120">
              <w:r>
                <w:rPr>
                  <w:rFonts w:ascii="Times New Roman" w:cs="Times New Roman" w:eastAsia="Times New Roman" w:hAnsi="Times New Roman"/>
                  <w:sz w:val="17"/>
                  <w:szCs w:val="17"/>
                  <w:color w:val="0000EE"/>
                  <w:w w:val="98"/>
                </w:rPr>
                <w:t>First Amendment to Asset Purchase Agreement, dated as of July 10, 2023, between Xtant Medical Holdings, Inc. and Surgalign Holdings, Inc. (filed as</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20">
              <w:r>
                <w:rPr>
                  <w:rFonts w:ascii="Times New Roman" w:cs="Times New Roman" w:eastAsia="Times New Roman" w:hAnsi="Times New Roman"/>
                  <w:sz w:val="17"/>
                  <w:szCs w:val="17"/>
                  <w:color w:val="0000EE"/>
                </w:rPr>
                <w:t>Exhibit 2.1 to the Registrant’s Current Report on Form 8-K filed with the Securities and Exchange Commission on July 11, 2023 (SEC File No. 001-</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20">
              <w:r>
                <w:rPr>
                  <w:rFonts w:ascii="Times New Roman" w:cs="Times New Roman" w:eastAsia="Times New Roman" w:hAnsi="Times New Roman"/>
                  <w:sz w:val="17"/>
                  <w:szCs w:val="17"/>
                  <w:color w:val="0000EE"/>
                </w:rPr>
                <w:t>34951) and incorporated by reference herein)</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09"/>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8"/>
              </w:rPr>
            </w:pPr>
            <w:hyperlink r:id="rId121">
              <w:r>
                <w:rPr>
                  <w:rFonts w:ascii="Times New Roman" w:cs="Times New Roman" w:eastAsia="Times New Roman" w:hAnsi="Times New Roman"/>
                  <w:sz w:val="17"/>
                  <w:szCs w:val="17"/>
                  <w:color w:val="0000EE"/>
                  <w:w w:val="98"/>
                </w:rPr>
                <w:t>Second Amendment to Asset Purchase Agreement, dated as of July 20, 2023, between Xtant Medical Holdings, Inc. and Surgalign Holdings, Inc. (filed</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21">
              <w:r>
                <w:rPr>
                  <w:rFonts w:ascii="Times New Roman" w:cs="Times New Roman" w:eastAsia="Times New Roman" w:hAnsi="Times New Roman"/>
                  <w:sz w:val="17"/>
                  <w:szCs w:val="17"/>
                  <w:color w:val="0000EE"/>
                </w:rPr>
                <w:t>as Exhibit 2.4 to the Registrant’s Annual Report on Form 10-K for the year ended December 31, 2023 (SEC File No. 001-34951) and incorporated by</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21">
              <w:r>
                <w:rPr>
                  <w:rFonts w:ascii="Times New Roman" w:cs="Times New Roman" w:eastAsia="Times New Roman" w:hAnsi="Times New Roman"/>
                  <w:sz w:val="17"/>
                  <w:szCs w:val="17"/>
                  <w:color w:val="0000EE"/>
                </w:rPr>
                <w:t>reference herein)</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09"/>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22">
              <w:r>
                <w:rPr>
                  <w:rFonts w:ascii="Times New Roman" w:cs="Times New Roman" w:eastAsia="Times New Roman" w:hAnsi="Times New Roman"/>
                  <w:sz w:val="17"/>
                  <w:szCs w:val="17"/>
                  <w:color w:val="0000EE"/>
                </w:rPr>
                <w:t>Third Amendment to Asset Purchase Agreement, dated as of July 24, 2023, between Xtant Medical Holdings, Inc. and Surgalign Holdings, Inc. (filed</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22">
              <w:r>
                <w:rPr>
                  <w:rFonts w:ascii="Times New Roman" w:cs="Times New Roman" w:eastAsia="Times New Roman" w:hAnsi="Times New Roman"/>
                  <w:sz w:val="17"/>
                  <w:szCs w:val="17"/>
                  <w:color w:val="0000EE"/>
                </w:rPr>
                <w:t>as Exhibit 2.5 to the Registrant’s Annual Report on Form 10-K for the year ended December 31, 2023 (SEC File No. 001-34951) and incorporated by</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22">
              <w:r>
                <w:rPr>
                  <w:rFonts w:ascii="Times New Roman" w:cs="Times New Roman" w:eastAsia="Times New Roman" w:hAnsi="Times New Roman"/>
                  <w:sz w:val="17"/>
                  <w:szCs w:val="17"/>
                  <w:color w:val="0000EE"/>
                </w:rPr>
                <w:t>reference herein)</w:t>
              </w:r>
            </w:hyperlink>
          </w:p>
        </w:tc>
      </w:tr>
      <w:tr>
        <w:trPr>
          <w:trHeight w:val="20"/>
        </w:trPr>
        <w:tc>
          <w:tcPr>
            <w:tcW w:w="1020" w:type="dxa"/>
            <w:vAlign w:val="bottom"/>
            <w:gridSpan w:val="3"/>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09"/>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2.6†</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9"/>
              </w:rPr>
            </w:pPr>
            <w:hyperlink r:id="rId123">
              <w:r>
                <w:rPr>
                  <w:rFonts w:ascii="Times New Roman" w:cs="Times New Roman" w:eastAsia="Times New Roman" w:hAnsi="Times New Roman"/>
                  <w:sz w:val="17"/>
                  <w:szCs w:val="17"/>
                  <w:color w:val="0000EE"/>
                  <w:w w:val="99"/>
                </w:rPr>
                <w:t>Asset Purchase Agreement, dated July 7, 2025, among Xtant Medical Holdings, Inc., Surgalign SPV, Inc., and Companion Spine, LLC, or its Affiliate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designee (filed as Exhibit 2.1 to the Registrant’s Current Report on Form 8-K filed with the SEC on July 8, 2025 (SEC File No. 001-34951) and</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incorporated by reference herein)</w:t>
              </w:r>
            </w:hyperlink>
          </w:p>
        </w:tc>
      </w:tr>
      <w:tr>
        <w:trPr>
          <w:trHeight w:val="20"/>
        </w:trPr>
        <w:tc>
          <w:tcPr>
            <w:tcW w:w="1020" w:type="dxa"/>
            <w:vAlign w:val="bottom"/>
            <w:gridSpan w:val="3"/>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09"/>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2.7†</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9"/>
              </w:rPr>
            </w:pPr>
            <w:hyperlink r:id="rId124">
              <w:r>
                <w:rPr>
                  <w:rFonts w:ascii="Times New Roman" w:cs="Times New Roman" w:eastAsia="Times New Roman" w:hAnsi="Times New Roman"/>
                  <w:sz w:val="17"/>
                  <w:szCs w:val="17"/>
                  <w:color w:val="0000EE"/>
                  <w:w w:val="99"/>
                </w:rPr>
                <w:t>Amendment to Asset Purchase Agreement, dated as November 30, 2025, between Xtant Medical Holdings, Inc., Surgalign SPV, Inc., and Companion</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8"/>
              </w:rPr>
            </w:pPr>
            <w:hyperlink r:id="rId124">
              <w:r>
                <w:rPr>
                  <w:rFonts w:ascii="Times New Roman" w:cs="Times New Roman" w:eastAsia="Times New Roman" w:hAnsi="Times New Roman"/>
                  <w:sz w:val="17"/>
                  <w:szCs w:val="17"/>
                  <w:color w:val="0000EE"/>
                  <w:w w:val="98"/>
                </w:rPr>
                <w:t>Spine, LLC or its Affiliate designee (filed as Exhibit 2.3 to the Registrant’s Current Report on Form 8-K filed with the SEC on December 3, 2025 (SEC</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24">
              <w:r>
                <w:rPr>
                  <w:rFonts w:ascii="Times New Roman" w:cs="Times New Roman" w:eastAsia="Times New Roman" w:hAnsi="Times New Roman"/>
                  <w:sz w:val="17"/>
                  <w:szCs w:val="17"/>
                  <w:color w:val="0000EE"/>
                </w:rPr>
                <w:t>File No. 001-34951) and incorporated by reference herein)</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09"/>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w w:val="99"/>
              </w:rPr>
              <w:t>Second Amendment to Asset Purchase Agreement, dated January 14, 2026, between Xtant Medical Holdings, Inc. and Companion Spine France SAS,</w:t>
            </w: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0"/>
          </w:tcPr>
          <w:p>
            <w:pPr>
              <w:spacing w:after="0" w:line="182" w:lineRule="exact"/>
              <w:rPr>
                <w:sz w:val="20"/>
                <w:szCs w:val="20"/>
                <w:color w:val="auto"/>
              </w:rPr>
            </w:pPr>
            <w:r>
              <w:rPr>
                <w:rFonts w:ascii="Times New Roman" w:cs="Times New Roman" w:eastAsia="Times New Roman" w:hAnsi="Times New Roman"/>
                <w:sz w:val="17"/>
                <w:szCs w:val="17"/>
                <w:color w:val="0000EE"/>
              </w:rPr>
              <w:t>as assignee of Companion Spine, LLC</w:t>
            </w:r>
          </w:p>
        </w:tc>
      </w:tr>
      <w:tr>
        <w:trPr>
          <w:trHeight w:val="20"/>
        </w:trPr>
        <w:tc>
          <w:tcPr>
            <w:tcW w:w="1020" w:type="dxa"/>
            <w:vAlign w:val="bottom"/>
            <w:gridSpan w:val="3"/>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09"/>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2.9†</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25">
              <w:r>
                <w:rPr>
                  <w:rFonts w:ascii="Times New Roman" w:cs="Times New Roman" w:eastAsia="Times New Roman" w:hAnsi="Times New Roman"/>
                  <w:sz w:val="17"/>
                  <w:szCs w:val="17"/>
                  <w:color w:val="0000EE"/>
                </w:rPr>
                <w:t>Equity Purchase Agreement, dated July 7, 2025, among Xtant Medical Holdings, Inc., Paradigm Spine GmbH, and Companion Spine, LLC (filed as</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25">
              <w:r>
                <w:rPr>
                  <w:rFonts w:ascii="Times New Roman" w:cs="Times New Roman" w:eastAsia="Times New Roman" w:hAnsi="Times New Roman"/>
                  <w:sz w:val="17"/>
                  <w:szCs w:val="17"/>
                  <w:color w:val="0000EE"/>
                </w:rPr>
                <w:t>Exhibit 2.2 to the Registrant’s Current Report on Form 8-K filed with the SEC on July 8, 2025 (SEC File No. 001-34951) and incorporated by</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25">
              <w:r>
                <w:rPr>
                  <w:rFonts w:ascii="Times New Roman" w:cs="Times New Roman" w:eastAsia="Times New Roman" w:hAnsi="Times New Roman"/>
                  <w:sz w:val="17"/>
                  <w:szCs w:val="17"/>
                  <w:color w:val="0000EE"/>
                </w:rPr>
                <w:t>reference herein)</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09"/>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Amendment to and Assignment of Equity Purchase Agreement, dated November 30, 2025, among Xtant Medical Holdings, Inc., Paradigm Spine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9"/>
              </w:rPr>
            </w:pPr>
            <w:hyperlink r:id="rId126">
              <w:r>
                <w:rPr>
                  <w:rFonts w:ascii="Times New Roman" w:cs="Times New Roman" w:eastAsia="Times New Roman" w:hAnsi="Times New Roman"/>
                  <w:sz w:val="17"/>
                  <w:szCs w:val="17"/>
                  <w:color w:val="0000EE"/>
                  <w:w w:val="99"/>
                </w:rPr>
                <w:t>GmbH, Companion Spine, LLC and Companion Spine France SAS (filed as Exhibit 2.4 to the Registrant’s Current Report on Form 8-K filed with the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0" w:type="dxa"/>
            <w:vAlign w:val="bottom"/>
            <w:tcBorders>
              <w:bottom w:val="single" w:sz="8" w:color="0000EE"/>
            </w:tcBorders>
            <w:gridSpan w:val="7"/>
          </w:tcPr>
          <w:p>
            <w:pPr>
              <w:spacing w:after="0" w:line="182" w:lineRule="exact"/>
              <w:rPr>
                <w:rFonts w:ascii="Times New Roman" w:cs="Times New Roman" w:eastAsia="Times New Roman" w:hAnsi="Times New Roman"/>
                <w:sz w:val="17"/>
                <w:szCs w:val="17"/>
                <w:color w:val="0000EE"/>
                <w:w w:val="98"/>
              </w:rPr>
            </w:pPr>
            <w:hyperlink r:id="rId126">
              <w:r>
                <w:rPr>
                  <w:rFonts w:ascii="Times New Roman" w:cs="Times New Roman" w:eastAsia="Times New Roman" w:hAnsi="Times New Roman"/>
                  <w:sz w:val="17"/>
                  <w:szCs w:val="17"/>
                  <w:color w:val="0000EE"/>
                  <w:w w:val="98"/>
                </w:rPr>
                <w:t>SEC on December 3, 2025 (SEC File No. 001-34951) and incorporated by reference herein)</w:t>
              </w:r>
            </w:hyperlink>
          </w:p>
        </w:tc>
        <w:tc>
          <w:tcPr>
            <w:tcW w:w="4020" w:type="dxa"/>
            <w:vAlign w:val="bottom"/>
            <w:gridSpan w:val="3"/>
          </w:tcPr>
          <w:p>
            <w:pPr>
              <w:spacing w:after="0"/>
              <w:rPr>
                <w:sz w:val="15"/>
                <w:szCs w:val="15"/>
                <w:color w:val="auto"/>
              </w:rPr>
            </w:pPr>
          </w:p>
        </w:tc>
      </w:tr>
      <w:tr>
        <w:trPr>
          <w:trHeight w:val="409"/>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Restated Certificate of Incorporation of Xtant Medical Holdings, Inc. (filed as Exhibit 3.1 to the Registrant’s Quarterly Report on Form 10-Q for the</w:t>
              </w:r>
            </w:hyperlink>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quarterly period ended September 30, 2023 (SEC File No. 001-34951) and incorporated by reference herein)</w:t>
              </w:r>
            </w:hyperlink>
          </w:p>
        </w:tc>
      </w:tr>
      <w:tr>
        <w:trPr>
          <w:trHeight w:val="446"/>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0" w:type="dxa"/>
            <w:vAlign w:val="bottom"/>
            <w:tcBorders>
              <w:top w:val="single" w:sz="8" w:color="0000EE"/>
              <w:bottom w:val="single" w:sz="8" w:color="auto"/>
            </w:tcBorders>
            <w:gridSpan w:val="7"/>
          </w:tcPr>
          <w:p>
            <w:pPr>
              <w:ind w:left="4520"/>
              <w:spacing w:after="0"/>
              <w:rPr>
                <w:sz w:val="20"/>
                <w:szCs w:val="20"/>
                <w:color w:val="auto"/>
              </w:rPr>
            </w:pPr>
            <w:r>
              <w:rPr>
                <w:rFonts w:ascii="Times New Roman" w:cs="Times New Roman" w:eastAsia="Times New Roman" w:hAnsi="Times New Roman"/>
                <w:sz w:val="17"/>
                <w:szCs w:val="17"/>
                <w:color w:val="auto"/>
              </w:rPr>
              <w:t>98</w:t>
            </w:r>
          </w:p>
        </w:tc>
        <w:tc>
          <w:tcPr>
            <w:tcW w:w="1100" w:type="dxa"/>
            <w:vAlign w:val="bottom"/>
            <w:tcBorders>
              <w:top w:val="single" w:sz="8" w:color="0000EE"/>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80" w:type="dxa"/>
            <w:vAlign w:val="bottom"/>
            <w:gridSpan w:val="9"/>
          </w:tcPr>
          <w:p>
            <w:pPr>
              <w:ind w:left="7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90"/>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4"/>
                <w:szCs w:val="24"/>
                <w:color w:val="auto"/>
              </w:rPr>
            </w:pPr>
          </w:p>
        </w:tc>
        <w:tc>
          <w:tcPr>
            <w:tcW w:w="10220" w:type="dxa"/>
            <w:vAlign w:val="bottom"/>
            <w:tcBorders>
              <w:top w:val="single" w:sz="8" w:color="auto"/>
              <w:bottom w:val="single" w:sz="8" w:color="0000EE"/>
            </w:tcBorders>
            <w:gridSpan w:val="14"/>
          </w:tcPr>
          <w:p>
            <w:pPr>
              <w:spacing w:after="0"/>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Third Amended and Restated Bylaws of Xtant Medical Holdings, Inc. (Effective as of June 1, 2023) (filed as Exhibit 3.1 to the Registrant’s Current</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6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w w:val="98"/>
              </w:rPr>
            </w:pPr>
            <w:hyperlink r:id="rId128">
              <w:r>
                <w:rPr>
                  <w:rFonts w:ascii="Times New Roman" w:cs="Times New Roman" w:eastAsia="Times New Roman" w:hAnsi="Times New Roman"/>
                  <w:sz w:val="17"/>
                  <w:szCs w:val="17"/>
                  <w:color w:val="0000EE"/>
                  <w:w w:val="98"/>
                </w:rPr>
                <w:t>Report on Form 8-K filed with the SEC on May 19, 2023 (SEC File No. 001-34951) and incorporated by reference herein)</w:t>
              </w:r>
            </w:hyperlink>
          </w:p>
        </w:tc>
        <w:tc>
          <w:tcPr>
            <w:tcW w:w="1960" w:type="dxa"/>
            <w:vAlign w:val="bottom"/>
            <w:gridSpan w:val="2"/>
          </w:tcPr>
          <w:p>
            <w:pPr>
              <w:spacing w:after="0"/>
              <w:rPr>
                <w:sz w:val="15"/>
                <w:szCs w:val="15"/>
                <w:color w:val="auto"/>
              </w:rPr>
            </w:pPr>
          </w:p>
        </w:tc>
      </w:tr>
      <w:tr>
        <w:trPr>
          <w:trHeight w:val="409"/>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66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w w:val="98"/>
              </w:rPr>
              <w:t>Description of Securities Registered Pursuant to Section 12 of the Securities Exchange Act of 1934</w:t>
            </w:r>
          </w:p>
        </w:tc>
        <w:tc>
          <w:tcPr>
            <w:tcW w:w="3540" w:type="dxa"/>
            <w:vAlign w:val="bottom"/>
            <w:gridSpan w:val="5"/>
          </w:tcPr>
          <w:p>
            <w:pPr>
              <w:spacing w:after="0"/>
              <w:rPr>
                <w:sz w:val="24"/>
                <w:szCs w:val="24"/>
                <w:color w:val="auto"/>
              </w:rPr>
            </w:pPr>
          </w:p>
        </w:tc>
      </w:tr>
      <w:tr>
        <w:trPr>
          <w:trHeight w:val="434"/>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9"/>
              </w:rPr>
            </w:pPr>
            <w:hyperlink r:id="rId129">
              <w:r>
                <w:rPr>
                  <w:rFonts w:ascii="Times New Roman" w:cs="Times New Roman" w:eastAsia="Times New Roman" w:hAnsi="Times New Roman"/>
                  <w:sz w:val="17"/>
                  <w:szCs w:val="17"/>
                  <w:color w:val="0000EE"/>
                  <w:w w:val="99"/>
                </w:rPr>
                <w:t>Form of Common Stock Certificate (filed as Exhibit 4.2 to the Registrant’s Annual Report on Form 10-K for the year ended December 31, 2021 (SEC</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4"/>
          </w:tcPr>
          <w:p>
            <w:pPr>
              <w:spacing w:after="0" w:line="182" w:lineRule="exact"/>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File No. 001-34951) and incorporated by reference herein)</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9"/>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8"/>
              </w:rPr>
            </w:pPr>
            <w:hyperlink r:id="rId130">
              <w:r>
                <w:rPr>
                  <w:rFonts w:ascii="Times New Roman" w:cs="Times New Roman" w:eastAsia="Times New Roman" w:hAnsi="Times New Roman"/>
                  <w:sz w:val="17"/>
                  <w:szCs w:val="17"/>
                  <w:color w:val="0000EE"/>
                  <w:w w:val="98"/>
                </w:rPr>
                <w:t>Registration Rights Agreement, dated as of February 24, 2021, between Xtant Medical Holdings, Inc. and the investor party thereto (filed as Exhibit 4.4</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4"/>
          </w:tcPr>
          <w:p>
            <w:pPr>
              <w:spacing w:after="0" w:line="182" w:lineRule="exact"/>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to the Registrant’s Registration Statement on Form S-3 filed with the SEC on April 6, 2021 (Sec File No. 333-255074) and incorporated by reference</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5"/>
              </w:rPr>
            </w:pPr>
            <w:hyperlink r:id="rId130">
              <w:r>
                <w:rPr>
                  <w:rFonts w:ascii="Times New Roman" w:cs="Times New Roman" w:eastAsia="Times New Roman" w:hAnsi="Times New Roman"/>
                  <w:sz w:val="17"/>
                  <w:szCs w:val="17"/>
                  <w:color w:val="0000EE"/>
                  <w:w w:val="95"/>
                </w:rPr>
                <w:t>herein)</w:t>
              </w:r>
            </w:hyperlink>
          </w:p>
        </w:tc>
        <w:tc>
          <w:tcPr>
            <w:tcW w:w="9740" w:type="dxa"/>
            <w:vAlign w:val="bottom"/>
            <w:gridSpan w:val="13"/>
          </w:tcPr>
          <w:p>
            <w:pPr>
              <w:spacing w:after="0"/>
              <w:rPr>
                <w:sz w:val="15"/>
                <w:szCs w:val="15"/>
                <w:color w:val="auto"/>
              </w:rPr>
            </w:pPr>
          </w:p>
        </w:tc>
      </w:tr>
      <w:tr>
        <w:trPr>
          <w:trHeight w:val="409"/>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9"/>
              </w:rPr>
            </w:pPr>
            <w:hyperlink r:id="rId131">
              <w:r>
                <w:rPr>
                  <w:rFonts w:ascii="Times New Roman" w:cs="Times New Roman" w:eastAsia="Times New Roman" w:hAnsi="Times New Roman"/>
                  <w:sz w:val="17"/>
                  <w:szCs w:val="17"/>
                  <w:color w:val="0000EE"/>
                  <w:w w:val="99"/>
                </w:rPr>
                <w:t>Registration Rights Agreement, dated as of August 25, 2022, among Xtant Medical Holdings, Inc. and the investors party thereto (filed as Exhibit 10.2</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4"/>
          </w:tcPr>
          <w:p>
            <w:pPr>
              <w:spacing w:after="0" w:line="182" w:lineRule="exact"/>
              <w:rPr>
                <w:rFonts w:ascii="Times New Roman" w:cs="Times New Roman" w:eastAsia="Times New Roman" w:hAnsi="Times New Roman"/>
                <w:sz w:val="17"/>
                <w:szCs w:val="17"/>
                <w:color w:val="0000EE"/>
              </w:rPr>
            </w:pPr>
            <w:hyperlink r:id="rId131">
              <w:r>
                <w:rPr>
                  <w:rFonts w:ascii="Times New Roman" w:cs="Times New Roman" w:eastAsia="Times New Roman" w:hAnsi="Times New Roman"/>
                  <w:sz w:val="17"/>
                  <w:szCs w:val="17"/>
                  <w:color w:val="0000EE"/>
                </w:rPr>
                <w:t>to the Registrant’s Current Report on Form 8-K filed with the SEC on August 31, 2022 (SEC File No. 001-34951) and incorporated by reference</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5"/>
              </w:rPr>
            </w:pPr>
            <w:hyperlink r:id="rId131">
              <w:r>
                <w:rPr>
                  <w:rFonts w:ascii="Times New Roman" w:cs="Times New Roman" w:eastAsia="Times New Roman" w:hAnsi="Times New Roman"/>
                  <w:sz w:val="17"/>
                  <w:szCs w:val="17"/>
                  <w:color w:val="0000EE"/>
                  <w:w w:val="95"/>
                </w:rPr>
                <w:t>herein)</w:t>
              </w:r>
            </w:hyperlink>
          </w:p>
        </w:tc>
        <w:tc>
          <w:tcPr>
            <w:tcW w:w="9740" w:type="dxa"/>
            <w:vAlign w:val="bottom"/>
            <w:gridSpan w:val="13"/>
          </w:tcPr>
          <w:p>
            <w:pPr>
              <w:spacing w:after="0"/>
              <w:rPr>
                <w:sz w:val="15"/>
                <w:szCs w:val="15"/>
                <w:color w:val="auto"/>
              </w:rPr>
            </w:pPr>
          </w:p>
        </w:tc>
      </w:tr>
      <w:tr>
        <w:trPr>
          <w:trHeight w:val="409"/>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8"/>
              </w:rPr>
            </w:pPr>
            <w:hyperlink r:id="rId132">
              <w:r>
                <w:rPr>
                  <w:rFonts w:ascii="Times New Roman" w:cs="Times New Roman" w:eastAsia="Times New Roman" w:hAnsi="Times New Roman"/>
                  <w:sz w:val="17"/>
                  <w:szCs w:val="17"/>
                  <w:color w:val="0000EE"/>
                  <w:w w:val="98"/>
                </w:rPr>
                <w:t>Form of Warrant (filed as Exhibit 4.1 to the Registrant’s Current Report on Form 8-K filed with the SEC on August 24, 2022 (SEC File No. 001-34951)</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bottom w:val="single" w:sz="8" w:color="0000EE"/>
            </w:tcBorders>
            <w:gridSpan w:val="4"/>
          </w:tcPr>
          <w:p>
            <w:pPr>
              <w:spacing w:after="0" w:line="182" w:lineRule="exact"/>
              <w:rPr>
                <w:rFonts w:ascii="Times New Roman" w:cs="Times New Roman" w:eastAsia="Times New Roman" w:hAnsi="Times New Roman"/>
                <w:sz w:val="17"/>
                <w:szCs w:val="17"/>
                <w:color w:val="0000EE"/>
                <w:w w:val="98"/>
              </w:rPr>
            </w:pPr>
            <w:hyperlink r:id="rId132">
              <w:r>
                <w:rPr>
                  <w:rFonts w:ascii="Times New Roman" w:cs="Times New Roman" w:eastAsia="Times New Roman" w:hAnsi="Times New Roman"/>
                  <w:sz w:val="17"/>
                  <w:szCs w:val="17"/>
                  <w:color w:val="0000EE"/>
                  <w:w w:val="98"/>
                </w:rPr>
                <w:t>and incorporated by reference herein)</w:t>
              </w:r>
            </w:hyperlink>
          </w:p>
        </w:tc>
        <w:tc>
          <w:tcPr>
            <w:tcW w:w="7680" w:type="dxa"/>
            <w:vAlign w:val="bottom"/>
            <w:gridSpan w:val="10"/>
          </w:tcPr>
          <w:p>
            <w:pPr>
              <w:spacing w:after="0"/>
              <w:rPr>
                <w:sz w:val="15"/>
                <w:szCs w:val="15"/>
                <w:color w:val="auto"/>
              </w:rPr>
            </w:pPr>
          </w:p>
        </w:tc>
      </w:tr>
      <w:tr>
        <w:trPr>
          <w:trHeight w:val="409"/>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8"/>
              </w:rPr>
            </w:pPr>
            <w:hyperlink r:id="rId133">
              <w:r>
                <w:rPr>
                  <w:rFonts w:ascii="Times New Roman" w:cs="Times New Roman" w:eastAsia="Times New Roman" w:hAnsi="Times New Roman"/>
                  <w:sz w:val="17"/>
                  <w:szCs w:val="17"/>
                  <w:color w:val="0000EE"/>
                  <w:w w:val="98"/>
                </w:rPr>
                <w:t>Registration Rights Agreement, dated as of July 6, 2023, among Xtant Medical Holdings, Inc. and the investors party thereto (filed as Exhibit 4.9 to the</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tcBorders>
              <w:bottom w:val="single" w:sz="8" w:color="0000EE"/>
            </w:tcBorders>
            <w:gridSpan w:val="13"/>
          </w:tcPr>
          <w:p>
            <w:pPr>
              <w:spacing w:after="0" w:line="182" w:lineRule="exact"/>
              <w:rPr>
                <w:rFonts w:ascii="Times New Roman" w:cs="Times New Roman" w:eastAsia="Times New Roman" w:hAnsi="Times New Roman"/>
                <w:sz w:val="17"/>
                <w:szCs w:val="17"/>
                <w:color w:val="0000EE"/>
                <w:w w:val="98"/>
              </w:rPr>
            </w:pPr>
            <w:hyperlink r:id="rId133">
              <w:r>
                <w:rPr>
                  <w:rFonts w:ascii="Times New Roman" w:cs="Times New Roman" w:eastAsia="Times New Roman" w:hAnsi="Times New Roman"/>
                  <w:sz w:val="17"/>
                  <w:szCs w:val="17"/>
                  <w:color w:val="0000EE"/>
                  <w:w w:val="98"/>
                </w:rPr>
                <w:t>Registrant’s Registration Statement on Form S-3 filed with the SEC on July 7, 2023 (SEC File No. 333-273169) and incorporated by reference herein)</w:t>
              </w:r>
            </w:hyperlink>
          </w:p>
        </w:tc>
        <w:tc>
          <w:tcPr>
            <w:tcW w:w="100" w:type="dxa"/>
            <w:vAlign w:val="bottom"/>
          </w:tcPr>
          <w:p>
            <w:pPr>
              <w:spacing w:after="0"/>
              <w:rPr>
                <w:sz w:val="15"/>
                <w:szCs w:val="15"/>
                <w:color w:val="auto"/>
              </w:rPr>
            </w:pPr>
          </w:p>
        </w:tc>
      </w:tr>
      <w:tr>
        <w:trPr>
          <w:trHeight w:val="409"/>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8"/>
              </w:rPr>
            </w:pPr>
            <w:hyperlink r:id="rId134">
              <w:r>
                <w:rPr>
                  <w:rFonts w:ascii="Times New Roman" w:cs="Times New Roman" w:eastAsia="Times New Roman" w:hAnsi="Times New Roman"/>
                  <w:sz w:val="17"/>
                  <w:szCs w:val="17"/>
                  <w:color w:val="0000EE"/>
                  <w:w w:val="98"/>
                </w:rPr>
                <w:t>Registration Rights Agreement, dated as of August 9, 2024, by and among Xtant Medical Holdings, Inc. and the investors party thereto (filed as Exhibit</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4"/>
          </w:tcPr>
          <w:p>
            <w:pPr>
              <w:spacing w:after="0" w:line="182" w:lineRule="exact"/>
              <w:rPr>
                <w:rFonts w:ascii="Times New Roman" w:cs="Times New Roman" w:eastAsia="Times New Roman" w:hAnsi="Times New Roman"/>
                <w:sz w:val="17"/>
                <w:szCs w:val="17"/>
                <w:color w:val="0000EE"/>
                <w:w w:val="99"/>
              </w:rPr>
            </w:pPr>
            <w:hyperlink r:id="rId134">
              <w:r>
                <w:rPr>
                  <w:rFonts w:ascii="Times New Roman" w:cs="Times New Roman" w:eastAsia="Times New Roman" w:hAnsi="Times New Roman"/>
                  <w:sz w:val="17"/>
                  <w:szCs w:val="17"/>
                  <w:color w:val="0000EE"/>
                  <w:w w:val="99"/>
                </w:rPr>
                <w:t>4.</w:t>
              </w:r>
              <w:r>
                <w:rPr>
                  <w:rFonts w:ascii="Times New Roman" w:cs="Times New Roman" w:eastAsia="Times New Roman" w:hAnsi="Times New Roman"/>
                  <w:sz w:val="17"/>
                  <w:szCs w:val="17"/>
                  <w:u w:val="single" w:color="auto"/>
                  <w:color w:val="0000EE"/>
                  <w:w w:val="99"/>
                </w:rPr>
                <w:t>11</w:t>
              </w:r>
              <w:r>
                <w:rPr>
                  <w:rFonts w:ascii="Times New Roman" w:cs="Times New Roman" w:eastAsia="Times New Roman" w:hAnsi="Times New Roman"/>
                  <w:sz w:val="17"/>
                  <w:szCs w:val="17"/>
                  <w:color w:val="0000EE"/>
                  <w:w w:val="99"/>
                </w:rPr>
                <w:t xml:space="preserve"> to the Registrant’s Registration Statement on Form S-3 filed with the SEC on September 3, 2024 (SEC File No. 333-281910) and incorporated by</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4"/>
          </w:tcPr>
          <w:p>
            <w:pPr>
              <w:spacing w:after="0" w:line="182"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reference herein)</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r>
      <w:tr>
        <w:trPr>
          <w:trHeight w:val="409"/>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Registration Rights Agreement, dated as of April 10, 2025, among Xtant Medical Holdings, Inc. and each of the several purchasers signatory thereto</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4"/>
          </w:tcPr>
          <w:p>
            <w:pPr>
              <w:spacing w:after="0" w:line="182" w:lineRule="exact"/>
              <w:rPr>
                <w:rFonts w:ascii="Times New Roman" w:cs="Times New Roman" w:eastAsia="Times New Roman" w:hAnsi="Times New Roman"/>
                <w:sz w:val="17"/>
                <w:szCs w:val="17"/>
                <w:color w:val="0000EE"/>
                <w:w w:val="98"/>
              </w:rPr>
            </w:pPr>
            <w:hyperlink r:id="rId135">
              <w:r>
                <w:rPr>
                  <w:rFonts w:ascii="Times New Roman" w:cs="Times New Roman" w:eastAsia="Times New Roman" w:hAnsi="Times New Roman"/>
                  <w:sz w:val="17"/>
                  <w:szCs w:val="17"/>
                  <w:color w:val="0000EE"/>
                  <w:w w:val="98"/>
                </w:rPr>
                <w:t>(filed as Exhibit 10.1 to the Registrant’s Current Report on Form 8-K filed with the SEC on April 11, 2025 (SEC File No. 001-34951) and incorporated</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0000EE"/>
            </w:tcBorders>
            <w:gridSpan w:val="3"/>
          </w:tcPr>
          <w:p>
            <w:pPr>
              <w:spacing w:after="0" w:line="182" w:lineRule="exact"/>
              <w:rPr>
                <w:rFonts w:ascii="Times New Roman" w:cs="Times New Roman" w:eastAsia="Times New Roman" w:hAnsi="Times New Roman"/>
                <w:sz w:val="17"/>
                <w:szCs w:val="17"/>
                <w:color w:val="0000EE"/>
                <w:w w:val="97"/>
              </w:rPr>
            </w:pPr>
            <w:hyperlink r:id="rId135">
              <w:r>
                <w:rPr>
                  <w:rFonts w:ascii="Times New Roman" w:cs="Times New Roman" w:eastAsia="Times New Roman" w:hAnsi="Times New Roman"/>
                  <w:sz w:val="17"/>
                  <w:szCs w:val="17"/>
                  <w:color w:val="0000EE"/>
                  <w:w w:val="97"/>
                </w:rPr>
                <w:t>by reference herein)</w:t>
              </w:r>
            </w:hyperlink>
          </w:p>
        </w:tc>
        <w:tc>
          <w:tcPr>
            <w:tcW w:w="8860" w:type="dxa"/>
            <w:vAlign w:val="bottom"/>
            <w:gridSpan w:val="11"/>
          </w:tcPr>
          <w:p>
            <w:pPr>
              <w:spacing w:after="0"/>
              <w:rPr>
                <w:sz w:val="15"/>
                <w:szCs w:val="15"/>
                <w:color w:val="auto"/>
              </w:rPr>
            </w:pPr>
          </w:p>
        </w:tc>
      </w:tr>
      <w:tr>
        <w:trPr>
          <w:trHeight w:val="409"/>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Form of Vendor Common Stock Purchase Warrant (filed as Exhibit 4.1 to the Registrant’s Quarterly Report on Form 10-Q for the quarterly period</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80" w:type="dxa"/>
            <w:vAlign w:val="bottom"/>
            <w:tcBorders>
              <w:bottom w:val="single" w:sz="8" w:color="0000EE"/>
            </w:tcBorders>
            <w:gridSpan w:val="7"/>
          </w:tcPr>
          <w:p>
            <w:pPr>
              <w:spacing w:after="0" w:line="182" w:lineRule="exact"/>
              <w:rPr>
                <w:rFonts w:ascii="Times New Roman" w:cs="Times New Roman" w:eastAsia="Times New Roman" w:hAnsi="Times New Roman"/>
                <w:sz w:val="17"/>
                <w:szCs w:val="17"/>
                <w:color w:val="0000EE"/>
                <w:w w:val="98"/>
              </w:rPr>
            </w:pPr>
            <w:hyperlink r:id="rId136">
              <w:r>
                <w:rPr>
                  <w:rFonts w:ascii="Times New Roman" w:cs="Times New Roman" w:eastAsia="Times New Roman" w:hAnsi="Times New Roman"/>
                  <w:sz w:val="17"/>
                  <w:szCs w:val="17"/>
                  <w:color w:val="0000EE"/>
                  <w:w w:val="98"/>
                </w:rPr>
                <w:t>ended June 30, 2024 (SEC File No. 001-34951) and incorporated by reference herein)</w:t>
              </w:r>
            </w:hyperlink>
          </w:p>
        </w:tc>
        <w:tc>
          <w:tcPr>
            <w:tcW w:w="4440" w:type="dxa"/>
            <w:vAlign w:val="bottom"/>
            <w:gridSpan w:val="7"/>
          </w:tcPr>
          <w:p>
            <w:pPr>
              <w:spacing w:after="0"/>
              <w:rPr>
                <w:sz w:val="15"/>
                <w:szCs w:val="15"/>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9"/>
              </w:rPr>
            </w:pPr>
            <w:hyperlink r:id="rId137">
              <w:r>
                <w:rPr>
                  <w:rFonts w:ascii="Times New Roman" w:cs="Times New Roman" w:eastAsia="Times New Roman" w:hAnsi="Times New Roman"/>
                  <w:sz w:val="17"/>
                  <w:szCs w:val="17"/>
                  <w:color w:val="0000EE"/>
                  <w:w w:val="99"/>
                </w:rPr>
                <w:t>Amended and Restated Xtant Medical Equity Incentive Plan (filed as Exhibit 10.8 to the Registrant’s Quarterly Report on Form 10-Q for the quarterly</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4"/>
          </w:tcPr>
          <w:p>
            <w:pPr>
              <w:spacing w:after="0" w:line="182" w:lineRule="exact"/>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period ended September 30, 2015 (SEC File No. 001-34951) and incorporated by reference herein)</w:t>
              </w:r>
            </w:hyperlink>
          </w:p>
        </w:tc>
      </w:tr>
      <w:tr>
        <w:trPr>
          <w:trHeight w:val="20"/>
        </w:trPr>
        <w:tc>
          <w:tcPr>
            <w:tcW w:w="1020" w:type="dxa"/>
            <w:vAlign w:val="bottom"/>
            <w:gridSpan w:val="2"/>
          </w:tcPr>
          <w:p>
            <w:pPr>
              <w:spacing w:after="0" w:line="20" w:lineRule="exact"/>
              <w:rPr>
                <w:sz w:val="1"/>
                <w:szCs w:val="1"/>
                <w:color w:val="auto"/>
              </w:rPr>
            </w:pPr>
          </w:p>
        </w:tc>
        <w:tc>
          <w:tcPr>
            <w:tcW w:w="5420" w:type="dxa"/>
            <w:vAlign w:val="bottom"/>
            <w:gridSpan w:val="6"/>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Xtant Medical Holdings, Inc. 2018 Equity Incentive Plan (filed as Exhibit 10.1 to the Registrant’s Current Report on Form 8-K filed with the SEC on</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4"/>
          </w:tcPr>
          <w:p>
            <w:pPr>
              <w:spacing w:after="0" w:line="182"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August 3, 2018 (SEC File No. 001-34951) and incorporated by reference herein)</w:t>
              </w:r>
            </w:hyperlink>
          </w:p>
        </w:tc>
      </w:tr>
      <w:tr>
        <w:trPr>
          <w:trHeight w:val="20"/>
        </w:trPr>
        <w:tc>
          <w:tcPr>
            <w:tcW w:w="1020" w:type="dxa"/>
            <w:vAlign w:val="bottom"/>
            <w:gridSpan w:val="2"/>
          </w:tcPr>
          <w:p>
            <w:pPr>
              <w:spacing w:after="0" w:line="20" w:lineRule="exact"/>
              <w:rPr>
                <w:sz w:val="1"/>
                <w:szCs w:val="1"/>
                <w:color w:val="auto"/>
              </w:rPr>
            </w:pPr>
          </w:p>
        </w:tc>
        <w:tc>
          <w:tcPr>
            <w:tcW w:w="5420" w:type="dxa"/>
            <w:vAlign w:val="bottom"/>
            <w:gridSpan w:val="6"/>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10.3●</w:t>
            </w: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9"/>
              </w:rPr>
            </w:pPr>
            <w:hyperlink r:id="rId139">
              <w:r>
                <w:rPr>
                  <w:rFonts w:ascii="Times New Roman" w:cs="Times New Roman" w:eastAsia="Times New Roman" w:hAnsi="Times New Roman"/>
                  <w:sz w:val="17"/>
                  <w:szCs w:val="17"/>
                  <w:color w:val="0000EE"/>
                  <w:w w:val="99"/>
                </w:rPr>
                <w:t>Xtant Medical Holdings, Inc. Amended and Restated 2018 Equity Incentive Plan (filed as Exhibit 10.1 to the Registrant’s Current Report on Form 8-K</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4"/>
          </w:tcPr>
          <w:p>
            <w:pPr>
              <w:spacing w:after="0" w:line="182" w:lineRule="exact"/>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filed with the SEC on October 28, 2020 (SEC File No. 001-34951) and incorporated by reference herein)</w:t>
              </w:r>
            </w:hyperlink>
          </w:p>
        </w:tc>
      </w:tr>
      <w:tr>
        <w:trPr>
          <w:trHeight w:val="20"/>
        </w:trPr>
        <w:tc>
          <w:tcPr>
            <w:tcW w:w="1020" w:type="dxa"/>
            <w:vAlign w:val="bottom"/>
            <w:gridSpan w:val="2"/>
          </w:tcPr>
          <w:p>
            <w:pPr>
              <w:spacing w:after="0" w:line="20" w:lineRule="exact"/>
              <w:rPr>
                <w:sz w:val="1"/>
                <w:szCs w:val="1"/>
                <w:color w:val="auto"/>
              </w:rPr>
            </w:pPr>
          </w:p>
        </w:tc>
        <w:tc>
          <w:tcPr>
            <w:tcW w:w="7060" w:type="dxa"/>
            <w:vAlign w:val="bottom"/>
            <w:gridSpan w:val="10"/>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1022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Xtant Medical Holdings, Inc. Second Amended and Restated 2018 Equity Incentive Plan (filed as Exhibit 10.1 to the Registrant’s Current Report on</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4"/>
          </w:tcPr>
          <w:p>
            <w:pPr>
              <w:spacing w:after="0" w:line="182"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Form 8-K filed with the SEC on October 28, 2022 (SEC File No. 001-34951) and incorporated by reference herein)</w:t>
              </w:r>
            </w:hyperlink>
          </w:p>
        </w:tc>
      </w:tr>
      <w:tr>
        <w:trPr>
          <w:trHeight w:val="446"/>
        </w:trPr>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20" w:type="dxa"/>
            <w:vAlign w:val="bottom"/>
            <w:tcBorders>
              <w:top w:val="single" w:sz="8" w:color="0000EE"/>
              <w:bottom w:val="single" w:sz="8" w:color="auto"/>
            </w:tcBorders>
            <w:gridSpan w:val="6"/>
          </w:tcPr>
          <w:p>
            <w:pPr>
              <w:ind w:left="4520"/>
              <w:spacing w:after="0"/>
              <w:rPr>
                <w:sz w:val="20"/>
                <w:szCs w:val="20"/>
                <w:color w:val="auto"/>
              </w:rPr>
            </w:pPr>
            <w:r>
              <w:rPr>
                <w:rFonts w:ascii="Times New Roman" w:cs="Times New Roman" w:eastAsia="Times New Roman" w:hAnsi="Times New Roman"/>
                <w:sz w:val="17"/>
                <w:szCs w:val="17"/>
                <w:color w:val="auto"/>
              </w:rPr>
              <w:t>99</w:t>
            </w:r>
          </w:p>
        </w:tc>
        <w:tc>
          <w:tcPr>
            <w:tcW w:w="36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4"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80" w:type="dxa"/>
            <w:vAlign w:val="bottom"/>
            <w:tcBorders>
              <w:bottom w:val="single" w:sz="8" w:color="auto"/>
            </w:tcBorders>
            <w:gridSpan w:val="6"/>
          </w:tcPr>
          <w:p>
            <w:pPr>
              <w:ind w:left="21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90"/>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10.5●</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9"/>
              </w:rPr>
            </w:pPr>
            <w:hyperlink r:id="rId141">
              <w:r>
                <w:rPr>
                  <w:rFonts w:ascii="Times New Roman" w:cs="Times New Roman" w:eastAsia="Times New Roman" w:hAnsi="Times New Roman"/>
                  <w:sz w:val="17"/>
                  <w:szCs w:val="17"/>
                  <w:color w:val="0000EE"/>
                  <w:w w:val="99"/>
                </w:rPr>
                <w:t>Form of Employee Stock Option Award Agreement for use with the Xtant Medical Holdings, Inc. 2018 Equity Incentive Plan (filed as Exhibit 10.2 to</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8"/>
              </w:rPr>
            </w:pPr>
            <w:hyperlink r:id="rId141">
              <w:r>
                <w:rPr>
                  <w:rFonts w:ascii="Times New Roman" w:cs="Times New Roman" w:eastAsia="Times New Roman" w:hAnsi="Times New Roman"/>
                  <w:sz w:val="17"/>
                  <w:szCs w:val="17"/>
                  <w:color w:val="0000EE"/>
                  <w:w w:val="98"/>
                </w:rPr>
                <w:t>the Registrant’s Current Report on Form 8-K filed with the SEC on August 3, 2018 (SEC File No. 001-34951) and incorporated by reference herein)</w:t>
              </w:r>
            </w:hyperlink>
          </w:p>
        </w:tc>
        <w:tc>
          <w:tcPr>
            <w:tcW w:w="220" w:type="dxa"/>
            <w:vAlign w:val="bottom"/>
            <w:gridSpan w:val="2"/>
          </w:tcPr>
          <w:p>
            <w:pPr>
              <w:spacing w:after="0"/>
              <w:rPr>
                <w:sz w:val="15"/>
                <w:szCs w:val="15"/>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10.6●</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9"/>
              </w:rPr>
            </w:pPr>
            <w:hyperlink r:id="rId142">
              <w:r>
                <w:rPr>
                  <w:rFonts w:ascii="Times New Roman" w:cs="Times New Roman" w:eastAsia="Times New Roman" w:hAnsi="Times New Roman"/>
                  <w:sz w:val="17"/>
                  <w:szCs w:val="17"/>
                  <w:color w:val="0000EE"/>
                  <w:w w:val="99"/>
                </w:rPr>
                <w:t>Form of Employee Restricted Stock Unit Award Agreement for use with the Xtant Medical Holdings, Inc. 2018 Equity Incentive Plan (filed as Exhibit</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w:t>
              </w:r>
              <w:r>
                <w:rPr>
                  <w:rFonts w:ascii="Times New Roman" w:cs="Times New Roman" w:eastAsia="Times New Roman" w:hAnsi="Times New Roman"/>
                  <w:sz w:val="17"/>
                  <w:szCs w:val="17"/>
                  <w:color w:val="0000EE"/>
                </w:rPr>
                <w:t xml:space="preserve"> to the Registrant’s Current Report on Form 8-K filed with the SEC on August 3, 2018 (SEC File No. 001-34951) and incorporated by reference</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5"/>
              </w:rPr>
            </w:pPr>
            <w:hyperlink r:id="rId142">
              <w:r>
                <w:rPr>
                  <w:rFonts w:ascii="Times New Roman" w:cs="Times New Roman" w:eastAsia="Times New Roman" w:hAnsi="Times New Roman"/>
                  <w:sz w:val="17"/>
                  <w:szCs w:val="17"/>
                  <w:color w:val="0000EE"/>
                  <w:w w:val="95"/>
                </w:rPr>
                <w:t>herein)</w:t>
              </w:r>
            </w:hyperlink>
          </w:p>
        </w:tc>
        <w:tc>
          <w:tcPr>
            <w:tcW w:w="9740" w:type="dxa"/>
            <w:vAlign w:val="bottom"/>
            <w:gridSpan w:val="11"/>
          </w:tcPr>
          <w:p>
            <w:pPr>
              <w:spacing w:after="0"/>
              <w:rPr>
                <w:sz w:val="15"/>
                <w:szCs w:val="15"/>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10.7●</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Form of Non-Employee Director Restricted Stock Unit Award Agreement for use with the Xtant Medical Holdings, Inc. 2018 Equity Incentive Plan</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w w:val="99"/>
              </w:rPr>
            </w:pPr>
            <w:hyperlink r:id="rId143">
              <w:r>
                <w:rPr>
                  <w:rFonts w:ascii="Times New Roman" w:cs="Times New Roman" w:eastAsia="Times New Roman" w:hAnsi="Times New Roman"/>
                  <w:sz w:val="17"/>
                  <w:szCs w:val="17"/>
                  <w:color w:val="0000EE"/>
                  <w:w w:val="99"/>
                </w:rPr>
                <w:t>(filed as Exhibit 10.2 to the Registrant’s Quarterly Report on Form 10-Q for the quarterly period ended September 30, 2019 (SEC File No. 001-34951)</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bottom w:val="single" w:sz="8" w:color="0000EE"/>
            </w:tcBorders>
            <w:gridSpan w:val="6"/>
          </w:tcPr>
          <w:p>
            <w:pPr>
              <w:spacing w:after="0" w:line="182" w:lineRule="exact"/>
              <w:rPr>
                <w:rFonts w:ascii="Times New Roman" w:cs="Times New Roman" w:eastAsia="Times New Roman" w:hAnsi="Times New Roman"/>
                <w:sz w:val="17"/>
                <w:szCs w:val="17"/>
                <w:color w:val="0000EE"/>
                <w:w w:val="98"/>
              </w:rPr>
            </w:pPr>
            <w:hyperlink r:id="rId143">
              <w:r>
                <w:rPr>
                  <w:rFonts w:ascii="Times New Roman" w:cs="Times New Roman" w:eastAsia="Times New Roman" w:hAnsi="Times New Roman"/>
                  <w:sz w:val="17"/>
                  <w:szCs w:val="17"/>
                  <w:color w:val="0000EE"/>
                  <w:w w:val="98"/>
                </w:rPr>
                <w:t>and incorporated by reference herein)</w:t>
              </w:r>
            </w:hyperlink>
          </w:p>
        </w:tc>
        <w:tc>
          <w:tcPr>
            <w:tcW w:w="7680" w:type="dxa"/>
            <w:vAlign w:val="bottom"/>
            <w:gridSpan w:val="6"/>
          </w:tcPr>
          <w:p>
            <w:pPr>
              <w:spacing w:after="0"/>
              <w:rPr>
                <w:sz w:val="15"/>
                <w:szCs w:val="15"/>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10.8●</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Xtant Medical Holdings, Inc. 2023 Equity Incentive Plan (filed as Exhibit 10.1 to the Registrant’s Current Report on Form 8-K filed with the SEC on</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2"/>
          </w:tcPr>
          <w:p>
            <w:pPr>
              <w:spacing w:after="0" w:line="182"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July 28, 2023 (SEC File No. 001-34951) and incorporated by reference herein)</w:t>
              </w:r>
            </w:hyperlink>
          </w:p>
        </w:tc>
      </w:tr>
      <w:tr>
        <w:trPr>
          <w:trHeight w:val="20"/>
        </w:trPr>
        <w:tc>
          <w:tcPr>
            <w:tcW w:w="102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10.9●</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Xtant Medical Holdings, Inc. Amended and Restated 2023 Equity Incentive Plan (as Amended on November 7, 2025) (filed as Exhibit 10.1 to the</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60" w:type="dxa"/>
            <w:vAlign w:val="bottom"/>
            <w:tcBorders>
              <w:bottom w:val="single" w:sz="8" w:color="0000EE"/>
            </w:tcBorders>
            <w:gridSpan w:val="11"/>
          </w:tcPr>
          <w:p>
            <w:pPr>
              <w:spacing w:after="0" w:line="182" w:lineRule="exact"/>
              <w:rPr>
                <w:rFonts w:ascii="Times New Roman" w:cs="Times New Roman" w:eastAsia="Times New Roman" w:hAnsi="Times New Roman"/>
                <w:sz w:val="17"/>
                <w:szCs w:val="17"/>
                <w:color w:val="0000EE"/>
                <w:w w:val="98"/>
              </w:rPr>
            </w:pPr>
            <w:hyperlink r:id="rId145">
              <w:r>
                <w:rPr>
                  <w:rFonts w:ascii="Times New Roman" w:cs="Times New Roman" w:eastAsia="Times New Roman" w:hAnsi="Times New Roman"/>
                  <w:sz w:val="17"/>
                  <w:szCs w:val="17"/>
                  <w:color w:val="0000EE"/>
                  <w:w w:val="98"/>
                </w:rPr>
                <w:t>Registrant’s Current Report on Form 8-K filed with the SEC on November 10, 2025 (SEC File No. 001-34951) and incorporated by reference herein)</w:t>
              </w:r>
            </w:hyperlink>
          </w:p>
        </w:tc>
        <w:tc>
          <w:tcPr>
            <w:tcW w:w="160" w:type="dxa"/>
            <w:vAlign w:val="bottom"/>
          </w:tcPr>
          <w:p>
            <w:pPr>
              <w:spacing w:after="0"/>
              <w:rPr>
                <w:sz w:val="15"/>
                <w:szCs w:val="15"/>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10.10●</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9"/>
              </w:rPr>
            </w:pPr>
            <w:hyperlink r:id="rId146">
              <w:r>
                <w:rPr>
                  <w:rFonts w:ascii="Times New Roman" w:cs="Times New Roman" w:eastAsia="Times New Roman" w:hAnsi="Times New Roman"/>
                  <w:sz w:val="17"/>
                  <w:szCs w:val="17"/>
                  <w:color w:val="0000EE"/>
                  <w:w w:val="99"/>
                </w:rPr>
                <w:t>Form of Employee Stock Option Award Agreement for use with the Xtant Medical Holdings, Inc. 2023 Equity Incentive Plan (filed as Exhibit 10.2 to</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Borders>
              <w:bottom w:val="single" w:sz="8" w:color="0000EE"/>
            </w:tcBorders>
            <w:gridSpan w:val="9"/>
          </w:tcPr>
          <w:p>
            <w:pPr>
              <w:spacing w:after="0" w:line="182" w:lineRule="exact"/>
              <w:rPr>
                <w:rFonts w:ascii="Times New Roman" w:cs="Times New Roman" w:eastAsia="Times New Roman" w:hAnsi="Times New Roman"/>
                <w:sz w:val="17"/>
                <w:szCs w:val="17"/>
                <w:color w:val="0000EE"/>
                <w:w w:val="98"/>
              </w:rPr>
            </w:pPr>
            <w:hyperlink r:id="rId146">
              <w:r>
                <w:rPr>
                  <w:rFonts w:ascii="Times New Roman" w:cs="Times New Roman" w:eastAsia="Times New Roman" w:hAnsi="Times New Roman"/>
                  <w:sz w:val="17"/>
                  <w:szCs w:val="17"/>
                  <w:color w:val="0000EE"/>
                  <w:w w:val="98"/>
                </w:rPr>
                <w:t>the Registrant’s Current Report on Form 8-K filed with the SEC on July 28, 2023 (SEC File No. 001-34951) and incorporated by reference herein)</w:t>
              </w:r>
            </w:hyperlink>
          </w:p>
        </w:tc>
        <w:tc>
          <w:tcPr>
            <w:tcW w:w="340" w:type="dxa"/>
            <w:vAlign w:val="bottom"/>
            <w:gridSpan w:val="3"/>
          </w:tcPr>
          <w:p>
            <w:pPr>
              <w:spacing w:after="0"/>
              <w:rPr>
                <w:sz w:val="15"/>
                <w:szCs w:val="15"/>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10.11●</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9"/>
              </w:rPr>
            </w:pPr>
            <w:hyperlink r:id="rId147">
              <w:r>
                <w:rPr>
                  <w:rFonts w:ascii="Times New Roman" w:cs="Times New Roman" w:eastAsia="Times New Roman" w:hAnsi="Times New Roman"/>
                  <w:sz w:val="17"/>
                  <w:szCs w:val="17"/>
                  <w:color w:val="0000EE"/>
                  <w:w w:val="99"/>
                </w:rPr>
                <w:t>Form of Employee Restricted Stock Unit Award Agreement for use with the Xtant Medical Holdings, Inc. 2023 Equity Incentive Plan (filed as Exhibit</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w:t>
              </w:r>
              <w:r>
                <w:rPr>
                  <w:rFonts w:ascii="Times New Roman" w:cs="Times New Roman" w:eastAsia="Times New Roman" w:hAnsi="Times New Roman"/>
                  <w:sz w:val="17"/>
                  <w:szCs w:val="17"/>
                  <w:color w:val="0000EE"/>
                </w:rPr>
                <w:t xml:space="preserve"> to the Registrant’s Current Report on Form 8-K filed with the SEC on July 28, 2023 (SEC File No. 001-34951) and incorporated by reference</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5"/>
              </w:rPr>
            </w:pPr>
            <w:hyperlink r:id="rId147">
              <w:r>
                <w:rPr>
                  <w:rFonts w:ascii="Times New Roman" w:cs="Times New Roman" w:eastAsia="Times New Roman" w:hAnsi="Times New Roman"/>
                  <w:sz w:val="17"/>
                  <w:szCs w:val="17"/>
                  <w:color w:val="0000EE"/>
                  <w:w w:val="95"/>
                </w:rPr>
                <w:t>herein)</w:t>
              </w:r>
            </w:hyperlink>
          </w:p>
        </w:tc>
        <w:tc>
          <w:tcPr>
            <w:tcW w:w="9740" w:type="dxa"/>
            <w:vAlign w:val="bottom"/>
            <w:gridSpan w:val="11"/>
          </w:tcPr>
          <w:p>
            <w:pPr>
              <w:spacing w:after="0"/>
              <w:rPr>
                <w:sz w:val="15"/>
                <w:szCs w:val="15"/>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10.12●</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48">
              <w:r>
                <w:rPr>
                  <w:rFonts w:ascii="Times New Roman" w:cs="Times New Roman" w:eastAsia="Times New Roman" w:hAnsi="Times New Roman"/>
                  <w:sz w:val="17"/>
                  <w:szCs w:val="17"/>
                  <w:color w:val="0000EE"/>
                </w:rPr>
                <w:t>Form of Non-Employee Director Restricted Stock Unit Award Agreement for use with the Xtant Medical Holdings, Inc. 2023 Equity Incentive Plan</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w w:val="99"/>
              </w:rPr>
            </w:pPr>
            <w:hyperlink r:id="rId148">
              <w:r>
                <w:rPr>
                  <w:rFonts w:ascii="Times New Roman" w:cs="Times New Roman" w:eastAsia="Times New Roman" w:hAnsi="Times New Roman"/>
                  <w:sz w:val="17"/>
                  <w:szCs w:val="17"/>
                  <w:color w:val="0000EE"/>
                  <w:w w:val="99"/>
                </w:rPr>
                <w:t>(filed as Exhibit 10.4 to the Registrant’s Current Report on Form 8-K filed with the SEC on July 28, 2023 (SEC File No. 001-34951) and incorporated</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0000EE"/>
            </w:tcBorders>
            <w:gridSpan w:val="4"/>
          </w:tcPr>
          <w:p>
            <w:pPr>
              <w:spacing w:after="0" w:line="182" w:lineRule="exact"/>
              <w:rPr>
                <w:rFonts w:ascii="Times New Roman" w:cs="Times New Roman" w:eastAsia="Times New Roman" w:hAnsi="Times New Roman"/>
                <w:sz w:val="17"/>
                <w:szCs w:val="17"/>
                <w:color w:val="0000EE"/>
                <w:w w:val="97"/>
              </w:rPr>
            </w:pPr>
            <w:hyperlink r:id="rId148">
              <w:r>
                <w:rPr>
                  <w:rFonts w:ascii="Times New Roman" w:cs="Times New Roman" w:eastAsia="Times New Roman" w:hAnsi="Times New Roman"/>
                  <w:sz w:val="17"/>
                  <w:szCs w:val="17"/>
                  <w:color w:val="0000EE"/>
                  <w:w w:val="97"/>
                </w:rPr>
                <w:t>by reference herein)</w:t>
              </w:r>
            </w:hyperlink>
          </w:p>
        </w:tc>
        <w:tc>
          <w:tcPr>
            <w:tcW w:w="8860" w:type="dxa"/>
            <w:vAlign w:val="bottom"/>
            <w:gridSpan w:val="8"/>
          </w:tcPr>
          <w:p>
            <w:pPr>
              <w:spacing w:after="0"/>
              <w:rPr>
                <w:sz w:val="15"/>
                <w:szCs w:val="15"/>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10.13●</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49">
              <w:r>
                <w:rPr>
                  <w:rFonts w:ascii="Times New Roman" w:cs="Times New Roman" w:eastAsia="Times New Roman" w:hAnsi="Times New Roman"/>
                  <w:sz w:val="17"/>
                  <w:szCs w:val="17"/>
                  <w:color w:val="0000EE"/>
                </w:rPr>
                <w:t>Form of Non-Employee Director Deferred Stock Unit Award Agreement for use with the Xtant Medical Holdings, Inc. 2023 Equity Incentive Plan</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w w:val="99"/>
              </w:rPr>
            </w:pPr>
            <w:hyperlink r:id="rId149">
              <w:r>
                <w:rPr>
                  <w:rFonts w:ascii="Times New Roman" w:cs="Times New Roman" w:eastAsia="Times New Roman" w:hAnsi="Times New Roman"/>
                  <w:sz w:val="17"/>
                  <w:szCs w:val="17"/>
                  <w:color w:val="0000EE"/>
                  <w:w w:val="99"/>
                </w:rPr>
                <w:t>(filed as Exhibit 10.5 to the Registrant’s Current Report on Form 8-K filed with the SEC on July 28, 2023 (SEC File No. 001-34951) and incorporated</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0000EE"/>
            </w:tcBorders>
            <w:gridSpan w:val="4"/>
          </w:tcPr>
          <w:p>
            <w:pPr>
              <w:spacing w:after="0" w:line="182" w:lineRule="exact"/>
              <w:rPr>
                <w:rFonts w:ascii="Times New Roman" w:cs="Times New Roman" w:eastAsia="Times New Roman" w:hAnsi="Times New Roman"/>
                <w:sz w:val="17"/>
                <w:szCs w:val="17"/>
                <w:color w:val="0000EE"/>
                <w:w w:val="97"/>
              </w:rPr>
            </w:pPr>
            <w:hyperlink r:id="rId149">
              <w:r>
                <w:rPr>
                  <w:rFonts w:ascii="Times New Roman" w:cs="Times New Roman" w:eastAsia="Times New Roman" w:hAnsi="Times New Roman"/>
                  <w:sz w:val="17"/>
                  <w:szCs w:val="17"/>
                  <w:color w:val="0000EE"/>
                  <w:w w:val="97"/>
                </w:rPr>
                <w:t>by reference herein)</w:t>
              </w:r>
            </w:hyperlink>
          </w:p>
        </w:tc>
        <w:tc>
          <w:tcPr>
            <w:tcW w:w="8860" w:type="dxa"/>
            <w:vAlign w:val="bottom"/>
            <w:gridSpan w:val="8"/>
          </w:tcPr>
          <w:p>
            <w:pPr>
              <w:spacing w:after="0"/>
              <w:rPr>
                <w:sz w:val="15"/>
                <w:szCs w:val="15"/>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10.14●</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9"/>
              </w:rPr>
            </w:pPr>
            <w:hyperlink r:id="rId150">
              <w:r>
                <w:rPr>
                  <w:rFonts w:ascii="Times New Roman" w:cs="Times New Roman" w:eastAsia="Times New Roman" w:hAnsi="Times New Roman"/>
                  <w:sz w:val="17"/>
                  <w:szCs w:val="17"/>
                  <w:color w:val="0000EE"/>
                  <w:w w:val="99"/>
                </w:rPr>
                <w:t>Form of 2024 Employee Performance Share Unit Award Agreement for use with the Xtant Medical Holdings, Inc. 2023 Equity Incentive Plan (filed as</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rPr>
            </w:pPr>
            <w:hyperlink r:id="rId150">
              <w:r>
                <w:rPr>
                  <w:rFonts w:ascii="Times New Roman" w:cs="Times New Roman" w:eastAsia="Times New Roman" w:hAnsi="Times New Roman"/>
                  <w:sz w:val="17"/>
                  <w:szCs w:val="17"/>
                  <w:color w:val="0000EE"/>
                </w:rPr>
                <w:t>Exhibit 10.13 to the Registrant’s Annual Report on Form 10-K for the year ended December 31, 2023 (SEC File No. 001-34951) and incorporated by</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2"/>
          </w:tcPr>
          <w:p>
            <w:pPr>
              <w:spacing w:after="0" w:line="182" w:lineRule="exact"/>
              <w:rPr>
                <w:rFonts w:ascii="Times New Roman" w:cs="Times New Roman" w:eastAsia="Times New Roman" w:hAnsi="Times New Roman"/>
                <w:sz w:val="17"/>
                <w:szCs w:val="17"/>
                <w:color w:val="0000EE"/>
              </w:rPr>
            </w:pPr>
            <w:hyperlink r:id="rId150">
              <w:r>
                <w:rPr>
                  <w:rFonts w:ascii="Times New Roman" w:cs="Times New Roman" w:eastAsia="Times New Roman" w:hAnsi="Times New Roman"/>
                  <w:sz w:val="17"/>
                  <w:szCs w:val="17"/>
                  <w:color w:val="0000EE"/>
                </w:rPr>
                <w:t>reference herein)</w:t>
              </w:r>
            </w:hyperlink>
          </w:p>
        </w:tc>
      </w:tr>
      <w:tr>
        <w:trPr>
          <w:trHeight w:val="20"/>
        </w:trPr>
        <w:tc>
          <w:tcPr>
            <w:tcW w:w="102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10.15●</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Form of Executive Officer Deferred Stock Unit Award Agreement for use with the Xtant Medical Holdings, Inc. 2023 Equity Incentive Plan (filed as</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Exhibit 10.1 to the Registrant’s Quarterly Report on Form 10-Q for the quarterly period ended March 31, 2024 (SEC File No. 001-34951) and</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2"/>
          </w:tcPr>
          <w:p>
            <w:pPr>
              <w:spacing w:after="0" w:line="182" w:lineRule="exact"/>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incorporated by reference herein)</w:t>
              </w:r>
            </w:hyperlink>
          </w:p>
        </w:tc>
      </w:tr>
      <w:tr>
        <w:trPr>
          <w:trHeight w:val="20"/>
        </w:trPr>
        <w:tc>
          <w:tcPr>
            <w:tcW w:w="102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10.16●*</w:t>
            </w:r>
          </w:p>
        </w:tc>
        <w:tc>
          <w:tcPr>
            <w:tcW w:w="102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Form of Employee Performance Share Unit Award Agreement for use with the Xtant Medical Holdings, Inc. Amended and Restated 2023 Equity</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2"/>
          </w:tcPr>
          <w:p>
            <w:pPr>
              <w:spacing w:after="0" w:line="182" w:lineRule="exact"/>
              <w:rPr>
                <w:sz w:val="20"/>
                <w:szCs w:val="20"/>
                <w:color w:val="auto"/>
              </w:rPr>
            </w:pPr>
            <w:r>
              <w:rPr>
                <w:rFonts w:ascii="Times New Roman" w:cs="Times New Roman" w:eastAsia="Times New Roman" w:hAnsi="Times New Roman"/>
                <w:sz w:val="17"/>
                <w:szCs w:val="17"/>
                <w:color w:val="0000EE"/>
              </w:rPr>
              <w:t>Incentive Plan</w:t>
            </w:r>
          </w:p>
        </w:tc>
      </w:tr>
      <w:tr>
        <w:trPr>
          <w:trHeight w:val="20"/>
        </w:trPr>
        <w:tc>
          <w:tcPr>
            <w:tcW w:w="102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r>
      <w:tr>
        <w:trPr>
          <w:trHeight w:val="409"/>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10.17●</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52">
              <w:r>
                <w:rPr>
                  <w:rFonts w:ascii="Times New Roman" w:cs="Times New Roman" w:eastAsia="Times New Roman" w:hAnsi="Times New Roman"/>
                  <w:sz w:val="17"/>
                  <w:szCs w:val="17"/>
                  <w:color w:val="0000EE"/>
                </w:rPr>
                <w:t>Form of Indemnification Agreement for Directors and Officers (filed as Exhibit 10.14 to the Registrant’s Annual Report on Form 10-K for the year</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12"/>
          </w:tcPr>
          <w:p>
            <w:pPr>
              <w:spacing w:after="0" w:line="182" w:lineRule="exact"/>
              <w:rPr>
                <w:rFonts w:ascii="Times New Roman" w:cs="Times New Roman" w:eastAsia="Times New Roman" w:hAnsi="Times New Roman"/>
                <w:sz w:val="17"/>
                <w:szCs w:val="17"/>
                <w:color w:val="0000EE"/>
              </w:rPr>
            </w:pPr>
            <w:hyperlink r:id="rId152">
              <w:r>
                <w:rPr>
                  <w:rFonts w:ascii="Times New Roman" w:cs="Times New Roman" w:eastAsia="Times New Roman" w:hAnsi="Times New Roman"/>
                  <w:sz w:val="17"/>
                  <w:szCs w:val="17"/>
                  <w:color w:val="0000EE"/>
                </w:rPr>
                <w:t>ended December 31, 2023 (SEC File No. 001-34951) and incorporated by reference herein)</w:t>
              </w:r>
            </w:hyperlink>
          </w:p>
        </w:tc>
      </w:tr>
      <w:tr>
        <w:trPr>
          <w:trHeight w:val="446"/>
        </w:trPr>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00" w:type="dxa"/>
            <w:vAlign w:val="bottom"/>
            <w:tcBorders>
              <w:top w:val="single" w:sz="8" w:color="0000EE"/>
              <w:bottom w:val="single" w:sz="8" w:color="auto"/>
            </w:tcBorders>
            <w:gridSpan w:val="7"/>
          </w:tcPr>
          <w:p>
            <w:pPr>
              <w:ind w:left="4480"/>
              <w:spacing w:after="0"/>
              <w:rPr>
                <w:sz w:val="20"/>
                <w:szCs w:val="20"/>
                <w:color w:val="auto"/>
              </w:rPr>
            </w:pPr>
            <w:r>
              <w:rPr>
                <w:rFonts w:ascii="Times New Roman" w:cs="Times New Roman" w:eastAsia="Times New Roman" w:hAnsi="Times New Roman"/>
                <w:sz w:val="17"/>
                <w:szCs w:val="17"/>
                <w:color w:val="auto"/>
              </w:rPr>
              <w:t>100</w:t>
            </w:r>
          </w:p>
        </w:tc>
        <w:tc>
          <w:tcPr>
            <w:tcW w:w="860" w:type="dxa"/>
            <w:vAlign w:val="bottom"/>
            <w:tcBorders>
              <w:top w:val="single" w:sz="8" w:color="0000EE"/>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4" w:right="339" w:bottom="1440" w:gutter="0" w:footer="0" w:header="0"/>
        </w:sectPr>
      </w:pPr>
    </w:p>
    <w:bookmarkStart w:id="105" w:name="page106"/>
    <w:bookmarkEnd w:id="105"/>
    <w:p>
      <w:pPr>
        <w:ind w:left="40"/>
        <w:spacing w:after="0"/>
        <w:tabs>
          <w:tab w:leader="none" w:pos="5700"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10.18●</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54">
              <w:r>
                <w:rPr>
                  <w:rFonts w:ascii="Times New Roman" w:cs="Times New Roman" w:eastAsia="Times New Roman" w:hAnsi="Times New Roman"/>
                  <w:sz w:val="17"/>
                  <w:szCs w:val="17"/>
                  <w:color w:val="0000EE"/>
                </w:rPr>
                <w:t>Employment Agreement, effective as of October 7, 2019, between Xtant Medical Holdings, Inc. and Sean E. Browne (filed as Exhibit 10.1 to the</w:t>
              </w:r>
            </w:hyperlink>
          </w:p>
        </w:tc>
      </w:tr>
      <w:tr>
        <w:trPr>
          <w:trHeight w:val="182"/>
        </w:trPr>
        <w:tc>
          <w:tcPr>
            <w:tcW w:w="10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54">
              <w:r>
                <w:rPr>
                  <w:rFonts w:ascii="Times New Roman" w:cs="Times New Roman" w:eastAsia="Times New Roman" w:hAnsi="Times New Roman"/>
                  <w:sz w:val="17"/>
                  <w:szCs w:val="17"/>
                  <w:color w:val="0000EE"/>
                </w:rPr>
                <w:t>Registrant’s Current Report on Form 8-K filed with the SEC on October 7, 2019 (SEC File No. 001-34951)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55">
              <w:r>
                <w:rPr>
                  <w:rFonts w:ascii="Times New Roman" w:cs="Times New Roman" w:eastAsia="Times New Roman" w:hAnsi="Times New Roman"/>
                  <w:sz w:val="17"/>
                  <w:szCs w:val="17"/>
                  <w:color w:val="0000EE"/>
                </w:rPr>
                <w:t>Amendment No. 1 to Employment Agreement effective as of August 8, 2024 between Xtant Medical Holdings, Inc. and Sean E. Browne (filed as</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55">
              <w:r>
                <w:rPr>
                  <w:rFonts w:ascii="Times New Roman" w:cs="Times New Roman" w:eastAsia="Times New Roman" w:hAnsi="Times New Roman"/>
                  <w:sz w:val="17"/>
                  <w:szCs w:val="17"/>
                  <w:color w:val="0000EE"/>
                </w:rPr>
                <w:t>Exhibit 10.2 to the Registrant’s Quarterly Report on Form 10-Q for the quarterly period ended June 30, 2024 (SEC File No. 001-34951) and</w:t>
              </w:r>
            </w:hyperlink>
          </w:p>
        </w:tc>
      </w:tr>
      <w:tr>
        <w:trPr>
          <w:trHeight w:val="182"/>
        </w:trPr>
        <w:tc>
          <w:tcPr>
            <w:tcW w:w="10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55">
              <w:r>
                <w:rPr>
                  <w:rFonts w:ascii="Times New Roman" w:cs="Times New Roman" w:eastAsia="Times New Roman" w:hAnsi="Times New Roman"/>
                  <w:sz w:val="17"/>
                  <w:szCs w:val="17"/>
                  <w:color w:val="0000EE"/>
                </w:rPr>
                <w:t>incorporated by reference herein)</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56">
              <w:r>
                <w:rPr>
                  <w:rFonts w:ascii="Times New Roman" w:cs="Times New Roman" w:eastAsia="Times New Roman" w:hAnsi="Times New Roman"/>
                  <w:sz w:val="17"/>
                  <w:szCs w:val="17"/>
                  <w:color w:val="0000EE"/>
                </w:rPr>
                <w:t>Employment Agreement, effective as of June 1, 2022, between Xtant Medical Holdings, Inc. and Scott Neils (filed as Exhibit 10.1 to the Registrant’s</w:t>
              </w:r>
            </w:hyperlink>
          </w:p>
        </w:tc>
      </w:tr>
      <w:tr>
        <w:trPr>
          <w:trHeight w:val="182"/>
        </w:trPr>
        <w:tc>
          <w:tcPr>
            <w:tcW w:w="10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56">
              <w:r>
                <w:rPr>
                  <w:rFonts w:ascii="Times New Roman" w:cs="Times New Roman" w:eastAsia="Times New Roman" w:hAnsi="Times New Roman"/>
                  <w:sz w:val="17"/>
                  <w:szCs w:val="17"/>
                  <w:color w:val="0000EE"/>
                </w:rPr>
                <w:t>Current Report on Form 8-K filed with the SEC on May 2, 2022 (SEC File No. 001-34951)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9"/>
              </w:rPr>
            </w:pPr>
            <w:hyperlink r:id="rId157">
              <w:r>
                <w:rPr>
                  <w:rFonts w:ascii="Times New Roman" w:cs="Times New Roman" w:eastAsia="Times New Roman" w:hAnsi="Times New Roman"/>
                  <w:sz w:val="17"/>
                  <w:szCs w:val="17"/>
                  <w:color w:val="0000EE"/>
                  <w:w w:val="99"/>
                </w:rPr>
                <w:t>Employment Agreement, effective as of January 16, 2023, between Xtant Medical Holdings, Inc. and Mark A. Schallenberger (filed as Exhibit 10.1 to</w:t>
              </w:r>
            </w:hyperlink>
          </w:p>
        </w:tc>
      </w:tr>
      <w:tr>
        <w:trPr>
          <w:trHeight w:val="182"/>
        </w:trPr>
        <w:tc>
          <w:tcPr>
            <w:tcW w:w="1020" w:type="dxa"/>
            <w:vAlign w:val="bottom"/>
          </w:tcPr>
          <w:p>
            <w:pPr>
              <w:spacing w:after="0"/>
              <w:rPr>
                <w:sz w:val="15"/>
                <w:szCs w:val="15"/>
                <w:color w:val="auto"/>
              </w:rPr>
            </w:pPr>
          </w:p>
        </w:tc>
        <w:tc>
          <w:tcPr>
            <w:tcW w:w="1004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8"/>
              </w:rPr>
            </w:pPr>
            <w:hyperlink r:id="rId157">
              <w:r>
                <w:rPr>
                  <w:rFonts w:ascii="Times New Roman" w:cs="Times New Roman" w:eastAsia="Times New Roman" w:hAnsi="Times New Roman"/>
                  <w:sz w:val="17"/>
                  <w:szCs w:val="17"/>
                  <w:color w:val="0000EE"/>
                  <w:w w:val="98"/>
                </w:rPr>
                <w:t>the Registrant’s Current Report on Form 8-K filed with the SEC on January 9, 2023 (SEC File No. 001-34951) and incorporated by reference herein)</w:t>
              </w:r>
            </w:hyperlink>
          </w:p>
        </w:tc>
        <w:tc>
          <w:tcPr>
            <w:tcW w:w="180" w:type="dxa"/>
            <w:vAlign w:val="bottom"/>
            <w:gridSpan w:val="2"/>
          </w:tcPr>
          <w:p>
            <w:pPr>
              <w:spacing w:after="0"/>
              <w:rPr>
                <w:sz w:val="15"/>
                <w:szCs w:val="15"/>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10.22●</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58">
              <w:r>
                <w:rPr>
                  <w:rFonts w:ascii="Times New Roman" w:cs="Times New Roman" w:eastAsia="Times New Roman" w:hAnsi="Times New Roman"/>
                  <w:sz w:val="17"/>
                  <w:szCs w:val="17"/>
                  <w:color w:val="0000EE"/>
                </w:rPr>
                <w:t>Letter Agreement, dated August 25, 2022, between Xtant Medical Holdings, Inc. and Stavros Vizirgianakis (filed as Exhibit 10.3 to the Registrant’s</w:t>
              </w:r>
            </w:hyperlink>
          </w:p>
        </w:tc>
      </w:tr>
      <w:tr>
        <w:trPr>
          <w:trHeight w:val="182"/>
        </w:trPr>
        <w:tc>
          <w:tcPr>
            <w:tcW w:w="10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58">
              <w:r>
                <w:rPr>
                  <w:rFonts w:ascii="Times New Roman" w:cs="Times New Roman" w:eastAsia="Times New Roman" w:hAnsi="Times New Roman"/>
                  <w:sz w:val="17"/>
                  <w:szCs w:val="17"/>
                  <w:color w:val="0000EE"/>
                </w:rPr>
                <w:t>Current Report on Form 8-K filed with the SEC on August 31, 2022 (SEC File No. 001-34951)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9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10.23</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9"/>
              </w:rPr>
            </w:pPr>
            <w:hyperlink r:id="rId159">
              <w:r>
                <w:rPr>
                  <w:rFonts w:ascii="Times New Roman" w:cs="Times New Roman" w:eastAsia="Times New Roman" w:hAnsi="Times New Roman"/>
                  <w:sz w:val="17"/>
                  <w:szCs w:val="17"/>
                  <w:color w:val="0000EE"/>
                  <w:w w:val="99"/>
                </w:rPr>
                <w:t>Securities Purchase Agreement, dated as of August 23, 2022, among Xtant Medical Holdings, Inc. and the investors party thereto (filed as Exhibit 10.1</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59">
              <w:r>
                <w:rPr>
                  <w:rFonts w:ascii="Times New Roman" w:cs="Times New Roman" w:eastAsia="Times New Roman" w:hAnsi="Times New Roman"/>
                  <w:sz w:val="17"/>
                  <w:szCs w:val="17"/>
                  <w:color w:val="0000EE"/>
                </w:rPr>
                <w:t>to the Registrant’s Current Report on Form 8-K filed with the SEC on August 24, 2022 (SEC File No. 001-34951) and incorporated by reference</w:t>
              </w:r>
            </w:hyperlink>
          </w:p>
        </w:tc>
      </w:tr>
      <w:tr>
        <w:trPr>
          <w:trHeight w:val="182"/>
        </w:trPr>
        <w:tc>
          <w:tcPr>
            <w:tcW w:w="1020" w:type="dxa"/>
            <w:vAlign w:val="bottom"/>
          </w:tcPr>
          <w:p>
            <w:pPr>
              <w:spacing w:after="0"/>
              <w:rPr>
                <w:sz w:val="15"/>
                <w:szCs w:val="15"/>
                <w:color w:val="auto"/>
              </w:rPr>
            </w:pPr>
          </w:p>
        </w:tc>
        <w:tc>
          <w:tcPr>
            <w:tcW w:w="48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5"/>
              </w:rPr>
            </w:pPr>
            <w:hyperlink r:id="rId159">
              <w:r>
                <w:rPr>
                  <w:rFonts w:ascii="Times New Roman" w:cs="Times New Roman" w:eastAsia="Times New Roman" w:hAnsi="Times New Roman"/>
                  <w:sz w:val="17"/>
                  <w:szCs w:val="17"/>
                  <w:color w:val="0000EE"/>
                  <w:w w:val="95"/>
                </w:rPr>
                <w:t>herein)</w:t>
              </w:r>
            </w:hyperlink>
          </w:p>
        </w:tc>
        <w:tc>
          <w:tcPr>
            <w:tcW w:w="9740" w:type="dxa"/>
            <w:vAlign w:val="bottom"/>
            <w:gridSpan w:val="9"/>
          </w:tcPr>
          <w:p>
            <w:pPr>
              <w:spacing w:after="0"/>
              <w:rPr>
                <w:sz w:val="15"/>
                <w:szCs w:val="15"/>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10.24</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60">
              <w:r>
                <w:rPr>
                  <w:rFonts w:ascii="Times New Roman" w:cs="Times New Roman" w:eastAsia="Times New Roman" w:hAnsi="Times New Roman"/>
                  <w:sz w:val="17"/>
                  <w:szCs w:val="17"/>
                  <w:color w:val="0000EE"/>
                </w:rPr>
                <w:t>Securities Purchase Agreement, dated as of July 3, 2023, among Xtant Medical Holdings, Inc. and the investors party thereto (filed as Exhibit 10.1 to</w:t>
              </w:r>
            </w:hyperlink>
          </w:p>
        </w:tc>
      </w:tr>
      <w:tr>
        <w:trPr>
          <w:trHeight w:val="182"/>
        </w:trPr>
        <w:tc>
          <w:tcPr>
            <w:tcW w:w="10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60">
              <w:r>
                <w:rPr>
                  <w:rFonts w:ascii="Times New Roman" w:cs="Times New Roman" w:eastAsia="Times New Roman" w:hAnsi="Times New Roman"/>
                  <w:sz w:val="17"/>
                  <w:szCs w:val="17"/>
                  <w:color w:val="0000EE"/>
                </w:rPr>
                <w:t>the Registrant’s Current Report on Form 8-K filed with the SEC on July 3, 2023 (SEC File No. 001-34951)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72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10.25</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61">
              <w:r>
                <w:rPr>
                  <w:rFonts w:ascii="Times New Roman" w:cs="Times New Roman" w:eastAsia="Times New Roman" w:hAnsi="Times New Roman"/>
                  <w:sz w:val="17"/>
                  <w:szCs w:val="17"/>
                  <w:color w:val="0000EE"/>
                </w:rPr>
                <w:t>Securities Purchase Agreement, dated as of August 7, 2024, among Xtant Medical Holdings, Inc. and the investors party thereto (filed as Exhibit 10.1</w:t>
              </w:r>
            </w:hyperlink>
          </w:p>
        </w:tc>
      </w:tr>
      <w:tr>
        <w:trPr>
          <w:trHeight w:val="182"/>
        </w:trPr>
        <w:tc>
          <w:tcPr>
            <w:tcW w:w="10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w w:val="99"/>
              </w:rPr>
            </w:pPr>
            <w:hyperlink r:id="rId161">
              <w:r>
                <w:rPr>
                  <w:rFonts w:ascii="Times New Roman" w:cs="Times New Roman" w:eastAsia="Times New Roman" w:hAnsi="Times New Roman"/>
                  <w:sz w:val="17"/>
                  <w:szCs w:val="17"/>
                  <w:color w:val="0000EE"/>
                  <w:w w:val="99"/>
                </w:rPr>
                <w:t>to the Registrant’s Current Report on Form 8-K filed with the SEC on August 8, 2024 (SEC File No. 001-34951)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1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10.26</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62">
              <w:r>
                <w:rPr>
                  <w:rFonts w:ascii="Times New Roman" w:cs="Times New Roman" w:eastAsia="Times New Roman" w:hAnsi="Times New Roman"/>
                  <w:sz w:val="17"/>
                  <w:szCs w:val="17"/>
                  <w:color w:val="0000EE"/>
                </w:rPr>
                <w:t>Amended and Restated Credit, Security and Guaranty Agreement (Term Loan), dated as of March 7, 2024, among Xtant Medical, Inc., Bacterin</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62">
              <w:r>
                <w:rPr>
                  <w:rFonts w:ascii="Times New Roman" w:cs="Times New Roman" w:eastAsia="Times New Roman" w:hAnsi="Times New Roman"/>
                  <w:sz w:val="17"/>
                  <w:szCs w:val="17"/>
                  <w:color w:val="0000EE"/>
                </w:rPr>
                <w:t>International, Inc., X-spine Systems, Inc., Surgalign SPV, Inc., and any additional borrower that hereafter becomes party thereto, Xtant Medical</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62">
              <w:r>
                <w:rPr>
                  <w:rFonts w:ascii="Times New Roman" w:cs="Times New Roman" w:eastAsia="Times New Roman" w:hAnsi="Times New Roman"/>
                  <w:sz w:val="17"/>
                  <w:szCs w:val="17"/>
                  <w:color w:val="0000EE"/>
                </w:rPr>
                <w:t>Holdings, Inc., and any additional guarantor that hereafter becomes party thereto, and MidCap Financial Trust, as agent, and the lenders from time to</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62">
              <w:r>
                <w:rPr>
                  <w:rFonts w:ascii="Times New Roman" w:cs="Times New Roman" w:eastAsia="Times New Roman" w:hAnsi="Times New Roman"/>
                  <w:sz w:val="17"/>
                  <w:szCs w:val="17"/>
                  <w:color w:val="0000EE"/>
                </w:rPr>
                <w:t>time party thereto (filed as Exhibit 10.1 to the Registrant’s Current Report on Form 8-K filed with the SEC on March 7, 2024 (SEC File No. 001-</w:t>
              </w:r>
            </w:hyperlink>
          </w:p>
        </w:tc>
      </w:tr>
      <w:tr>
        <w:trPr>
          <w:trHeight w:val="182"/>
        </w:trPr>
        <w:tc>
          <w:tcPr>
            <w:tcW w:w="1020" w:type="dxa"/>
            <w:vAlign w:val="bottom"/>
          </w:tcPr>
          <w:p>
            <w:pPr>
              <w:spacing w:after="0"/>
              <w:rPr>
                <w:sz w:val="15"/>
                <w:szCs w:val="15"/>
                <w:color w:val="auto"/>
              </w:rPr>
            </w:pPr>
          </w:p>
        </w:tc>
        <w:tc>
          <w:tcPr>
            <w:tcW w:w="3060" w:type="dxa"/>
            <w:vAlign w:val="bottom"/>
            <w:tcBorders>
              <w:bottom w:val="single" w:sz="8" w:color="0000EE"/>
            </w:tcBorders>
            <w:gridSpan w:val="4"/>
          </w:tcPr>
          <w:p>
            <w:pPr>
              <w:spacing w:after="0" w:line="182" w:lineRule="exact"/>
              <w:rPr>
                <w:rFonts w:ascii="Times New Roman" w:cs="Times New Roman" w:eastAsia="Times New Roman" w:hAnsi="Times New Roman"/>
                <w:sz w:val="17"/>
                <w:szCs w:val="17"/>
                <w:color w:val="0000EE"/>
                <w:w w:val="98"/>
              </w:rPr>
            </w:pPr>
            <w:hyperlink r:id="rId162">
              <w:r>
                <w:rPr>
                  <w:rFonts w:ascii="Times New Roman" w:cs="Times New Roman" w:eastAsia="Times New Roman" w:hAnsi="Times New Roman"/>
                  <w:sz w:val="17"/>
                  <w:szCs w:val="17"/>
                  <w:color w:val="0000EE"/>
                  <w:w w:val="98"/>
                </w:rPr>
                <w:t>34951) and incorporated by reference herein)</w:t>
              </w:r>
            </w:hyperlink>
          </w:p>
        </w:tc>
        <w:tc>
          <w:tcPr>
            <w:tcW w:w="7160" w:type="dxa"/>
            <w:vAlign w:val="bottom"/>
            <w:gridSpan w:val="6"/>
          </w:tcPr>
          <w:p>
            <w:pPr>
              <w:spacing w:after="0"/>
              <w:rPr>
                <w:sz w:val="15"/>
                <w:szCs w:val="15"/>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10.27</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63">
              <w:r>
                <w:rPr>
                  <w:rFonts w:ascii="Times New Roman" w:cs="Times New Roman" w:eastAsia="Times New Roman" w:hAnsi="Times New Roman"/>
                  <w:sz w:val="17"/>
                  <w:szCs w:val="17"/>
                  <w:color w:val="0000EE"/>
                </w:rPr>
                <w:t>Amended and Restated Credit, Security and Guaranty Agreement (Revolving Loan), dated as of March 7, 2024, among Xtant Medical, Inc., Bacterin</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63">
              <w:r>
                <w:rPr>
                  <w:rFonts w:ascii="Times New Roman" w:cs="Times New Roman" w:eastAsia="Times New Roman" w:hAnsi="Times New Roman"/>
                  <w:sz w:val="17"/>
                  <w:szCs w:val="17"/>
                  <w:color w:val="0000EE"/>
                </w:rPr>
                <w:t>International, Inc., X-spine Systems, Inc., Surgalign SPV, Inc., and any additional borrower that hereafter becomes party thereto, Xtant Medical</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9"/>
              </w:rPr>
            </w:pPr>
            <w:hyperlink r:id="rId163">
              <w:r>
                <w:rPr>
                  <w:rFonts w:ascii="Times New Roman" w:cs="Times New Roman" w:eastAsia="Times New Roman" w:hAnsi="Times New Roman"/>
                  <w:sz w:val="17"/>
                  <w:szCs w:val="17"/>
                  <w:color w:val="0000EE"/>
                  <w:w w:val="99"/>
                </w:rPr>
                <w:t>Holdings, Inc., and any additional guarantor that hereafter becomes party thereto, and MidCap Funding IV Trust, as agent, and the lenders from time to</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63">
              <w:r>
                <w:rPr>
                  <w:rFonts w:ascii="Times New Roman" w:cs="Times New Roman" w:eastAsia="Times New Roman" w:hAnsi="Times New Roman"/>
                  <w:sz w:val="17"/>
                  <w:szCs w:val="17"/>
                  <w:color w:val="0000EE"/>
                </w:rPr>
                <w:t>time party thereto (filed as Exhibit 10.2 to the Registrant’s Current Report on Form 8-K filed with the SEC on March 7, 2024 (SEC File No. 001-</w:t>
              </w:r>
            </w:hyperlink>
          </w:p>
        </w:tc>
      </w:tr>
      <w:tr>
        <w:trPr>
          <w:trHeight w:val="182"/>
        </w:trPr>
        <w:tc>
          <w:tcPr>
            <w:tcW w:w="1020" w:type="dxa"/>
            <w:vAlign w:val="bottom"/>
          </w:tcPr>
          <w:p>
            <w:pPr>
              <w:spacing w:after="0"/>
              <w:rPr>
                <w:sz w:val="15"/>
                <w:szCs w:val="15"/>
                <w:color w:val="auto"/>
              </w:rPr>
            </w:pPr>
          </w:p>
        </w:tc>
        <w:tc>
          <w:tcPr>
            <w:tcW w:w="10220" w:type="dxa"/>
            <w:vAlign w:val="bottom"/>
            <w:gridSpan w:val="10"/>
          </w:tcPr>
          <w:p>
            <w:pPr>
              <w:spacing w:after="0" w:line="182" w:lineRule="exact"/>
              <w:rPr>
                <w:rFonts w:ascii="Times New Roman" w:cs="Times New Roman" w:eastAsia="Times New Roman" w:hAnsi="Times New Roman"/>
                <w:sz w:val="17"/>
                <w:szCs w:val="17"/>
                <w:color w:val="0000EE"/>
              </w:rPr>
            </w:pPr>
            <w:hyperlink r:id="rId163">
              <w:r>
                <w:rPr>
                  <w:rFonts w:ascii="Times New Roman" w:cs="Times New Roman" w:eastAsia="Times New Roman" w:hAnsi="Times New Roman"/>
                  <w:sz w:val="17"/>
                  <w:szCs w:val="17"/>
                  <w:color w:val="0000EE"/>
                </w:rPr>
                <w:t>34951)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7180" w:type="dxa"/>
            <w:vAlign w:val="bottom"/>
            <w:gridSpan w:val="7"/>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10.28</w:t>
            </w:r>
          </w:p>
        </w:tc>
        <w:tc>
          <w:tcPr>
            <w:tcW w:w="1022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9"/>
              </w:rPr>
            </w:pPr>
            <w:hyperlink r:id="rId164">
              <w:r>
                <w:rPr>
                  <w:rFonts w:ascii="Times New Roman" w:cs="Times New Roman" w:eastAsia="Times New Roman" w:hAnsi="Times New Roman"/>
                  <w:sz w:val="17"/>
                  <w:szCs w:val="17"/>
                  <w:color w:val="0000EE"/>
                  <w:w w:val="99"/>
                </w:rPr>
                <w:t>Amendment No. 1 to Amended and Restated Credit, Security and Guaranty Agreement (Term Loan), dated as of May 14, 2024, among Xtant Medical,</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164">
              <w:r>
                <w:rPr>
                  <w:rFonts w:ascii="Times New Roman" w:cs="Times New Roman" w:eastAsia="Times New Roman" w:hAnsi="Times New Roman"/>
                  <w:sz w:val="17"/>
                  <w:szCs w:val="17"/>
                  <w:color w:val="0000EE"/>
                </w:rPr>
                <w:t>Inc., Bacterin International, Inc., X-spine Systems, Inc., Surgalign SPV, Inc., and any additional borrower that hereafter becomes party thereto, Xtant</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9"/>
              </w:rPr>
            </w:pPr>
            <w:hyperlink r:id="rId164">
              <w:r>
                <w:rPr>
                  <w:rFonts w:ascii="Times New Roman" w:cs="Times New Roman" w:eastAsia="Times New Roman" w:hAnsi="Times New Roman"/>
                  <w:sz w:val="17"/>
                  <w:szCs w:val="17"/>
                  <w:color w:val="0000EE"/>
                  <w:w w:val="99"/>
                </w:rPr>
                <w:t>Medical Holdings, Inc., as a guarantor, MidCap Financial Trust, as agent, and the other financial institutions or other entities from time to time parties</w:t>
              </w:r>
            </w:hyperlink>
          </w:p>
        </w:tc>
      </w:tr>
    </w:tbl>
    <w:p>
      <w:pPr>
        <w:spacing w:after="0" w:line="9" w:lineRule="exact"/>
        <w:rPr>
          <w:sz w:val="20"/>
          <w:szCs w:val="20"/>
          <w:color w:val="auto"/>
        </w:rPr>
      </w:pPr>
    </w:p>
    <w:p>
      <w:pPr>
        <w:ind w:left="1020"/>
        <w:spacing w:after="0" w:line="274" w:lineRule="auto"/>
        <w:rPr>
          <w:rFonts w:ascii="Times New Roman" w:cs="Times New Roman" w:eastAsia="Times New Roman" w:hAnsi="Times New Roman"/>
          <w:sz w:val="17"/>
          <w:szCs w:val="17"/>
          <w:u w:val="single" w:color="auto"/>
          <w:color w:val="0000EE"/>
        </w:rPr>
      </w:pPr>
      <w:hyperlink r:id="rId164">
        <w:r>
          <w:rPr>
            <w:rFonts w:ascii="Times New Roman" w:cs="Times New Roman" w:eastAsia="Times New Roman" w:hAnsi="Times New Roman"/>
            <w:sz w:val="17"/>
            <w:szCs w:val="17"/>
            <w:u w:val="single" w:color="auto"/>
            <w:color w:val="0000EE"/>
          </w:rPr>
          <w:t>thereto (filed as Exhibit 10.4 to the Registrant’s Quarterly Report on Form 10-Q for the quarterly period ended March 31, 2024 (SEC File No. 001-</w:t>
        </w:r>
      </w:hyperlink>
      <w:hyperlink r:id="rId164">
        <w:r>
          <w:rPr>
            <w:rFonts w:ascii="Times New Roman" w:cs="Times New Roman" w:eastAsia="Times New Roman" w:hAnsi="Times New Roman"/>
            <w:sz w:val="17"/>
            <w:szCs w:val="17"/>
            <w:u w:val="single" w:color="auto"/>
            <w:color w:val="0000EE"/>
          </w:rPr>
          <w:t>34951) and incorporated by reference herein)</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106" w:name="page107"/>
    <w:bookmarkEnd w:id="106"/>
    <w:p>
      <w:pPr>
        <w:ind w:left="40"/>
        <w:spacing w:after="0"/>
        <w:tabs>
          <w:tab w:leader="none" w:pos="5700"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7141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10.29</w:t>
            </w:r>
          </w:p>
        </w:tc>
        <w:tc>
          <w:tcPr>
            <w:tcW w:w="1022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Amendment No. 1 to Amended and Restated Credit, Security and Guaranty Agreement (Revolving Loan), dated as of May 14, 2024, among Xtant</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Medical, Inc., Bacterin International, Inc., X-spine Systems, Inc., Surgalign SPV, Inc., and any additional borrower that hereafter becomes party</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8"/>
              </w:rPr>
            </w:pPr>
            <w:hyperlink r:id="rId167">
              <w:r>
                <w:rPr>
                  <w:rFonts w:ascii="Times New Roman" w:cs="Times New Roman" w:eastAsia="Times New Roman" w:hAnsi="Times New Roman"/>
                  <w:sz w:val="17"/>
                  <w:szCs w:val="17"/>
                  <w:color w:val="0000EE"/>
                  <w:w w:val="98"/>
                </w:rPr>
                <w:t>thereto, Xtant Medical Holdings, Inc., as a guarantor, MidCap Funding IV Trust, as agent, and the other financial institutions or other entities from time</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to time parties thereto (filed as Exhibit 10.5 to the Registrant’s Quarterly Report on Form 10-Q for the quarterly period ended March 31, 2024 (SEC</w:t>
              </w:r>
            </w:hyperlink>
          </w:p>
        </w:tc>
      </w:tr>
      <w:tr>
        <w:trPr>
          <w:trHeight w:val="182"/>
        </w:trPr>
        <w:tc>
          <w:tcPr>
            <w:tcW w:w="1020" w:type="dxa"/>
            <w:vAlign w:val="bottom"/>
          </w:tcPr>
          <w:p>
            <w:pPr>
              <w:spacing w:after="0"/>
              <w:rPr>
                <w:sz w:val="15"/>
                <w:szCs w:val="15"/>
                <w:color w:val="auto"/>
              </w:rPr>
            </w:pPr>
          </w:p>
        </w:tc>
        <w:tc>
          <w:tcPr>
            <w:tcW w:w="10220" w:type="dxa"/>
            <w:vAlign w:val="bottom"/>
            <w:gridSpan w:val="8"/>
          </w:tcPr>
          <w:p>
            <w:pPr>
              <w:spacing w:after="0" w:line="182" w:lineRule="exact"/>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File No. 001-34951)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83"/>
        </w:trPr>
        <w:tc>
          <w:tcPr>
            <w:tcW w:w="10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10.30</w:t>
            </w:r>
          </w:p>
        </w:tc>
        <w:tc>
          <w:tcPr>
            <w:tcW w:w="1022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9"/>
              </w:rPr>
            </w:pPr>
            <w:hyperlink r:id="rId168">
              <w:r>
                <w:rPr>
                  <w:rFonts w:ascii="Times New Roman" w:cs="Times New Roman" w:eastAsia="Times New Roman" w:hAnsi="Times New Roman"/>
                  <w:sz w:val="17"/>
                  <w:szCs w:val="17"/>
                  <w:color w:val="0000EE"/>
                  <w:w w:val="99"/>
                </w:rPr>
                <w:t>Amendment No. 2 to Amended and Restated Credit, Security and Guaranty Agreement (Term Loan), dated as of April 9, 2025, among Xtant Medical,</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Inc., Bacterin International, Inc., X-spine Systems, Inc., Surgalign SPV, Inc., and any additional borrower that hereafter becomes party thereto, Xtant</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9"/>
              </w:rPr>
            </w:pPr>
            <w:hyperlink r:id="rId168">
              <w:r>
                <w:rPr>
                  <w:rFonts w:ascii="Times New Roman" w:cs="Times New Roman" w:eastAsia="Times New Roman" w:hAnsi="Times New Roman"/>
                  <w:sz w:val="17"/>
                  <w:szCs w:val="17"/>
                  <w:color w:val="0000EE"/>
                  <w:w w:val="99"/>
                </w:rPr>
                <w:t>Medical Holdings, Inc., as a guarantor, MidCap Financial Trust, as agent, and the other financial institutions or other entities from time to time parties</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thereto (filed as Exhibit 10.2 to the Registrant’s Current Report on Form 8-K filed with the SEC on April 11, 2025 (SEC File No. 001-34951) and</w:t>
              </w:r>
            </w:hyperlink>
          </w:p>
        </w:tc>
      </w:tr>
      <w:tr>
        <w:trPr>
          <w:trHeight w:val="182"/>
        </w:trPr>
        <w:tc>
          <w:tcPr>
            <w:tcW w:w="1020" w:type="dxa"/>
            <w:vAlign w:val="bottom"/>
          </w:tcPr>
          <w:p>
            <w:pPr>
              <w:spacing w:after="0"/>
              <w:rPr>
                <w:sz w:val="15"/>
                <w:szCs w:val="15"/>
                <w:color w:val="auto"/>
              </w:rPr>
            </w:pPr>
          </w:p>
        </w:tc>
        <w:tc>
          <w:tcPr>
            <w:tcW w:w="10220" w:type="dxa"/>
            <w:vAlign w:val="bottom"/>
            <w:gridSpan w:val="8"/>
          </w:tcPr>
          <w:p>
            <w:pPr>
              <w:spacing w:after="0" w:line="182" w:lineRule="exact"/>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incorporated by reference herein)</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83"/>
        </w:trPr>
        <w:tc>
          <w:tcPr>
            <w:tcW w:w="10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10.31</w:t>
            </w:r>
          </w:p>
        </w:tc>
        <w:tc>
          <w:tcPr>
            <w:tcW w:w="1022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Amendment No. 2 to Amended and Restated Credit, Security and Guaranty Agreement (Revolving Loan), dated as of April 9, 2025, among Xtant</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Medical, Inc., Bacterin International, Inc., X-spine Systems, Inc., Surgalign SPV, Inc., and any additional borrower that hereafter becomes party</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8"/>
              </w:rPr>
            </w:pPr>
            <w:hyperlink r:id="rId169">
              <w:r>
                <w:rPr>
                  <w:rFonts w:ascii="Times New Roman" w:cs="Times New Roman" w:eastAsia="Times New Roman" w:hAnsi="Times New Roman"/>
                  <w:sz w:val="17"/>
                  <w:szCs w:val="17"/>
                  <w:color w:val="0000EE"/>
                  <w:w w:val="98"/>
                </w:rPr>
                <w:t>thereto, Xtant Medical Holdings, Inc., as a guarantor, MidCap Funding IV Trust, as agent, and the other financial institutions or other entities from time</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to time parties thereto (filed as Exhibit 10.3 to the Registrant’s Current Report on Form 8-K filed with the SEC on April 11, 2025 (SEC File No. 001-</w:t>
              </w:r>
            </w:hyperlink>
          </w:p>
        </w:tc>
      </w:tr>
      <w:tr>
        <w:trPr>
          <w:trHeight w:val="182"/>
        </w:trPr>
        <w:tc>
          <w:tcPr>
            <w:tcW w:w="1020" w:type="dxa"/>
            <w:vAlign w:val="bottom"/>
          </w:tcPr>
          <w:p>
            <w:pPr>
              <w:spacing w:after="0"/>
              <w:rPr>
                <w:sz w:val="15"/>
                <w:szCs w:val="15"/>
                <w:color w:val="auto"/>
              </w:rPr>
            </w:pPr>
          </w:p>
        </w:tc>
        <w:tc>
          <w:tcPr>
            <w:tcW w:w="10220" w:type="dxa"/>
            <w:vAlign w:val="bottom"/>
            <w:gridSpan w:val="8"/>
          </w:tcPr>
          <w:p>
            <w:pPr>
              <w:spacing w:after="0" w:line="182" w:lineRule="exact"/>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34951)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83"/>
        </w:trPr>
        <w:tc>
          <w:tcPr>
            <w:tcW w:w="10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10.32</w:t>
            </w:r>
          </w:p>
        </w:tc>
        <w:tc>
          <w:tcPr>
            <w:tcW w:w="1022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Limited Consent and Amendment No. 3 to Amended and Restated Credit, Security and Guaranty Agreement (Term Loan), dated as of July 7, 2025,</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8"/>
              </w:rPr>
            </w:pPr>
            <w:hyperlink r:id="rId170">
              <w:r>
                <w:rPr>
                  <w:rFonts w:ascii="Times New Roman" w:cs="Times New Roman" w:eastAsia="Times New Roman" w:hAnsi="Times New Roman"/>
                  <w:sz w:val="17"/>
                  <w:szCs w:val="17"/>
                  <w:color w:val="0000EE"/>
                  <w:w w:val="98"/>
                </w:rPr>
                <w:t>among Xtant Medical, Inc., Bacterin International, Inc., X-spine Systems, Inc., Surgalign SPV, Inc., and any additional borrower that hereafter becomes</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9"/>
              </w:rPr>
            </w:pPr>
            <w:hyperlink r:id="rId170">
              <w:r>
                <w:rPr>
                  <w:rFonts w:ascii="Times New Roman" w:cs="Times New Roman" w:eastAsia="Times New Roman" w:hAnsi="Times New Roman"/>
                  <w:sz w:val="17"/>
                  <w:szCs w:val="17"/>
                  <w:color w:val="0000EE"/>
                  <w:w w:val="99"/>
                </w:rPr>
                <w:t>party thereto, Xtant Medical Holdings, Inc., as a guarantor, MidCap Financial Trust, as agent, and the other financial institutions or other entities from</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time to time parties thereto (filed as Exhibit 10.1 to the Registrant’s Current Report on Form 8-K as filed with the SEC on July 8, 2025 (SEC File No.</w:t>
              </w:r>
            </w:hyperlink>
          </w:p>
        </w:tc>
      </w:tr>
      <w:tr>
        <w:trPr>
          <w:trHeight w:val="182"/>
        </w:trPr>
        <w:tc>
          <w:tcPr>
            <w:tcW w:w="1020" w:type="dxa"/>
            <w:vAlign w:val="bottom"/>
          </w:tcPr>
          <w:p>
            <w:pPr>
              <w:spacing w:after="0"/>
              <w:rPr>
                <w:sz w:val="15"/>
                <w:szCs w:val="15"/>
                <w:color w:val="auto"/>
              </w:rPr>
            </w:pPr>
          </w:p>
        </w:tc>
        <w:tc>
          <w:tcPr>
            <w:tcW w:w="3360" w:type="dxa"/>
            <w:vAlign w:val="bottom"/>
            <w:tcBorders>
              <w:bottom w:val="single" w:sz="8" w:color="0000EE"/>
            </w:tcBorders>
            <w:gridSpan w:val="4"/>
          </w:tcPr>
          <w:p>
            <w:pPr>
              <w:spacing w:after="0" w:line="182" w:lineRule="exact"/>
              <w:rPr>
                <w:rFonts w:ascii="Times New Roman" w:cs="Times New Roman" w:eastAsia="Times New Roman" w:hAnsi="Times New Roman"/>
                <w:sz w:val="17"/>
                <w:szCs w:val="17"/>
                <w:color w:val="0000EE"/>
                <w:w w:val="98"/>
              </w:rPr>
            </w:pPr>
            <w:hyperlink r:id="rId170">
              <w:r>
                <w:rPr>
                  <w:rFonts w:ascii="Times New Roman" w:cs="Times New Roman" w:eastAsia="Times New Roman" w:hAnsi="Times New Roman"/>
                  <w:sz w:val="17"/>
                  <w:szCs w:val="17"/>
                  <w:color w:val="0000EE"/>
                  <w:w w:val="98"/>
                </w:rPr>
                <w:t>001-34951) and incorporated by reference herein)</w:t>
              </w:r>
            </w:hyperlink>
          </w:p>
        </w:tc>
        <w:tc>
          <w:tcPr>
            <w:tcW w:w="6860" w:type="dxa"/>
            <w:vAlign w:val="bottom"/>
            <w:gridSpan w:val="4"/>
          </w:tcPr>
          <w:p>
            <w:pPr>
              <w:spacing w:after="0"/>
              <w:rPr>
                <w:sz w:val="15"/>
                <w:szCs w:val="15"/>
                <w:color w:val="auto"/>
              </w:rPr>
            </w:pPr>
          </w:p>
        </w:tc>
      </w:tr>
      <w:tr>
        <w:trPr>
          <w:trHeight w:val="383"/>
        </w:trPr>
        <w:tc>
          <w:tcPr>
            <w:tcW w:w="10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10.33</w:t>
            </w:r>
          </w:p>
        </w:tc>
        <w:tc>
          <w:tcPr>
            <w:tcW w:w="1022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Limited Consent and Amendment No. 3 to Amended and Restated Credit, Security and Guaranty Agreement (Revolving Loan), dated as of July 7,</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2025, among Xtant Medical, Inc., Bacterin International, Inc., X-spine Systems, Inc., Surgalign SPV, Inc., and any additional borrower that hereafter</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becomes party thereto, Xtant Medical Holdings, Inc., as a guarantor, MidCap Funding IV Trust, as agent, and the other financial institutions or other</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entities from time to time parties thereto (filed as Exhibit 10.2 to the Registrant’s Current Report on Form 8-K as filed with the SEC on July 8, 2025</w:t>
              </w:r>
            </w:hyperlink>
          </w:p>
        </w:tc>
      </w:tr>
      <w:tr>
        <w:trPr>
          <w:trHeight w:val="182"/>
        </w:trPr>
        <w:tc>
          <w:tcPr>
            <w:tcW w:w="1020" w:type="dxa"/>
            <w:vAlign w:val="bottom"/>
          </w:tcPr>
          <w:p>
            <w:pPr>
              <w:spacing w:after="0"/>
              <w:rPr>
                <w:sz w:val="15"/>
                <w:szCs w:val="15"/>
                <w:color w:val="auto"/>
              </w:rPr>
            </w:pPr>
          </w:p>
        </w:tc>
        <w:tc>
          <w:tcPr>
            <w:tcW w:w="4360" w:type="dxa"/>
            <w:vAlign w:val="bottom"/>
            <w:tcBorders>
              <w:bottom w:val="single" w:sz="8" w:color="0000EE"/>
            </w:tcBorders>
            <w:gridSpan w:val="6"/>
          </w:tcPr>
          <w:p>
            <w:pPr>
              <w:spacing w:after="0" w:line="182" w:lineRule="exact"/>
              <w:rPr>
                <w:rFonts w:ascii="Times New Roman" w:cs="Times New Roman" w:eastAsia="Times New Roman" w:hAnsi="Times New Roman"/>
                <w:sz w:val="17"/>
                <w:szCs w:val="17"/>
                <w:color w:val="0000EE"/>
                <w:w w:val="98"/>
              </w:rPr>
            </w:pPr>
            <w:hyperlink r:id="rId171">
              <w:r>
                <w:rPr>
                  <w:rFonts w:ascii="Times New Roman" w:cs="Times New Roman" w:eastAsia="Times New Roman" w:hAnsi="Times New Roman"/>
                  <w:sz w:val="17"/>
                  <w:szCs w:val="17"/>
                  <w:color w:val="0000EE"/>
                  <w:w w:val="98"/>
                </w:rPr>
                <w:t>(SEC File No. 001-34951) and incorporated by reference herein)</w:t>
              </w:r>
            </w:hyperlink>
          </w:p>
        </w:tc>
        <w:tc>
          <w:tcPr>
            <w:tcW w:w="5860" w:type="dxa"/>
            <w:vAlign w:val="bottom"/>
            <w:gridSpan w:val="2"/>
          </w:tcPr>
          <w:p>
            <w:pPr>
              <w:spacing w:after="0"/>
              <w:rPr>
                <w:sz w:val="15"/>
                <w:szCs w:val="15"/>
                <w:color w:val="auto"/>
              </w:rPr>
            </w:pPr>
          </w:p>
        </w:tc>
      </w:tr>
      <w:tr>
        <w:trPr>
          <w:trHeight w:val="383"/>
        </w:trPr>
        <w:tc>
          <w:tcPr>
            <w:tcW w:w="10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10.34</w:t>
            </w:r>
          </w:p>
        </w:tc>
        <w:tc>
          <w:tcPr>
            <w:tcW w:w="1022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Commercial Lease, dated February 1, 2012, between Cruiser Lane, LLC and Bacterin International Holdings, Inc. (filed as Exhibit 10.30 to the</w:t>
              </w:r>
            </w:hyperlink>
          </w:p>
        </w:tc>
      </w:tr>
      <w:tr>
        <w:trPr>
          <w:trHeight w:val="182"/>
        </w:trPr>
        <w:tc>
          <w:tcPr>
            <w:tcW w:w="1020" w:type="dxa"/>
            <w:vAlign w:val="bottom"/>
          </w:tcPr>
          <w:p>
            <w:pPr>
              <w:spacing w:after="0"/>
              <w:rPr>
                <w:sz w:val="15"/>
                <w:szCs w:val="15"/>
                <w:color w:val="auto"/>
              </w:rPr>
            </w:pPr>
          </w:p>
        </w:tc>
        <w:tc>
          <w:tcPr>
            <w:tcW w:w="10220" w:type="dxa"/>
            <w:vAlign w:val="bottom"/>
            <w:gridSpan w:val="8"/>
          </w:tcPr>
          <w:p>
            <w:pPr>
              <w:spacing w:after="0" w:line="182" w:lineRule="exact"/>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Registrant’s Annual Report on Form 10-K for the year ended December 31, 2022 (SEC File No. 001-34951)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38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83"/>
        </w:trPr>
        <w:tc>
          <w:tcPr>
            <w:tcW w:w="10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10.35</w:t>
            </w:r>
          </w:p>
        </w:tc>
        <w:tc>
          <w:tcPr>
            <w:tcW w:w="1022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173">
              <w:r>
                <w:rPr>
                  <w:rFonts w:ascii="Times New Roman" w:cs="Times New Roman" w:eastAsia="Times New Roman" w:hAnsi="Times New Roman"/>
                  <w:sz w:val="17"/>
                  <w:szCs w:val="17"/>
                  <w:color w:val="0000EE"/>
                </w:rPr>
                <w:t>Addendum to Commercial Lease, dated December 3, 2018, between Cruiser Lane, LLC and Bacterin International Holdings, Inc. (filed as Exhibit</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8"/>
              </w:rPr>
            </w:pPr>
            <w:hyperlink r:id="rId173">
              <w:r>
                <w:rPr>
                  <w:rFonts w:ascii="Times New Roman" w:cs="Times New Roman" w:eastAsia="Times New Roman" w:hAnsi="Times New Roman"/>
                  <w:sz w:val="17"/>
                  <w:szCs w:val="17"/>
                  <w:color w:val="0000EE"/>
                  <w:w w:val="98"/>
                </w:rPr>
                <w:t>10.</w:t>
              </w:r>
              <w:r>
                <w:rPr>
                  <w:rFonts w:ascii="Times New Roman" w:cs="Times New Roman" w:eastAsia="Times New Roman" w:hAnsi="Times New Roman"/>
                  <w:sz w:val="17"/>
                  <w:szCs w:val="17"/>
                  <w:u w:val="single" w:color="auto"/>
                  <w:color w:val="0000EE"/>
                  <w:w w:val="98"/>
                </w:rPr>
                <w:t>31</w:t>
              </w:r>
              <w:r>
                <w:rPr>
                  <w:rFonts w:ascii="Times New Roman" w:cs="Times New Roman" w:eastAsia="Times New Roman" w:hAnsi="Times New Roman"/>
                  <w:sz w:val="17"/>
                  <w:szCs w:val="17"/>
                  <w:color w:val="0000EE"/>
                  <w:w w:val="98"/>
                </w:rPr>
                <w:t xml:space="preserve"> to the Registrant’s Annual Report on Form 10-K for the year ended December 31, 2022 (SEC File No. 001-34951) and incorporated by reference</w:t>
              </w:r>
            </w:hyperlink>
          </w:p>
        </w:tc>
      </w:tr>
      <w:tr>
        <w:trPr>
          <w:trHeight w:val="182"/>
        </w:trPr>
        <w:tc>
          <w:tcPr>
            <w:tcW w:w="1020" w:type="dxa"/>
            <w:vAlign w:val="bottom"/>
          </w:tcPr>
          <w:p>
            <w:pPr>
              <w:spacing w:after="0"/>
              <w:rPr>
                <w:sz w:val="15"/>
                <w:szCs w:val="15"/>
                <w:color w:val="auto"/>
              </w:rPr>
            </w:pPr>
          </w:p>
        </w:tc>
        <w:tc>
          <w:tcPr>
            <w:tcW w:w="48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5"/>
              </w:rPr>
            </w:pPr>
            <w:hyperlink r:id="rId173">
              <w:r>
                <w:rPr>
                  <w:rFonts w:ascii="Times New Roman" w:cs="Times New Roman" w:eastAsia="Times New Roman" w:hAnsi="Times New Roman"/>
                  <w:sz w:val="17"/>
                  <w:szCs w:val="17"/>
                  <w:color w:val="0000EE"/>
                  <w:w w:val="95"/>
                </w:rPr>
                <w:t>herein)</w:t>
              </w:r>
            </w:hyperlink>
          </w:p>
        </w:tc>
        <w:tc>
          <w:tcPr>
            <w:tcW w:w="9740" w:type="dxa"/>
            <w:vAlign w:val="bottom"/>
            <w:gridSpan w:val="7"/>
          </w:tcPr>
          <w:p>
            <w:pPr>
              <w:spacing w:after="0"/>
              <w:rPr>
                <w:sz w:val="15"/>
                <w:szCs w:val="15"/>
                <w:color w:val="auto"/>
              </w:rPr>
            </w:pPr>
          </w:p>
        </w:tc>
      </w:tr>
      <w:tr>
        <w:trPr>
          <w:trHeight w:val="383"/>
        </w:trPr>
        <w:tc>
          <w:tcPr>
            <w:tcW w:w="10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10.36</w:t>
            </w:r>
          </w:p>
        </w:tc>
        <w:tc>
          <w:tcPr>
            <w:tcW w:w="1022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Addendum to Commercial Lease, dated July 29, 2022, between Cruiser Lane, LLC and Xtant Medical, Inc. f/k/a Bacterin International Holdings, Inc.</w:t>
              </w:r>
            </w:hyperlink>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(filed as Exhibit 10.32 to the Registrant’s Annual Report on Form 10-K for the year ended December 31, 2022 (SEC File No. 001-34951) and</w:t>
              </w:r>
            </w:hyperlink>
          </w:p>
        </w:tc>
      </w:tr>
      <w:tr>
        <w:trPr>
          <w:trHeight w:val="182"/>
        </w:trPr>
        <w:tc>
          <w:tcPr>
            <w:tcW w:w="1020" w:type="dxa"/>
            <w:vAlign w:val="bottom"/>
          </w:tcPr>
          <w:p>
            <w:pPr>
              <w:spacing w:after="0"/>
              <w:rPr>
                <w:sz w:val="15"/>
                <w:szCs w:val="15"/>
                <w:color w:val="auto"/>
              </w:rPr>
            </w:pPr>
          </w:p>
        </w:tc>
        <w:tc>
          <w:tcPr>
            <w:tcW w:w="10220" w:type="dxa"/>
            <w:vAlign w:val="bottom"/>
            <w:gridSpan w:val="8"/>
          </w:tcPr>
          <w:p>
            <w:pPr>
              <w:spacing w:after="0" w:line="182"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incorporated by reference herein)</w:t>
              </w:r>
            </w:hyperlink>
          </w:p>
        </w:tc>
      </w:tr>
      <w:tr>
        <w:trPr>
          <w:trHeight w:val="446"/>
        </w:trPr>
        <w:tc>
          <w:tcPr>
            <w:tcW w:w="1020" w:type="dxa"/>
            <w:vAlign w:val="bottom"/>
            <w:tcBorders>
              <w:bottom w:val="single" w:sz="8" w:color="auto"/>
            </w:tcBorders>
          </w:tcPr>
          <w:p>
            <w:pPr>
              <w:spacing w:after="0"/>
              <w:rPr>
                <w:sz w:val="24"/>
                <w:szCs w:val="24"/>
                <w:color w:val="auto"/>
              </w:rPr>
            </w:pPr>
          </w:p>
        </w:tc>
        <w:tc>
          <w:tcPr>
            <w:tcW w:w="2240" w:type="dxa"/>
            <w:vAlign w:val="bottom"/>
            <w:tcBorders>
              <w:top w:val="single" w:sz="8" w:color="0000EE"/>
              <w:bottom w:val="single" w:sz="8" w:color="auto"/>
            </w:tcBorders>
            <w:gridSpan w:val="2"/>
          </w:tcPr>
          <w:p>
            <w:pPr>
              <w:spacing w:after="0"/>
              <w:rPr>
                <w:sz w:val="24"/>
                <w:szCs w:val="24"/>
                <w:color w:val="auto"/>
              </w:rPr>
            </w:pPr>
          </w:p>
        </w:tc>
        <w:tc>
          <w:tcPr>
            <w:tcW w:w="7620" w:type="dxa"/>
            <w:vAlign w:val="bottom"/>
            <w:tcBorders>
              <w:bottom w:val="single" w:sz="8" w:color="auto"/>
            </w:tcBorders>
            <w:gridSpan w:val="5"/>
          </w:tcPr>
          <w:p>
            <w:pPr>
              <w:jc w:val="right"/>
              <w:ind w:right="5120"/>
              <w:spacing w:after="0"/>
              <w:rPr>
                <w:sz w:val="20"/>
                <w:szCs w:val="20"/>
                <w:color w:val="auto"/>
              </w:rPr>
            </w:pPr>
            <w:r>
              <w:rPr>
                <w:rFonts w:ascii="Times New Roman" w:cs="Times New Roman" w:eastAsia="Times New Roman" w:hAnsi="Times New Roman"/>
                <w:sz w:val="17"/>
                <w:szCs w:val="17"/>
                <w:color w:val="auto"/>
              </w:rPr>
              <w:t>102</w:t>
            </w: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4" w:right="339" w:bottom="1440" w:gutter="0" w:footer="0" w:header="0"/>
        </w:sectPr>
      </w:pPr>
    </w:p>
    <w:bookmarkStart w:id="107" w:name="page108"/>
    <w:bookmarkEnd w:id="107"/>
    <w:p>
      <w:pPr>
        <w:ind w:left="40"/>
        <w:spacing w:after="0"/>
        <w:tabs>
          <w:tab w:leader="none" w:pos="5700"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10.37*</w:t>
            </w:r>
          </w:p>
        </w:tc>
        <w:tc>
          <w:tcPr>
            <w:tcW w:w="75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w w:val="98"/>
              </w:rPr>
              <w:t>Addendum to Commercial Lease, dated September 8, 2025, between Cruiser Lane, LLC and Xtant Medical, Inc.</w:t>
            </w:r>
          </w:p>
        </w:tc>
        <w:tc>
          <w:tcPr>
            <w:tcW w:w="2640" w:type="dxa"/>
            <w:vAlign w:val="bottom"/>
            <w:gridSpan w:val="5"/>
          </w:tcPr>
          <w:p>
            <w:pPr>
              <w:spacing w:after="0"/>
              <w:rPr>
                <w:sz w:val="17"/>
                <w:szCs w:val="17"/>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10.38*</w:t>
            </w:r>
          </w:p>
        </w:tc>
        <w:tc>
          <w:tcPr>
            <w:tcW w:w="6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w w:val="98"/>
              </w:rPr>
              <w:t>Lease Agreement, dated August 12, 2025, between McClellan Farm and Xtant Medical, Inc.</w:t>
            </w:r>
          </w:p>
        </w:tc>
        <w:tc>
          <w:tcPr>
            <w:tcW w:w="4000" w:type="dxa"/>
            <w:vAlign w:val="bottom"/>
            <w:gridSpan w:val="6"/>
          </w:tcPr>
          <w:p>
            <w:pPr>
              <w:spacing w:after="0"/>
              <w:rPr>
                <w:sz w:val="24"/>
                <w:szCs w:val="24"/>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10.39</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Triple Net Commercial Lease, dated October 23, 2015, between Shep Does Stuff LLC and Bacterin International, Inc. (filed as Exhibit 10.34 to the</w:t>
              </w:r>
            </w:hyperlink>
          </w:p>
        </w:tc>
      </w:tr>
      <w:tr>
        <w:trPr>
          <w:trHeight w:val="182"/>
        </w:trPr>
        <w:tc>
          <w:tcPr>
            <w:tcW w:w="1020" w:type="dxa"/>
            <w:vAlign w:val="bottom"/>
          </w:tcPr>
          <w:p>
            <w:pPr>
              <w:spacing w:after="0"/>
              <w:rPr>
                <w:sz w:val="15"/>
                <w:szCs w:val="15"/>
                <w:color w:val="auto"/>
              </w:rPr>
            </w:pPr>
          </w:p>
        </w:tc>
        <w:tc>
          <w:tcPr>
            <w:tcW w:w="10220" w:type="dxa"/>
            <w:vAlign w:val="bottom"/>
            <w:gridSpan w:val="15"/>
          </w:tcPr>
          <w:p>
            <w:pPr>
              <w:spacing w:after="0" w:line="182"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Registrant’s Annual Report on Form 10-K for the year ended December 31, 2022 (SEC File No. 001-34951) and incorporated by reference herein)</w:t>
              </w:r>
            </w:hyperlink>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10.40*</w:t>
            </w:r>
          </w:p>
        </w:tc>
        <w:tc>
          <w:tcPr>
            <w:tcW w:w="10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8"/>
              </w:rPr>
              <w:t>Lease Modification Agreement, dated September 8, 2025, between Step Does Stuff LLC and Bacterin International, Inc., now known as Xtant Medical,</w:t>
            </w:r>
          </w:p>
        </w:tc>
      </w:tr>
      <w:tr>
        <w:trPr>
          <w:trHeight w:val="182"/>
        </w:trPr>
        <w:tc>
          <w:tcPr>
            <w:tcW w:w="1020" w:type="dxa"/>
            <w:vAlign w:val="bottom"/>
          </w:tcPr>
          <w:p>
            <w:pPr>
              <w:spacing w:after="0"/>
              <w:rPr>
                <w:sz w:val="15"/>
                <w:szCs w:val="15"/>
                <w:color w:val="auto"/>
              </w:rPr>
            </w:pPr>
          </w:p>
        </w:tc>
        <w:tc>
          <w:tcPr>
            <w:tcW w:w="26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2"/>
              </w:rPr>
              <w:t>Inc.</w:t>
            </w:r>
          </w:p>
        </w:tc>
        <w:tc>
          <w:tcPr>
            <w:tcW w:w="9960" w:type="dxa"/>
            <w:vAlign w:val="bottom"/>
            <w:gridSpan w:val="14"/>
          </w:tcPr>
          <w:p>
            <w:pPr>
              <w:spacing w:after="0"/>
              <w:rPr>
                <w:sz w:val="15"/>
                <w:szCs w:val="15"/>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10.41*</w:t>
            </w:r>
          </w:p>
        </w:tc>
        <w:tc>
          <w:tcPr>
            <w:tcW w:w="81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w w:val="98"/>
              </w:rPr>
              <w:t>Commercial Lease, dated April 25, 2025, between Clair W Daines and Sharon R Daines Trustees and Xtant Medical, Inc.</w:t>
            </w:r>
          </w:p>
        </w:tc>
        <w:tc>
          <w:tcPr>
            <w:tcW w:w="2040" w:type="dxa"/>
            <w:vAlign w:val="bottom"/>
            <w:gridSpan w:val="4"/>
          </w:tcPr>
          <w:p>
            <w:pPr>
              <w:spacing w:after="0"/>
              <w:rPr>
                <w:sz w:val="24"/>
                <w:szCs w:val="24"/>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10.42*</w:t>
            </w:r>
          </w:p>
        </w:tc>
        <w:tc>
          <w:tcPr>
            <w:tcW w:w="10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Amendment No. 4 to Amended and Restated Credit, Security and Guaranty Agreement (Term Loan), dated as of March 26, 2026, among Xtant</w:t>
            </w:r>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7"/>
                <w:szCs w:val="17"/>
                <w:color w:val="0000EE"/>
              </w:rPr>
              <w:t>Medical, Inc., Bacterin International, Inc., X-spine Systems, Inc., Surgalign SPV, Inc., and any additional borrower that hereafter becomes party</w:t>
            </w:r>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7"/>
                <w:szCs w:val="17"/>
                <w:color w:val="0000EE"/>
                <w:w w:val="98"/>
              </w:rPr>
              <w:t>thereto, Xtant Medical Holdings, Inc., as a guarantor, MidCap Financial Trust, as agent, and the other financial institutions or other entities from time to</w:t>
            </w:r>
          </w:p>
        </w:tc>
      </w:tr>
      <w:tr>
        <w:trPr>
          <w:trHeight w:val="182"/>
        </w:trPr>
        <w:tc>
          <w:tcPr>
            <w:tcW w:w="102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7"/>
                <w:szCs w:val="17"/>
                <w:color w:val="0000EE"/>
                <w:w w:val="97"/>
              </w:rPr>
              <w:t>time parties thereto</w:t>
            </w:r>
          </w:p>
        </w:tc>
        <w:tc>
          <w:tcPr>
            <w:tcW w:w="8920" w:type="dxa"/>
            <w:vAlign w:val="bottom"/>
            <w:gridSpan w:val="12"/>
          </w:tcPr>
          <w:p>
            <w:pPr>
              <w:spacing w:after="0"/>
              <w:rPr>
                <w:sz w:val="15"/>
                <w:szCs w:val="15"/>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10.43*</w:t>
            </w:r>
          </w:p>
        </w:tc>
        <w:tc>
          <w:tcPr>
            <w:tcW w:w="10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Amendment No. 4 to Amended and Restated Credit, Security and Guaranty Agreement (Revolving Loan), dated as of March 26, 2026, among Xtant</w:t>
            </w:r>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7"/>
                <w:szCs w:val="17"/>
                <w:color w:val="0000EE"/>
              </w:rPr>
              <w:t>Medical, Inc., Bacterin International, Inc., X-spine Systems, Inc., Surgalign SPV, Inc., and any additional borrower that hereafter becomes party</w:t>
            </w:r>
          </w:p>
        </w:tc>
      </w:tr>
      <w:tr>
        <w:trPr>
          <w:trHeight w:val="182"/>
        </w:trPr>
        <w:tc>
          <w:tcPr>
            <w:tcW w:w="1020" w:type="dxa"/>
            <w:vAlign w:val="bottom"/>
          </w:tcPr>
          <w:p>
            <w:pPr>
              <w:spacing w:after="0"/>
              <w:rPr>
                <w:sz w:val="15"/>
                <w:szCs w:val="15"/>
                <w:color w:val="auto"/>
              </w:rPr>
            </w:pPr>
          </w:p>
        </w:tc>
        <w:tc>
          <w:tcPr>
            <w:tcW w:w="10220" w:type="dxa"/>
            <w:vAlign w:val="bottom"/>
            <w:tcBorders>
              <w:bottom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7"/>
                <w:szCs w:val="17"/>
                <w:color w:val="0000EE"/>
                <w:w w:val="98"/>
              </w:rPr>
              <w:t>thereto, Xtant Medical Holdings, Inc., as a guarantor, MidCap Funding IV Trust, as agent, and the other financial institutions or other entities from time</w:t>
            </w:r>
          </w:p>
        </w:tc>
      </w:tr>
      <w:tr>
        <w:trPr>
          <w:trHeight w:val="182"/>
        </w:trPr>
        <w:tc>
          <w:tcPr>
            <w:tcW w:w="1020" w:type="dxa"/>
            <w:vAlign w:val="bottom"/>
          </w:tcPr>
          <w:p>
            <w:pPr>
              <w:spacing w:after="0"/>
              <w:rPr>
                <w:sz w:val="15"/>
                <w:szCs w:val="15"/>
                <w:color w:val="auto"/>
              </w:rPr>
            </w:pPr>
          </w:p>
        </w:tc>
        <w:tc>
          <w:tcPr>
            <w:tcW w:w="1480" w:type="dxa"/>
            <w:vAlign w:val="bottom"/>
            <w:tcBorders>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7"/>
                <w:szCs w:val="17"/>
                <w:color w:val="0000EE"/>
                <w:w w:val="98"/>
              </w:rPr>
              <w:t>to time parties thereto</w:t>
            </w:r>
          </w:p>
        </w:tc>
        <w:tc>
          <w:tcPr>
            <w:tcW w:w="8740" w:type="dxa"/>
            <w:vAlign w:val="bottom"/>
            <w:gridSpan w:val="11"/>
          </w:tcPr>
          <w:p>
            <w:pPr>
              <w:spacing w:after="0"/>
              <w:rPr>
                <w:sz w:val="15"/>
                <w:szCs w:val="15"/>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19.1</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Xtant Medical Holdings, Inc. Insider Trading Policy (filed as Exhibit 19.1 to the Registrant’s Annual Report on Form 10-K for the year ended</w:t>
              </w:r>
            </w:hyperlink>
          </w:p>
        </w:tc>
      </w:tr>
      <w:tr>
        <w:trPr>
          <w:trHeight w:val="182"/>
        </w:trPr>
        <w:tc>
          <w:tcPr>
            <w:tcW w:w="1020" w:type="dxa"/>
            <w:vAlign w:val="bottom"/>
          </w:tcPr>
          <w:p>
            <w:pPr>
              <w:spacing w:after="0"/>
              <w:rPr>
                <w:sz w:val="15"/>
                <w:szCs w:val="15"/>
                <w:color w:val="auto"/>
              </w:rPr>
            </w:pPr>
          </w:p>
        </w:tc>
        <w:tc>
          <w:tcPr>
            <w:tcW w:w="572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8"/>
              </w:rPr>
            </w:pPr>
            <w:hyperlink r:id="rId177">
              <w:r>
                <w:rPr>
                  <w:rFonts w:ascii="Times New Roman" w:cs="Times New Roman" w:eastAsia="Times New Roman" w:hAnsi="Times New Roman"/>
                  <w:sz w:val="17"/>
                  <w:szCs w:val="17"/>
                  <w:color w:val="0000EE"/>
                  <w:w w:val="98"/>
                </w:rPr>
                <w:t>December 31, 2024 (SEC File No. 001-34951) and incorporated by reference herein)</w:t>
              </w:r>
            </w:hyperlink>
          </w:p>
        </w:tc>
        <w:tc>
          <w:tcPr>
            <w:tcW w:w="4500" w:type="dxa"/>
            <w:vAlign w:val="bottom"/>
            <w:gridSpan w:val="7"/>
          </w:tcPr>
          <w:p>
            <w:pPr>
              <w:spacing w:after="0"/>
              <w:rPr>
                <w:sz w:val="15"/>
                <w:szCs w:val="15"/>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Subsidiaries of the Registrant</w:t>
            </w:r>
          </w:p>
        </w:tc>
      </w:tr>
      <w:tr>
        <w:trPr>
          <w:trHeight w:val="20"/>
        </w:trPr>
        <w:tc>
          <w:tcPr>
            <w:tcW w:w="1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Consent of Independent Registered Public Accounting Firm, Grant Thornton LLP</w:t>
            </w:r>
          </w:p>
        </w:tc>
      </w:tr>
      <w:tr>
        <w:trPr>
          <w:trHeight w:val="20"/>
        </w:trPr>
        <w:tc>
          <w:tcPr>
            <w:tcW w:w="1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97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w w:val="98"/>
              </w:rPr>
              <w:t>Certification of Chief Executive Officer Pursuant to SEC Rule 13a-14(a), as adopted pursuant to Section 302 of the Sarbanes-Oxley Act of 2002</w:t>
            </w:r>
          </w:p>
        </w:tc>
        <w:tc>
          <w:tcPr>
            <w:tcW w:w="500" w:type="dxa"/>
            <w:vAlign w:val="bottom"/>
            <w:gridSpan w:val="2"/>
          </w:tcPr>
          <w:p>
            <w:pPr>
              <w:spacing w:after="0"/>
              <w:rPr>
                <w:sz w:val="24"/>
                <w:szCs w:val="24"/>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Certification of Chief Financial Officer Pursuant to SEC Rule 13a-14(a), as adopted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4920" w:type="dxa"/>
            <w:vAlign w:val="bottom"/>
            <w:gridSpan w:val="6"/>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10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Certification of Chief Executive Officer Pursuant to Rule 18 U.S.C. Section 1350, as adopted pursuant to Section 906 of the Sarbanes-Oxley Act of</w:t>
            </w:r>
          </w:p>
        </w:tc>
      </w:tr>
      <w:tr>
        <w:trPr>
          <w:trHeight w:val="182"/>
        </w:trPr>
        <w:tc>
          <w:tcPr>
            <w:tcW w:w="1020" w:type="dxa"/>
            <w:vAlign w:val="bottom"/>
          </w:tcPr>
          <w:p>
            <w:pPr>
              <w:spacing w:after="0"/>
              <w:rPr>
                <w:sz w:val="15"/>
                <w:szCs w:val="15"/>
                <w:color w:val="auto"/>
              </w:rPr>
            </w:pPr>
          </w:p>
        </w:tc>
        <w:tc>
          <w:tcPr>
            <w:tcW w:w="34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3"/>
              </w:rPr>
              <w:t>2002</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10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Certification of Chief Financial Officer Pursuant to Rule 18 U.S.C. Section 1350, as adopted pursuant to Section 906 of the Sarbanes-Oxley Act of</w:t>
            </w:r>
          </w:p>
        </w:tc>
      </w:tr>
      <w:tr>
        <w:trPr>
          <w:trHeight w:val="182"/>
        </w:trPr>
        <w:tc>
          <w:tcPr>
            <w:tcW w:w="1020" w:type="dxa"/>
            <w:vAlign w:val="bottom"/>
          </w:tcPr>
          <w:p>
            <w:pPr>
              <w:spacing w:after="0"/>
              <w:rPr>
                <w:sz w:val="15"/>
                <w:szCs w:val="15"/>
                <w:color w:val="auto"/>
              </w:rPr>
            </w:pPr>
          </w:p>
        </w:tc>
        <w:tc>
          <w:tcPr>
            <w:tcW w:w="34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3"/>
              </w:rPr>
              <w:t>2002</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8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w w:val="99"/>
              </w:rPr>
            </w:pPr>
            <w:hyperlink r:id="rId178">
              <w:r>
                <w:rPr>
                  <w:rFonts w:ascii="Times New Roman" w:cs="Times New Roman" w:eastAsia="Times New Roman" w:hAnsi="Times New Roman"/>
                  <w:sz w:val="17"/>
                  <w:szCs w:val="17"/>
                  <w:color w:val="0000EE"/>
                  <w:w w:val="99"/>
                </w:rPr>
                <w:t>Xtant Medical Holdings, Inc. Clawback Policy (filed as Exhibit 97.1 to the Registrant’s Annual Report on Form 10-K for the year ended December 31,</w:t>
              </w:r>
            </w:hyperlink>
          </w:p>
        </w:tc>
      </w:tr>
      <w:tr>
        <w:trPr>
          <w:trHeight w:val="182"/>
        </w:trPr>
        <w:tc>
          <w:tcPr>
            <w:tcW w:w="1020" w:type="dxa"/>
            <w:vAlign w:val="bottom"/>
          </w:tcPr>
          <w:p>
            <w:pPr>
              <w:spacing w:after="0"/>
              <w:rPr>
                <w:sz w:val="15"/>
                <w:szCs w:val="15"/>
                <w:color w:val="auto"/>
              </w:rPr>
            </w:pPr>
          </w:p>
        </w:tc>
        <w:tc>
          <w:tcPr>
            <w:tcW w:w="4740" w:type="dxa"/>
            <w:vAlign w:val="bottom"/>
            <w:tcBorders>
              <w:bottom w:val="single" w:sz="8" w:color="0000EE"/>
            </w:tcBorders>
            <w:gridSpan w:val="6"/>
          </w:tcPr>
          <w:p>
            <w:pPr>
              <w:spacing w:after="0" w:line="182" w:lineRule="exact"/>
              <w:rPr>
                <w:rFonts w:ascii="Times New Roman" w:cs="Times New Roman" w:eastAsia="Times New Roman" w:hAnsi="Times New Roman"/>
                <w:sz w:val="17"/>
                <w:szCs w:val="17"/>
                <w:color w:val="0000EE"/>
                <w:w w:val="98"/>
              </w:rPr>
            </w:pPr>
            <w:hyperlink r:id="rId178">
              <w:r>
                <w:rPr>
                  <w:rFonts w:ascii="Times New Roman" w:cs="Times New Roman" w:eastAsia="Times New Roman" w:hAnsi="Times New Roman"/>
                  <w:sz w:val="17"/>
                  <w:szCs w:val="17"/>
                  <w:color w:val="0000EE"/>
                  <w:w w:val="98"/>
                </w:rPr>
                <w:t>2023 (SEC File No. 001-34951) and incorporated by reference herein)</w:t>
              </w:r>
            </w:hyperlink>
          </w:p>
        </w:tc>
        <w:tc>
          <w:tcPr>
            <w:tcW w:w="5480" w:type="dxa"/>
            <w:vAlign w:val="bottom"/>
            <w:gridSpan w:val="9"/>
          </w:tcPr>
          <w:p>
            <w:pPr>
              <w:spacing w:after="0"/>
              <w:rPr>
                <w:sz w:val="15"/>
                <w:szCs w:val="15"/>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auto"/>
                <w:w w:val="98"/>
              </w:rPr>
              <w:t>Inline XBRL INSTANCE DOCUMENT (the instance document does not appear in the interactive data file because its XBRL tags are embedded within</w:t>
            </w:r>
          </w:p>
        </w:tc>
      </w:tr>
      <w:tr>
        <w:trPr>
          <w:trHeight w:val="218"/>
        </w:trPr>
        <w:tc>
          <w:tcPr>
            <w:tcW w:w="1020" w:type="dxa"/>
            <w:vAlign w:val="bottom"/>
          </w:tcPr>
          <w:p>
            <w:pPr>
              <w:spacing w:after="0"/>
              <w:rPr>
                <w:sz w:val="18"/>
                <w:szCs w:val="18"/>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the inline XBRL document)</w:t>
            </w:r>
          </w:p>
        </w:tc>
      </w:tr>
      <w:tr>
        <w:trPr>
          <w:trHeight w:val="40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40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40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40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40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r>
      <w:tr>
        <w:trPr>
          <w:trHeight w:val="40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022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bl>
    <w:p>
      <w:pPr>
        <w:spacing w:after="0" w:line="186" w:lineRule="exact"/>
        <w:rPr>
          <w:sz w:val="20"/>
          <w:szCs w:val="20"/>
          <w:color w:val="auto"/>
        </w:rPr>
      </w:pPr>
    </w:p>
    <w:p>
      <w:pPr>
        <w:ind w:left="600" w:hanging="599"/>
        <w:spacing w:after="0"/>
        <w:tabs>
          <w:tab w:leader="none" w:pos="6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Filed herewith</w:t>
      </w:r>
    </w:p>
    <w:p>
      <w:pPr>
        <w:spacing w:after="0" w:line="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Furnished herewith</w:t>
      </w:r>
    </w:p>
    <w:p>
      <w:pPr>
        <w:spacing w:after="0" w:line="6" w:lineRule="exact"/>
        <w:rPr>
          <w:rFonts w:ascii="Times New Roman" w:cs="Times New Roman" w:eastAsia="Times New Roman" w:hAnsi="Times New Roman"/>
          <w:sz w:val="17"/>
          <w:szCs w:val="17"/>
          <w:color w:val="auto"/>
        </w:rPr>
      </w:pPr>
    </w:p>
    <w:p>
      <w:pPr>
        <w:ind w:left="600" w:hanging="605"/>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exhibits and schedules to this exhibit have been omitted pursuant to Item 601(b)(2) of Regulation S-K. The Company will furnish the omitted exhibits and schedules to the SEC upon request by the SEC.</w:t>
      </w:r>
    </w:p>
    <w:p>
      <w:pPr>
        <w:spacing w:after="0" w:line="1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Optional disclosure, not included in this Annual Report on Form 10-K.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19"/>
                <w:szCs w:val="19"/>
                <w:color w:val="auto"/>
              </w:rPr>
            </w:pP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7"/>
                <w:szCs w:val="17"/>
                <w:b w:val="1"/>
                <w:bCs w:val="1"/>
                <w:color w:val="auto"/>
              </w:rPr>
              <w:t>XTANT MEDICAL HOLDINGS, INC.</w:t>
            </w:r>
          </w:p>
        </w:tc>
      </w:tr>
      <w:tr>
        <w:trPr>
          <w:trHeight w:val="40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March 31, 2026</w:t>
            </w:r>
          </w:p>
        </w:tc>
        <w:tc>
          <w:tcPr>
            <w:tcW w:w="284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Sean E. Browne</w:t>
            </w:r>
          </w:p>
        </w:tc>
      </w:tr>
      <w:tr>
        <w:trPr>
          <w:trHeight w:val="178"/>
        </w:trPr>
        <w:tc>
          <w:tcPr>
            <w:tcW w:w="3360" w:type="dxa"/>
            <w:vAlign w:val="bottom"/>
          </w:tcPr>
          <w:p>
            <w:pPr>
              <w:spacing w:after="0"/>
              <w:rPr>
                <w:sz w:val="15"/>
                <w:szCs w:val="15"/>
                <w:color w:val="auto"/>
              </w:rPr>
            </w:pPr>
          </w:p>
        </w:tc>
        <w:tc>
          <w:tcPr>
            <w:tcW w:w="2840" w:type="dxa"/>
            <w:vAlign w:val="bottom"/>
          </w:tcPr>
          <w:p>
            <w:pPr>
              <w:ind w:left="228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E. Browne</w:t>
            </w:r>
          </w:p>
        </w:tc>
      </w:tr>
      <w:tr>
        <w:trPr>
          <w:trHeight w:val="218"/>
        </w:trPr>
        <w:tc>
          <w:tcPr>
            <w:tcW w:w="3360" w:type="dxa"/>
            <w:vAlign w:val="bottom"/>
          </w:tcPr>
          <w:p>
            <w:pPr>
              <w:spacing w:after="0"/>
              <w:rPr>
                <w:sz w:val="18"/>
                <w:szCs w:val="18"/>
                <w:color w:val="auto"/>
              </w:rPr>
            </w:pPr>
          </w:p>
        </w:tc>
        <w:tc>
          <w:tcPr>
            <w:tcW w:w="284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Sean E. Browne and Scott C. Neils, or either of them, as such person’s true and lawful attorneys-in-fact and agents, with full power of substitution and re-substitution, for such person and in such person’s name, place and stead, in any and all capacities, to sign any and all amendments to this Annual Report on Form 10-K and any documents related to this report and filed pursuant to the Securities Exchange Act of 1934, as amended,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indicated on March 31,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Borders>
              <w:bottom w:val="single" w:sz="8" w:color="auto"/>
            </w:tcBorders>
          </w:tcPr>
          <w:p>
            <w:pPr>
              <w:jc w:val="right"/>
              <w:ind w:right="2496"/>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402"/>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Sean E. Browne</w:t>
            </w:r>
          </w:p>
        </w:tc>
        <w:tc>
          <w:tcPr>
            <w:tcW w:w="18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11"/>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Sean E. Browne</w:t>
            </w:r>
          </w:p>
        </w:tc>
        <w:tc>
          <w:tcPr>
            <w:tcW w:w="18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Scott C. Neils</w:t>
            </w:r>
          </w:p>
        </w:tc>
        <w:tc>
          <w:tcPr>
            <w:tcW w:w="18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1"/>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Scott C. Neils</w:t>
            </w:r>
          </w:p>
        </w:tc>
        <w:tc>
          <w:tcPr>
            <w:tcW w:w="18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John K. Bakewell</w:t>
            </w:r>
          </w:p>
        </w:tc>
        <w:tc>
          <w:tcPr>
            <w:tcW w:w="18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11"/>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John K. Bakewell</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Jonn R. Beeson</w:t>
            </w:r>
          </w:p>
        </w:tc>
        <w:tc>
          <w:tcPr>
            <w:tcW w:w="18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11"/>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Jonn R. Beeson</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9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Abhinav Jain</w:t>
            </w:r>
          </w:p>
        </w:tc>
        <w:tc>
          <w:tcPr>
            <w:tcW w:w="18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17"/>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Abhinav Jain</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Tyler P. Lipschultz</w:t>
            </w:r>
          </w:p>
        </w:tc>
        <w:tc>
          <w:tcPr>
            <w:tcW w:w="18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11"/>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Tyler P. Lipschultz</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Stavros G. Vizirgianakis</w:t>
            </w:r>
          </w:p>
        </w:tc>
        <w:tc>
          <w:tcPr>
            <w:tcW w:w="18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11"/>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Stavros G. Vizirgianakis</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87"/>
        </w:trPr>
        <w:tc>
          <w:tcPr>
            <w:tcW w:w="36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3"/>
          </w:tcPr>
          <w:p>
            <w:pPr>
              <w:jc w:val="right"/>
              <w:ind w:right="5396"/>
              <w:spacing w:after="0"/>
              <w:rPr>
                <w:sz w:val="20"/>
                <w:szCs w:val="20"/>
                <w:color w:val="auto"/>
              </w:rPr>
            </w:pPr>
            <w:r>
              <w:rPr>
                <w:rFonts w:ascii="Times New Roman" w:cs="Times New Roman" w:eastAsia="Times New Roman" w:hAnsi="Times New Roman"/>
                <w:sz w:val="17"/>
                <w:szCs w:val="17"/>
                <w:color w:val="auto"/>
              </w:rPr>
              <w:t>104</w:t>
            </w:r>
          </w:p>
        </w:tc>
      </w:tr>
    </w:tbl>
    <w:p>
      <w:pPr>
        <w:sectPr>
          <w:pgSz w:w="11900" w:h="16838" w:orient="portrait"/>
          <w:cols w:equalWidth="0" w:num="1">
            <w:col w:w="11240"/>
          </w:cols>
          <w:pgMar w:left="320" w:top="64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2.8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AMENDMENT TO EQUITY PURCHASE AGREEMENT</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SECOND AMENDMENT TO EQUITY PURCHASE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is entered into this January 14, 2026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by and between XTANT MEDICAL HOLDINGS, INC., a Delaware corporation (“</w:t>
      </w:r>
      <w:r>
        <w:rPr>
          <w:rFonts w:ascii="Times New Roman" w:cs="Times New Roman" w:eastAsia="Times New Roman" w:hAnsi="Times New Roman"/>
          <w:sz w:val="17"/>
          <w:szCs w:val="17"/>
          <w:b w:val="1"/>
          <w:bCs w:val="1"/>
          <w:color w:val="auto"/>
        </w:rPr>
        <w:t>Seller</w:t>
      </w:r>
      <w:r>
        <w:rPr>
          <w:rFonts w:ascii="Times New Roman" w:cs="Times New Roman" w:eastAsia="Times New Roman" w:hAnsi="Times New Roman"/>
          <w:sz w:val="17"/>
          <w:szCs w:val="17"/>
          <w:color w:val="auto"/>
        </w:rPr>
        <w:t>”), and COMPANION SPINE FRANCE SAS, a French société par actions simplifiée (“</w:t>
      </w:r>
      <w:r>
        <w:rPr>
          <w:rFonts w:ascii="Times New Roman" w:cs="Times New Roman" w:eastAsia="Times New Roman" w:hAnsi="Times New Roman"/>
          <w:sz w:val="17"/>
          <w:szCs w:val="17"/>
          <w:b w:val="1"/>
          <w:bCs w:val="1"/>
          <w:color w:val="auto"/>
        </w:rPr>
        <w:t>Buyer</w:t>
      </w:r>
      <w:r>
        <w:rPr>
          <w:rFonts w:ascii="Times New Roman" w:cs="Times New Roman" w:eastAsia="Times New Roman" w:hAnsi="Times New Roman"/>
          <w:sz w:val="17"/>
          <w:szCs w:val="17"/>
          <w:color w:val="auto"/>
        </w:rPr>
        <w:t>”), as the assignee of Companion Spine, LLC.</w:t>
      </w:r>
    </w:p>
    <w:p>
      <w:pPr>
        <w:spacing w:after="0" w:line="16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WHEREAS, Seller and Buyer are parties to that certain Equity Purchase Agreement, dated as of July 7, 2025 and an amendment thereto dated November 30, 2025 as may be further amended, supplemented, or modified, the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WHEREAS, in accordance with Section 2.4(a) of the Purchase Agreement, Seller delivered the Closing Certificate setting forth, among other things, the Estimated Net Working Capital, the Estimated Net Working Capital Adjustment, and Estimated Closing Date Cash;</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WHEREAS, the Estimated Net Working Capital exceeded the Target Net Working Capital by an amount equal to $1,217,000.00 and the Estimated Closing Date Cash was in the amount of $525,000.00, resulting in an increase to the Estimated Purchase Price pursuant to Section 2.3 of the Purchase Agreement in the amount of $1,742,000.00 (the “</w:t>
      </w:r>
      <w:r>
        <w:rPr>
          <w:rFonts w:ascii="Times New Roman" w:cs="Times New Roman" w:eastAsia="Times New Roman" w:hAnsi="Times New Roman"/>
          <w:sz w:val="17"/>
          <w:szCs w:val="17"/>
          <w:b w:val="1"/>
          <w:bCs w:val="1"/>
          <w:color w:val="auto"/>
        </w:rPr>
        <w:t>Estimated Purchase Price Increase</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WHEREAS, the parties desire to amend the timing for Buyer’s payment of the Estimated Purchase Price Increase as set forth herein; and</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WHEREAS, capitalized terms used but not defined herein shall have the meanings set forth in the Purchase Agreement.</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NOW, THEREFORE, for good and valuable consideration the receipt and sufficiency of which is hereby acknowledged, the parties agree as follows:</w:t>
      </w:r>
    </w:p>
    <w:p>
      <w:pPr>
        <w:spacing w:after="0" w:line="204" w:lineRule="exact"/>
        <w:rPr>
          <w:sz w:val="20"/>
          <w:szCs w:val="20"/>
          <w:color w:val="auto"/>
        </w:rPr>
      </w:pPr>
    </w:p>
    <w:p>
      <w:pPr>
        <w:jc w:val="both"/>
        <w:ind w:firstLine="606"/>
        <w:spacing w:after="0" w:line="263" w:lineRule="auto"/>
        <w:tabs>
          <w:tab w:leader="none" w:pos="77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 of Estimated Purchase Price Payment Date</w:t>
      </w:r>
      <w:r>
        <w:rPr>
          <w:rFonts w:ascii="Times New Roman" w:cs="Times New Roman" w:eastAsia="Times New Roman" w:hAnsi="Times New Roman"/>
          <w:sz w:val="17"/>
          <w:szCs w:val="17"/>
          <w:color w:val="auto"/>
        </w:rPr>
        <w:t>. Buyer and Seller hereby agree that the amount of the Estimated Purchase Price Increase, equal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$1,742,000.00, shall be paid by Buyer to Seller by wire transfer of immediately available funds on or before January 31, 2026 to the account or accounts designated in the Closing Certificate, or such other account(s) designated by Seller.</w:t>
      </w:r>
    </w:p>
    <w:p>
      <w:pPr>
        <w:spacing w:after="0" w:line="164" w:lineRule="exact"/>
        <w:rPr>
          <w:rFonts w:ascii="Times New Roman" w:cs="Times New Roman" w:eastAsia="Times New Roman" w:hAnsi="Times New Roman"/>
          <w:sz w:val="17"/>
          <w:szCs w:val="17"/>
          <w:color w:val="auto"/>
        </w:rPr>
      </w:pPr>
    </w:p>
    <w:p>
      <w:pPr>
        <w:ind w:firstLine="606"/>
        <w:spacing w:after="0" w:line="279" w:lineRule="auto"/>
        <w:tabs>
          <w:tab w:leader="none" w:pos="77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Other Amendments</w:t>
      </w:r>
      <w:r>
        <w:rPr>
          <w:rFonts w:ascii="Times New Roman" w:cs="Times New Roman" w:eastAsia="Times New Roman" w:hAnsi="Times New Roman"/>
          <w:sz w:val="17"/>
          <w:szCs w:val="17"/>
          <w:color w:val="auto"/>
        </w:rPr>
        <w:t>. Except as expressly amended by this Amendment, the Purchase Agreement remains unmodified and in full force and effect.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event of any conflict between the terms of this Amendment and the Purchase Agreement, the terms of this Amendment shall control.</w:t>
      </w:r>
    </w:p>
    <w:p>
      <w:pPr>
        <w:spacing w:after="0" w:line="150" w:lineRule="exact"/>
        <w:rPr>
          <w:rFonts w:ascii="Times New Roman" w:cs="Times New Roman" w:eastAsia="Times New Roman" w:hAnsi="Times New Roman"/>
          <w:sz w:val="17"/>
          <w:szCs w:val="17"/>
          <w:color w:val="auto"/>
        </w:rPr>
      </w:pPr>
    </w:p>
    <w:p>
      <w:pPr>
        <w:ind w:left="780" w:hanging="174"/>
        <w:spacing w:after="0"/>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Amendment shall be governed by and construed in accordance with the laws governing the Purchase Agreement.</w:t>
      </w:r>
    </w:p>
    <w:p>
      <w:pPr>
        <w:spacing w:after="0" w:line="207" w:lineRule="exact"/>
        <w:rPr>
          <w:rFonts w:ascii="Times New Roman" w:cs="Times New Roman" w:eastAsia="Times New Roman" w:hAnsi="Times New Roman"/>
          <w:sz w:val="17"/>
          <w:szCs w:val="17"/>
          <w:color w:val="auto"/>
        </w:rPr>
      </w:pPr>
    </w:p>
    <w:p>
      <w:pPr>
        <w:jc w:val="both"/>
        <w:ind w:firstLine="606"/>
        <w:spacing w:after="0" w:line="263" w:lineRule="auto"/>
        <w:tabs>
          <w:tab w:leader="none" w:pos="79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Counterparts; Electronic Signatures</w:t>
      </w:r>
      <w:r>
        <w:rPr>
          <w:rFonts w:ascii="Times New Roman" w:cs="Times New Roman" w:eastAsia="Times New Roman" w:hAnsi="Times New Roman"/>
          <w:sz w:val="17"/>
          <w:szCs w:val="17"/>
          <w:color w:val="auto"/>
        </w:rPr>
        <w:t>. This Amendment may be executed in any number of counterparts (including by facsimile, .pdf or electronic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transmission), each of which shall be deemed an original, but all of which when taken together shall constitute one instrument. Electronic signatures shall have the same force and effect as original signatures.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color w:val="auto"/>
        </w:rPr>
        <w:t>IN WITNESS WHEREOF, the undersigned have caused this Amendment to be executed as of the date first written above.</w:t>
      </w:r>
    </w:p>
    <w:p>
      <w:pPr>
        <w:spacing w:after="0" w:line="2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XTANT MEDICAL HOLDINGS, INC.</w:t>
      </w:r>
    </w:p>
    <w:p>
      <w:pPr>
        <w:spacing w:after="0" w:line="208" w:lineRule="exact"/>
        <w:rPr>
          <w:sz w:val="20"/>
          <w:szCs w:val="20"/>
          <w:color w:val="auto"/>
        </w:rPr>
      </w:pPr>
    </w:p>
    <w:p>
      <w:pPr>
        <w:ind w:left="5040"/>
        <w:spacing w:after="0"/>
        <w:tabs>
          <w:tab w:leader="none" w:pos="55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Sean E. Browne</w:t>
      </w:r>
    </w:p>
    <w:p>
      <w:pPr>
        <w:spacing w:after="0" w:line="26"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-123190</wp:posOffset>
            </wp:positionV>
            <wp:extent cx="32105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040"/>
        <w:spacing w:after="0"/>
        <w:tabs>
          <w:tab w:leader="none" w:pos="5580" w:val="left"/>
        </w:tabs>
        <w:rPr>
          <w:sz w:val="20"/>
          <w:szCs w:val="20"/>
          <w:color w:val="auto"/>
        </w:rPr>
      </w:pPr>
      <w:r>
        <w:rPr>
          <w:rFonts w:ascii="Times New Roman" w:cs="Times New Roman" w:eastAsia="Times New Roman" w:hAnsi="Times New Roman"/>
          <w:sz w:val="17"/>
          <w:szCs w:val="17"/>
          <w:color w:val="auto"/>
        </w:rPr>
        <w:t>Title:</w:t>
        <w:tab/>
        <w:t>CEO</w:t>
      </w:r>
    </w:p>
    <w:p>
      <w:pPr>
        <w:spacing w:after="0" w:line="19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u w:val="single" w:color="auto"/>
          <w:color w:val="auto"/>
        </w:rPr>
        <w:t>Buyer</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COMPANION SPINE FRANCE SAS</w:t>
      </w:r>
    </w:p>
    <w:p>
      <w:pPr>
        <w:spacing w:after="0" w:line="208" w:lineRule="exact"/>
        <w:rPr>
          <w:sz w:val="20"/>
          <w:szCs w:val="20"/>
          <w:color w:val="auto"/>
        </w:rPr>
      </w:pPr>
    </w:p>
    <w:p>
      <w:pPr>
        <w:ind w:left="5040"/>
        <w:spacing w:after="0"/>
        <w:tabs>
          <w:tab w:leader="none" w:pos="55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Anthony G. Viscogliosi</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Name: Anthony G. Viscogliosi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-123190</wp:posOffset>
            </wp:positionV>
            <wp:extent cx="32105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040"/>
        <w:spacing w:after="0"/>
        <w:tabs>
          <w:tab w:leader="none" w:pos="5580" w:val="left"/>
        </w:tabs>
        <w:rPr>
          <w:sz w:val="20"/>
          <w:szCs w:val="20"/>
          <w:color w:val="auto"/>
        </w:rPr>
      </w:pPr>
      <w:r>
        <w:rPr>
          <w:rFonts w:ascii="Times New Roman" w:cs="Times New Roman" w:eastAsia="Times New Roman" w:hAnsi="Times New Roman"/>
          <w:sz w:val="17"/>
          <w:szCs w:val="17"/>
          <w:color w:val="auto"/>
        </w:rPr>
        <w:t>Title:</w:t>
        <w:tab/>
        <w:t>CEO</w:t>
      </w:r>
    </w:p>
    <w:p>
      <w:pPr>
        <w:spacing w:after="0" w:line="19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[Signature Page to Amendment to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270510</wp:posOffset>
            </wp:positionV>
            <wp:extent cx="7141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539"/>
          </w:cols>
          <w:pgMar w:left="920" w:top="653"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XTANT MEDICAL HOLDINGS,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 REGISTERED PURSUANT TO SECTION 12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Xtant Medical Holdings, Inc., a Delaware corporation (Xtant, we, us and our), has only one class of securities registered under Section 12 of the Securities Exchange Act of 1934, as amended: our common stock, par value $0.000001 (common stock).</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following description summarizes the material terms and provisions of our common stock and does not purport to be complete. It is subject to and qualified in its entirety by reference to the provisions of our Restated Certificate of Incorporation (Certificate of Incorporation) and Third Amended and Restated Bylaws (Bylaws), which are filed as exhibits to our Annual Report on Form 10-K for the fiscal year ended December 31, 2025 and are incorporated by reference herein. We encourage you to read our Certificate of Incorporation and Bylaws, and the applicable provisions of the General Corporation Law of the State of Delaware (DGCL)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Shares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Certificate of Incorporation provides that we have authority to issue 300,000,000 shares of common stock and 10,000,000 shares of preferred stock, par value $0.000001 per share (preferred stock).</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preferred stock may be issued from time to time in one or more series. The Board of Directors of Xtant (the Board) is authorized, by resolution or resolutions, to fix the number of shares of any series of preferred stock and to determine the designation, powers, rights, preferences, qualifications, limitations, privileges and restrictions, if any,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may amend from time to time our Certificate of Incorporation to increase the number of authorized shares of common stock or preferred stock. Any such amendment would require the approval of the holders of a majority of the voting power of the shares entitled to vote thereon. In addition, pursuant to our Certificate of Incorporation, the Board is authorized to increase (but not above the total number of authorized shares of the class) or decrease (but not below the number of shares of any such series then outstanding) the number of shares of any series (including a series of preferred stock), the number of which was fixed by it, subsequent to the issuance of shares of such series then outstanding, subject to certain limitations, without the vote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Each holder of our common stock is entitled to one vote per share on each matter submitted to a vote at a meeting of stockholders, including in all elections for directors. Stockholders are not entitled to cumulative voting in the election of directors. Subject to applicable law and the rights, if any, of the holders of outstanding shares of any series of preferred stock we may designate and issue in the future, holders of our common stock are entitled to vote on all matters on which stockholders are generally entitled to vote.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stockholders may vote either in person or by proxy.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our Certificate of Incorporation, our Bylaws, the rules or regulations of any stock exchange applicable to us or applicable law or pursuant to any regulation applicable to us or our securities, be decided by the affirmative vote of the holders of a majority in voting power of the shares of our stock that are present in person or by proxy and 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may authorize, and we may make, distributions to our stockholders, subject to any restriction in our Certificate of Incorporation and to those limitations prescribed by law and contractual restrictions. Subject to preferences that may apply to any shares of preferred stock outstanding at the time, the holders of our common stock will be entitled to share equally, identically and ratably in any dividends that the Board may determine to issue from time to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Liquidation Rights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Upon liquidation, dissolution or winding up, all holders of our common stock are entitled to participate pro rata in our assets available for distribution, subject to applicable law and the rights, if any, of the holders of any class of preferred stock then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Rights and Preferences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Under the terms of our Certificate of Incorporation and Bylaws, holders of our common stock have no preemptive rights, conversion rights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the Board may designate and issue in the future. Our Certificate of Incorporation and Bylaws do not restrict the ability of a holder of our common stock to transfer his, her or its shares of common stock. All shares of our common stock currently outstanding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for our common stock is Broadridge Corporate Issuer Solutions,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Listing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NYSE American under the symbol “XTNT.”</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Anti-Takeover Effects of Certain Provisions of our Certificate of Incorporation, Bylaws, the Investor Rights Agreement and the Lead Investor Agreement, Our Status as a Controlled Company and under the DGCL</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Anti-takeover provisions in our Certificate of Incorporation and Bylaws and under the DGCL may discourage or prevent a change in control, even if such a sale could be beneficial to our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Certificate of Incorporation and Bylaws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Certificate of Incorporation and Bylaws contain the following anti-takeover provisions that may have an anti-takeover effect of delaying, deferring or preventing a change in control of Xtant:</w:t>
      </w:r>
    </w:p>
    <w:p>
      <w:pPr>
        <w:spacing w:after="0" w:line="159" w:lineRule="exact"/>
        <w:rPr>
          <w:sz w:val="20"/>
          <w:szCs w:val="20"/>
          <w:color w:val="auto"/>
        </w:rPr>
      </w:pPr>
    </w:p>
    <w:p>
      <w:pPr>
        <w:jc w:val="both"/>
        <w:ind w:left="600" w:hanging="297"/>
        <w:spacing w:after="0" w:line="256" w:lineRule="auto"/>
        <w:tabs>
          <w:tab w:leader="none" w:pos="6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shares of common stock and preferred stock available for issuance without stockholder approval. The existence of unissued and unreserved common stock and preferred stock may enable the Board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w:t>
      </w:r>
    </w:p>
    <w:p>
      <w:pPr>
        <w:spacing w:after="0" w:line="174"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our common stock do not have cumulative voting rights in the election of directors, so our stockholders holding a majority of the shares of common stock outstanding will be able to elect all of our directors.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meetings of the stockholders may be called only by the Board, the Chair of the Board or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3" w:name="page114"/>
    <w:bookmarkEnd w:id="113"/>
    <w:p>
      <w:pPr>
        <w:ind w:left="600" w:hanging="297"/>
        <w:spacing w:after="0"/>
        <w:tabs>
          <w:tab w:leader="none" w:pos="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adopt, alter, amend or repeal our Bylaws without stockholder approval.</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by law, any newly created directorship or any vacancy occurring on the Board for any cause may be filled by the affirmative vote of a majority of the remaining members of the Board, even if such majority is less than a quorum, and any director so elected shall hold office until the expiration of the term of office of the director whom he or she has replaced or until his or her successor is elected and qualified.</w:t>
      </w:r>
    </w:p>
    <w:p>
      <w:pPr>
        <w:spacing w:after="0" w:line="169"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July 26, 2030, fixing the number of directors at more than seven directors requires the approval of at least 75% of our directors then holding office.</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the holders of at least two-thirds of the voting power of the then outstanding shares of our capital stock entitled to vote generally in the election of directors, voting together as a single class, is required to amend or repeal the provisions of our Certificate of Incorporation related to the amendment of our Bylaws, the Board and our stockholders as well as the general provisions of our Certificate of Incorporation.</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must follow advance notice procedures to submit nominations of candidates for election to the Board at an annual or special meeting of our stockholders, including director election contests subject to the Securities and Exchange Commission’s universal proxy rules, and must follow advance notice procedures to submit other proposals for business to be brought before an annual meeting of our stockholders.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1" w:lineRule="auto"/>
        <w:tabs>
          <w:tab w:leader="none" w:pos="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we consent in writing to an alternative forum, the Court of Chancery of the State of Delaware, (or, if the Court of Chancery of the State of Delaware does not have subject matter jurisdiction, a state court located within the State of Delaware or, if no state court located within the State of Delaware has subject matter jurisdiction, the federal district court for the District of Delaware), will be the exclusive forum for (i) any derivative action or proceeding brought on our behalf, (ii) any action asserting a claim of breach of a fiduciary duty owed by any director, officer or other employee to us or our stockholders, (iii) any action asserting a claim arising under any provision of the DGCL, our Certificate of Incorporation or our Bylaws, or (iv) any action asserting a claim governed by the internal-affairs doctrine; provided, however, that unless we consent in writing to an alternative forum, the federal district courts of the United States of America shall be, to the fullest extent permitted by applicable law, the exclusive forum for the resolution of any complaint asserting a cause of action arising under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203 of the DGCL</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have elected to be subject to Section 203 of the DGCL, and we are prohibited from engaging in any business combination with any interested stockholder for a period of three years after the date that such stockholder became an interested stockholder, with the following exceptions:</w:t>
      </w:r>
    </w:p>
    <w:p>
      <w:pPr>
        <w:spacing w:after="0" w:line="159" w:lineRule="exact"/>
        <w:rPr>
          <w:sz w:val="20"/>
          <w:szCs w:val="20"/>
          <w:color w:val="auto"/>
        </w:rPr>
      </w:pPr>
    </w:p>
    <w:p>
      <w:pPr>
        <w:ind w:left="600" w:hanging="297"/>
        <w:spacing w:after="0"/>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such date, the Board approved either the business combination or the transaction that resulted in the stockholder becoming an interested stockholder;</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54" w:lineRule="auto"/>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completion of the transaction that resulted in the stockholder becoming an interested stockholder, the interested stockholder owned at least 85% of the voting shares outstanding at the time the transaction began, excluding for purposes of determining the voting shares outstanding (but not the outstanding voting shares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5"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such date, the business combination is approved by the Board and authorized at an annual or special meeting of the stockholders, and not by written consent, by the affirmative vote of at least 66-2/3% of the outstanding voting shares that are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color w:val="auto"/>
        </w:rPr>
        <w:t>In general, Section 203 of the DGCL defines business combination to include the following:</w:t>
      </w:r>
    </w:p>
    <w:p>
      <w:pPr>
        <w:spacing w:after="0" w:line="208" w:lineRule="exact"/>
        <w:rPr>
          <w:sz w:val="20"/>
          <w:szCs w:val="20"/>
          <w:color w:val="auto"/>
        </w:rPr>
      </w:pPr>
    </w:p>
    <w:p>
      <w:pPr>
        <w:ind w:left="600" w:hanging="297"/>
        <w:spacing w:after="0"/>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involving the company and the interested stockholder;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transfer, pledge or other disposition of 10% or more of the assets of the company involving the interested stockholder;</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certain exceptions, any transaction that results in the issuance or transfer by the company of any shares of the company to the interested stockholder;</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involving the company that has the effect of increasing the proportionate share of the shares or any class or series of shares of the company beneficially owned by the interested stockholder; or</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interested stockholder of the benefit of any loans, advances, guarantees, pledges or other financial benefits by or through the company.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general, by reference to Section 203 of the DGCL, an “interested stockholder” is an entity or person who, together with the person’s affiliates and associates, beneficially owns, or within three years prior to the time of determination of interested stockholder status owned, 15% or more of the outstanding voting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20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b w:val="1"/>
          <w:bCs w:val="1"/>
          <w:color w:val="auto"/>
        </w:rPr>
        <w:t>[Executive – Performance Stock Units – Deferral Feature]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PERFORMANCE STOCK UNIT GRANT UNDER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XTANT MEDICAL HOLDINGS, INC. 2023 EQUITY INCENTIVE PLAN</w:t>
      </w:r>
    </w:p>
    <w:p>
      <w:pPr>
        <w:spacing w:after="0" w:line="19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Xtant Medical Holdings,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pursuant to the Xtant Medical Holdings, Inc. 2023 Equity Incentive Plan (as may be amended from time to time,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hereby grants to the individual named below (the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the number of performance stock units, a form of Restricted Stock Units (as defined in the Plan) and Performance Awards (as defined in the Plan), set forth below (collectively, the “</w:t>
      </w:r>
      <w:r>
        <w:rPr>
          <w:rFonts w:ascii="Times New Roman" w:cs="Times New Roman" w:eastAsia="Times New Roman" w:hAnsi="Times New Roman"/>
          <w:sz w:val="17"/>
          <w:szCs w:val="17"/>
          <w:u w:val="single" w:color="auto"/>
          <w:color w:val="auto"/>
        </w:rPr>
        <w:t>Performance Stock Units</w:t>
      </w:r>
      <w:r>
        <w:rPr>
          <w:rFonts w:ascii="Times New Roman" w:cs="Times New Roman" w:eastAsia="Times New Roman" w:hAnsi="Times New Roman"/>
          <w:sz w:val="17"/>
          <w:szCs w:val="17"/>
          <w:color w:val="auto"/>
        </w:rPr>
        <w:t>”). The Performance Stock Units are subject to all of the terms and conditions set forth in this Notice of Performance Stock Unit Grant (this “</w:t>
      </w:r>
      <w:r>
        <w:rPr>
          <w:rFonts w:ascii="Times New Roman" w:cs="Times New Roman" w:eastAsia="Times New Roman" w:hAnsi="Times New Roman"/>
          <w:sz w:val="17"/>
          <w:szCs w:val="17"/>
          <w:u w:val="single" w:color="auto"/>
          <w:color w:val="auto"/>
        </w:rPr>
        <w:t>Grant Notice</w:t>
      </w:r>
      <w:r>
        <w:rPr>
          <w:rFonts w:ascii="Times New Roman" w:cs="Times New Roman" w:eastAsia="Times New Roman" w:hAnsi="Times New Roman"/>
          <w:sz w:val="17"/>
          <w:szCs w:val="17"/>
          <w:color w:val="auto"/>
        </w:rPr>
        <w:t>”), in the Performance Stock Unit Award Agreement attached hereto (the “</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and in the Plan, all of which are incorporated herein in their entirety. Capitalized terms not otherwise defined herein will have the meaning set forth in the Plan. This Performance Stock Unit award grant has been made as of the grant date indicated below, which shall be referred to as the “</w:t>
      </w:r>
      <w:r>
        <w:rPr>
          <w:rFonts w:ascii="Times New Roman" w:cs="Times New Roman" w:eastAsia="Times New Roman" w:hAnsi="Times New Roman"/>
          <w:sz w:val="17"/>
          <w:szCs w:val="17"/>
          <w:u w:val="single" w:color="auto"/>
          <w:color w:val="auto"/>
        </w:rPr>
        <w:t>Grant Date</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7"/>
          <w:szCs w:val="17"/>
          <w:b w:val="1"/>
          <w:bCs w:val="1"/>
          <w:color w:val="auto"/>
        </w:rPr>
        <w:t>Threshold Potential Payout</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10% of the Target Potential Payout</w:t>
      </w:r>
    </w:p>
    <w:p>
      <w:pPr>
        <w:spacing w:after="0" w:line="208"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7"/>
          <w:szCs w:val="17"/>
          <w:b w:val="1"/>
          <w:bCs w:val="1"/>
          <w:color w:val="auto"/>
        </w:rPr>
        <w:t>Target Potential Payout</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xxx,xxx shares of Common Stock, subject to adjustment as provided in the Plan</w:t>
      </w:r>
    </w:p>
    <w:p>
      <w:pPr>
        <w:spacing w:after="0" w:line="208"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7"/>
          <w:szCs w:val="17"/>
          <w:b w:val="1"/>
          <w:bCs w:val="1"/>
          <w:color w:val="auto"/>
        </w:rPr>
        <w:t>Maximum Potential Payout</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200% of the Target Potential Payout</w:t>
      </w:r>
    </w:p>
    <w:p>
      <w:pPr>
        <w:spacing w:after="0" w:line="208"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7"/>
          <w:szCs w:val="17"/>
          <w:b w:val="1"/>
          <w:bCs w:val="1"/>
          <w:color w:val="auto"/>
        </w:rPr>
        <w:t>Performance Goals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Stock Price Appreciation Goals, as defined and described in the Award Agreement</w:t>
      </w:r>
    </w:p>
    <w:p>
      <w:pPr>
        <w:spacing w:after="0" w:line="208" w:lineRule="exact"/>
        <w:rPr>
          <w:sz w:val="20"/>
          <w:szCs w:val="20"/>
          <w:color w:val="auto"/>
        </w:rPr>
      </w:pPr>
    </w:p>
    <w:p>
      <w:pPr>
        <w:jc w:val="both"/>
        <w:ind w:left="2240" w:hanging="2231"/>
        <w:spacing w:after="0" w:line="254" w:lineRule="auto"/>
        <w:tabs>
          <w:tab w:leader="none" w:pos="2220" w:val="left"/>
        </w:tabs>
        <w:rPr>
          <w:sz w:val="20"/>
          <w:szCs w:val="20"/>
          <w:color w:val="auto"/>
        </w:rPr>
      </w:pPr>
      <w:r>
        <w:rPr>
          <w:rFonts w:ascii="Times New Roman" w:cs="Times New Roman" w:eastAsia="Times New Roman" w:hAnsi="Times New Roman"/>
          <w:sz w:val="17"/>
          <w:szCs w:val="17"/>
          <w:b w:val="1"/>
          <w:bCs w:val="1"/>
          <w:color w:val="auto"/>
        </w:rPr>
        <w:t>Service Vesting Condition</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In addition to achievement of the Stock Price Appreciation Goals, vesting of any Performance Stock Units is conditioned on the Participant’s continued service as an Employee or Consultant through the applicable Service Vesting Date(s) described in Section 3.1 of the Award Agreement, with Initially Earned Performance Stock Units (as defined in the Award Agreement) vesting 1/3-1/3-1/3 across Service Years 1–3 if earned in Service Year 1, 1/2-1/2 across Service Years 2-3 if earned in Service Year 2, and 100% at the end of Service Year 3 if earned in Service Year 3 pursuant to the terms of the Award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left="2240" w:hanging="2231"/>
        <w:spacing w:after="0" w:line="252" w:lineRule="auto"/>
        <w:tabs>
          <w:tab w:leader="none" w:pos="2220" w:val="left"/>
        </w:tabs>
        <w:rPr>
          <w:sz w:val="20"/>
          <w:szCs w:val="20"/>
          <w:color w:val="auto"/>
        </w:rPr>
      </w:pPr>
      <w:r>
        <w:rPr>
          <w:rFonts w:ascii="Times New Roman" w:cs="Times New Roman" w:eastAsia="Times New Roman" w:hAnsi="Times New Roman"/>
          <w:sz w:val="17"/>
          <w:szCs w:val="17"/>
          <w:b w:val="1"/>
          <w:bCs w:val="1"/>
          <w:color w:val="auto"/>
        </w:rPr>
        <w:t>Settlement Date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The Initially Earned Performance Stock Units that have satisfied the applicable time-based vesting requirements in Section 3.1(c) of the Award Agreement will be settled and the shares of Common Stock underlying such Initially Earned Performance Stock Units will be issued following the earlier of (i) the Participant’s “Separation from Service” as defined in the Award Agreement; (ii) the Participant’s death; (iii) the Change in Control Date (as defined in Section 7(a) of the Award Agreement) if the Change in Control (as defined in Section 7 of the Award Agreement) results in all shares of Common Stock being cashed out so that the shares of Common Stock to be issued will also be cashed out in the transaction; (iv) if checked below, the three-year anniversary of the applicable Service Vesting Date; and (v) if checked below, the five-year anniversary of the applicable Service Vesting Date.</w:t>
      </w:r>
    </w:p>
    <w:p>
      <w:pPr>
        <w:spacing w:after="0" w:line="181" w:lineRule="exact"/>
        <w:rPr>
          <w:sz w:val="20"/>
          <w:szCs w:val="20"/>
          <w:color w:val="auto"/>
        </w:rPr>
      </w:pPr>
    </w:p>
    <w:p>
      <w:pPr>
        <w:jc w:val="both"/>
        <w:ind w:left="2240"/>
        <w:spacing w:after="0" w:line="261" w:lineRule="auto"/>
        <w:rPr>
          <w:sz w:val="20"/>
          <w:szCs w:val="20"/>
          <w:color w:val="auto"/>
        </w:rPr>
      </w:pPr>
      <w:r>
        <w:rPr>
          <w:rFonts w:ascii="Times New Roman" w:cs="Times New Roman" w:eastAsia="Times New Roman" w:hAnsi="Times New Roman"/>
          <w:sz w:val="17"/>
          <w:szCs w:val="17"/>
          <w:color w:val="auto"/>
        </w:rPr>
        <w:t xml:space="preserve">If the Participant desires to settle the Initially Earned Performance Stock Units that have satisfied the applicable time-based vesting requirements in Section 3.1(c) of the Award Agreement upon the three- or five-year anniversary of the applicable Service Vesting Date, check </w:t>
      </w:r>
      <w:r>
        <w:rPr>
          <w:rFonts w:ascii="Times New Roman" w:cs="Times New Roman" w:eastAsia="Times New Roman" w:hAnsi="Times New Roman"/>
          <w:sz w:val="17"/>
          <w:szCs w:val="17"/>
          <w:u w:val="single" w:color="auto"/>
          <w:color w:val="auto"/>
        </w:rPr>
        <w:t>one</w:t>
      </w:r>
      <w:r>
        <w:rPr>
          <w:rFonts w:ascii="Times New Roman" w:cs="Times New Roman" w:eastAsia="Times New Roman" w:hAnsi="Times New Roman"/>
          <w:sz w:val="17"/>
          <w:szCs w:val="17"/>
          <w:color w:val="auto"/>
        </w:rPr>
        <w:t xml:space="preserve"> of the boxes below:</w:t>
      </w:r>
    </w:p>
    <w:p>
      <w:pPr>
        <w:spacing w:after="0" w:line="169" w:lineRule="exact"/>
        <w:rPr>
          <w:sz w:val="20"/>
          <w:szCs w:val="20"/>
          <w:color w:val="auto"/>
        </w:rPr>
      </w:pPr>
    </w:p>
    <w:p>
      <w:pPr>
        <w:ind w:left="2420" w:hanging="188"/>
        <w:spacing w:after="0"/>
        <w:tabs>
          <w:tab w:leader="none" w:pos="2420" w:val="left"/>
        </w:tabs>
        <w:numPr>
          <w:ilvl w:val="0"/>
          <w:numId w:val="7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Three-year anniversary of applicable Service Vesting Date</w:t>
      </w:r>
    </w:p>
    <w:p>
      <w:pPr>
        <w:spacing w:after="0" w:line="207" w:lineRule="exact"/>
        <w:rPr>
          <w:rFonts w:ascii="MS PGothic" w:cs="MS PGothic" w:eastAsia="MS PGothic" w:hAnsi="MS PGothic"/>
          <w:sz w:val="17"/>
          <w:szCs w:val="17"/>
          <w:color w:val="auto"/>
        </w:rPr>
      </w:pPr>
    </w:p>
    <w:p>
      <w:pPr>
        <w:ind w:left="2420" w:hanging="188"/>
        <w:spacing w:after="0"/>
        <w:tabs>
          <w:tab w:leader="none" w:pos="2420" w:val="left"/>
        </w:tabs>
        <w:numPr>
          <w:ilvl w:val="0"/>
          <w:numId w:val="7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Five-year anniversary of applicable Service Vesting Date</w:t>
      </w:r>
    </w:p>
    <w:p>
      <w:pPr>
        <w:spacing w:after="0" w:line="207" w:lineRule="exact"/>
        <w:rPr>
          <w:rFonts w:ascii="MS PGothic" w:cs="MS PGothic" w:eastAsia="MS PGothic" w:hAnsi="MS PGothic"/>
          <w:sz w:val="17"/>
          <w:szCs w:val="17"/>
          <w:color w:val="auto"/>
        </w:rPr>
      </w:pPr>
    </w:p>
    <w:p>
      <w:pPr>
        <w:ind w:left="5320"/>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6" w:name="page117"/>
    <w:bookmarkEnd w:id="116"/>
    <w:p>
      <w:pPr>
        <w:jc w:val="both"/>
        <w:ind w:firstLine="605"/>
        <w:spacing w:after="0" w:line="251" w:lineRule="auto"/>
        <w:rPr>
          <w:sz w:val="20"/>
          <w:szCs w:val="20"/>
          <w:color w:val="auto"/>
        </w:rPr>
      </w:pPr>
      <w:r>
        <w:rPr>
          <w:rFonts w:ascii="Times New Roman" w:cs="Times New Roman" w:eastAsia="Times New Roman" w:hAnsi="Times New Roman"/>
          <w:sz w:val="17"/>
          <w:szCs w:val="17"/>
          <w:b w:val="1"/>
          <w:bCs w:val="1"/>
          <w:color w:val="auto"/>
        </w:rPr>
        <w:t>The Participant must accept this Performance Stock Unit grant by executing this Grant Notice in the space provided below and returning such original execution copy to the Company or otherwise indicating affirmative acceptance of the Performance Stock Unit grant electronically pursuant to procedures established by the Company and/or its third party administrator. The undersigned Participant acknowledges that he or she has received a copy of this Grant Notice, the Award Agreement, the Plan and the Plan Prospectus. As an express condition to the grant of the Performance Stock Units hereunder, the Participant agrees to be bound by the terms of this Grant Notice, the Award Agreement and the Plan. The Participant has read carefully and in its entirety the Award Agreement and specifically the acknowledgements in Section 11.9 thereof. This Grant Notice, the Award Agreement and the Plan set forth the entire agreement and understanding of the Company and the Participant with respect to the grant, vesting and administration of this Performance Stock Unit award and supersede all prior agreements, arrangements, plans and understandings. This Grant Notice (which includes the attached Award Agreement) may be executed in two counterparts each of which will be deemed an original and both of which together will constitute one and the same instrument.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w:t>
      </w:r>
    </w:p>
    <w:p>
      <w:pPr>
        <w:spacing w:after="0" w:line="204"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7"/>
          <w:szCs w:val="17"/>
          <w:b w:val="1"/>
          <w:bCs w:val="1"/>
          <w:color w:val="auto"/>
        </w:rPr>
        <w:t>XTANT MEDICAL HOLDINGS, INC.</w:t>
      </w:r>
      <w:r>
        <w:rPr>
          <w:sz w:val="20"/>
          <w:szCs w:val="20"/>
          <w:color w:val="auto"/>
        </w:rPr>
        <w:tab/>
      </w:r>
      <w:r>
        <w:rPr>
          <w:rFonts w:ascii="Times New Roman" w:cs="Times New Roman" w:eastAsia="Times New Roman" w:hAnsi="Times New Roman"/>
          <w:sz w:val="16"/>
          <w:szCs w:val="16"/>
          <w:b w:val="1"/>
          <w:bCs w:val="1"/>
          <w:color w:val="auto"/>
        </w:rPr>
        <w:t>PARTICIPANT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7"/>
          <w:szCs w:val="17"/>
          <w:b w:val="1"/>
          <w:bCs w:val="1"/>
          <w:color w:val="auto"/>
        </w:rPr>
        <w:t>PERFORMANCE STOCK UNIT AWARD AGREEMENT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Pursuant to the Notice of Performance Stock Unit Grant (the “</w:t>
      </w:r>
      <w:r>
        <w:rPr>
          <w:rFonts w:ascii="Times New Roman" w:cs="Times New Roman" w:eastAsia="Times New Roman" w:hAnsi="Times New Roman"/>
          <w:sz w:val="17"/>
          <w:szCs w:val="17"/>
          <w:u w:val="single" w:color="auto"/>
          <w:color w:val="auto"/>
        </w:rPr>
        <w:t>Grant Notice</w:t>
      </w:r>
      <w:r>
        <w:rPr>
          <w:rFonts w:ascii="Times New Roman" w:cs="Times New Roman" w:eastAsia="Times New Roman" w:hAnsi="Times New Roman"/>
          <w:sz w:val="17"/>
          <w:szCs w:val="17"/>
          <w:color w:val="auto"/>
        </w:rPr>
        <w:t>”) to which this Performance Stock Unit Award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attached and which Grant Notice is included in and part of this Agreement, and subject to the terms of this Agreement and the Xtant Medical Holdings, Inc. 2023 Equity Incentive Plan (as may be amended from time to time,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Xtant Medical Holdings,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the Participant named in the Grant Notice (the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agree as follows:</w:t>
      </w:r>
    </w:p>
    <w:p>
      <w:pPr>
        <w:spacing w:after="0" w:line="175" w:lineRule="exact"/>
        <w:rPr>
          <w:sz w:val="20"/>
          <w:szCs w:val="20"/>
          <w:color w:val="auto"/>
        </w:rPr>
      </w:pPr>
    </w:p>
    <w:p>
      <w:pPr>
        <w:jc w:val="both"/>
        <w:ind w:firstLine="1"/>
        <w:spacing w:after="0" w:line="251" w:lineRule="auto"/>
        <w:tabs>
          <w:tab w:leader="none" w:pos="18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of Plan; Definitions</w:t>
      </w:r>
      <w:r>
        <w:rPr>
          <w:rFonts w:ascii="Times New Roman" w:cs="Times New Roman" w:eastAsia="Times New Roman" w:hAnsi="Times New Roman"/>
          <w:sz w:val="17"/>
          <w:szCs w:val="17"/>
          <w:color w:val="auto"/>
        </w:rPr>
        <w:t>. The provisions of the Plan are hereby incorporated herein by reference. Except as otherwise expressly set forth herein, this Agreement will be construed in accordance with the provisions of the Plan and any capitalized terms not otherwise defined in this Agreement or in the Grant Notice will have the same meanings as set forth in the Plan. Unless otherwise stated, any reference contained in this Agreement to a Section or subsection refers to the provisions of this Agreement. The provisions of this Agreement will be interpreted as to be consistent with the Plan and any ambiguities in this Agreement will be interpreted by reference to the Plan. In the event that any provision of this Agreement is not authorized by or is inconsistent with the terms of the Plan, the terms of the Plan will prevail. Pursuant to and in accordance with the terms of the Plan, the Committee will have final authority to interpret and construe the Plan and this Agreement and to make any and all determinations thereunder, and its decision will be final, binding and conclusive upon the Participant and his or her legal representatives in respect of any questions arising under the Plan or this Agreement. A copy of the Plan and the Plan Prospectus have been delivered to the Participant together with this Agreement.</w:t>
      </w:r>
    </w:p>
    <w:p>
      <w:pPr>
        <w:spacing w:after="0" w:line="177" w:lineRule="exact"/>
        <w:rPr>
          <w:rFonts w:ascii="Times New Roman" w:cs="Times New Roman" w:eastAsia="Times New Roman" w:hAnsi="Times New Roman"/>
          <w:sz w:val="17"/>
          <w:szCs w:val="17"/>
          <w:color w:val="auto"/>
        </w:rPr>
      </w:pPr>
    </w:p>
    <w:p>
      <w:pPr>
        <w:jc w:val="both"/>
        <w:ind w:firstLine="1"/>
        <w:spacing w:after="0" w:line="256" w:lineRule="auto"/>
        <w:tabs>
          <w:tab w:leader="none" w:pos="18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Performance Stock Units</w:t>
      </w:r>
      <w:r>
        <w:rPr>
          <w:rFonts w:ascii="Times New Roman" w:cs="Times New Roman" w:eastAsia="Times New Roman" w:hAnsi="Times New Roman"/>
          <w:sz w:val="17"/>
          <w:szCs w:val="17"/>
          <w:color w:val="auto"/>
        </w:rPr>
        <w:t>. The Company hereby grants to the Participant a target number of Performance Stock Units, as set forth in the Grant Notice, subject to adjustment as provided in this Agreement and the Plan, and each of which, once vested and earned pursuant to this Agreement, will be settled in one (1) share of Common Stock, subject to the terms, conditions, restrictions and adjustments set forth herein and in the Plan. The Performance Stock Units will not accrue or be paid any Dividend Equivalents (as defined in the Plan).</w:t>
      </w:r>
    </w:p>
    <w:p>
      <w:pPr>
        <w:spacing w:after="0" w:line="174"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Performance-Based and Time-Based Vesting; Determination of Amount of Initially Earned Performance Stock Units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Performance-Based and Time-Based Vesting</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06"/>
        <w:spacing w:after="0" w:line="254" w:lineRule="auto"/>
        <w:tabs>
          <w:tab w:leader="none" w:pos="83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Performance-Based Vesting</w:t>
      </w:r>
      <w:r>
        <w:rPr>
          <w:rFonts w:ascii="Times New Roman" w:cs="Times New Roman" w:eastAsia="Times New Roman" w:hAnsi="Times New Roman"/>
          <w:sz w:val="17"/>
          <w:szCs w:val="17"/>
          <w:color w:val="auto"/>
        </w:rPr>
        <w:t>. Except as otherwise provided in this Section 3, Section 6, Section 7, the Plan or an Individual Agreement, the actual number of Performance Stock Units that may become eligible to vest under this Agreement will first be determined based on the achievement of the Stock Price Appreciation Goals (as defined in Section 3.2 of this Agreement) during the three-year performance period set forth in the Grant Notice (the “</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as further provided in Section 3.2. Any Performance Stock Units that become eligible to vest after satisfaction of the applicable Stock Price Appreciation Goals are referred to herein as the “</w:t>
      </w:r>
      <w:r>
        <w:rPr>
          <w:rFonts w:ascii="Times New Roman" w:cs="Times New Roman" w:eastAsia="Times New Roman" w:hAnsi="Times New Roman"/>
          <w:sz w:val="17"/>
          <w:szCs w:val="17"/>
          <w:u w:val="single" w:color="auto"/>
          <w:color w:val="auto"/>
        </w:rPr>
        <w:t>Initially Earned Performance Stock Units</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606"/>
        <w:spacing w:after="0" w:line="252" w:lineRule="auto"/>
        <w:tabs>
          <w:tab w:leader="none" w:pos="843"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Time-Based Vesting</w:t>
      </w:r>
      <w:r>
        <w:rPr>
          <w:rFonts w:ascii="Times New Roman" w:cs="Times New Roman" w:eastAsia="Times New Roman" w:hAnsi="Times New Roman"/>
          <w:sz w:val="17"/>
          <w:szCs w:val="17"/>
          <w:color w:val="auto"/>
        </w:rPr>
        <w:t>. In addition to achievement of the Stock Price Appreciation Goals, vesting of Initially Earned Performance Stock Units is, except as provided in Section 5, Section 6 or Section 7, the Plan or an Individual Agreement, further conditioned upon the Participant continuously remaining an Employee (as defined in the Plan) or a Consultant (as defined in the Plan) through the end of each Service Year during the Performance Period, as further provided in Section 3.1(c), and subject to the provisions of Section 6.4. For purposes of this Agreement, (i) a “</w:t>
      </w:r>
      <w:r>
        <w:rPr>
          <w:rFonts w:ascii="Times New Roman" w:cs="Times New Roman" w:eastAsia="Times New Roman" w:hAnsi="Times New Roman"/>
          <w:sz w:val="17"/>
          <w:szCs w:val="17"/>
          <w:u w:val="single" w:color="auto"/>
          <w:color w:val="auto"/>
        </w:rPr>
        <w:t>Service Year</w:t>
      </w:r>
      <w:r>
        <w:rPr>
          <w:rFonts w:ascii="Times New Roman" w:cs="Times New Roman" w:eastAsia="Times New Roman" w:hAnsi="Times New Roman"/>
          <w:sz w:val="17"/>
          <w:szCs w:val="17"/>
          <w:color w:val="auto"/>
        </w:rPr>
        <w:t>” means each 12-month period during the Performance Period measured from the Grant Date to the first anniversary thereof (“</w:t>
      </w:r>
      <w:r>
        <w:rPr>
          <w:rFonts w:ascii="Times New Roman" w:cs="Times New Roman" w:eastAsia="Times New Roman" w:hAnsi="Times New Roman"/>
          <w:sz w:val="17"/>
          <w:szCs w:val="17"/>
          <w:u w:val="single" w:color="auto"/>
          <w:color w:val="auto"/>
        </w:rPr>
        <w:t>Service Year 1</w:t>
      </w:r>
      <w:r>
        <w:rPr>
          <w:rFonts w:ascii="Times New Roman" w:cs="Times New Roman" w:eastAsia="Times New Roman" w:hAnsi="Times New Roman"/>
          <w:sz w:val="17"/>
          <w:szCs w:val="17"/>
          <w:color w:val="auto"/>
        </w:rPr>
        <w:t>”), from the first anniversary of the Grant Date to the second anniversary thereof (“</w:t>
      </w:r>
      <w:r>
        <w:rPr>
          <w:rFonts w:ascii="Times New Roman" w:cs="Times New Roman" w:eastAsia="Times New Roman" w:hAnsi="Times New Roman"/>
          <w:sz w:val="17"/>
          <w:szCs w:val="17"/>
          <w:u w:val="single" w:color="auto"/>
          <w:color w:val="auto"/>
        </w:rPr>
        <w:t>Service Year 2</w:t>
      </w:r>
      <w:r>
        <w:rPr>
          <w:rFonts w:ascii="Times New Roman" w:cs="Times New Roman" w:eastAsia="Times New Roman" w:hAnsi="Times New Roman"/>
          <w:sz w:val="17"/>
          <w:szCs w:val="17"/>
          <w:color w:val="auto"/>
        </w:rPr>
        <w:t>”), and from the second anniversary of the Grant Date to the third anniversary thereof (“</w:t>
      </w:r>
      <w:r>
        <w:rPr>
          <w:rFonts w:ascii="Times New Roman" w:cs="Times New Roman" w:eastAsia="Times New Roman" w:hAnsi="Times New Roman"/>
          <w:sz w:val="17"/>
          <w:szCs w:val="17"/>
          <w:u w:val="single" w:color="auto"/>
          <w:color w:val="auto"/>
        </w:rPr>
        <w:t>Service Year 3</w:t>
      </w:r>
      <w:r>
        <w:rPr>
          <w:rFonts w:ascii="Times New Roman" w:cs="Times New Roman" w:eastAsia="Times New Roman" w:hAnsi="Times New Roman"/>
          <w:sz w:val="17"/>
          <w:szCs w:val="17"/>
          <w:color w:val="auto"/>
        </w:rPr>
        <w:t>”), and (ii) the “</w:t>
      </w:r>
      <w:r>
        <w:rPr>
          <w:rFonts w:ascii="Times New Roman" w:cs="Times New Roman" w:eastAsia="Times New Roman" w:hAnsi="Times New Roman"/>
          <w:sz w:val="17"/>
          <w:szCs w:val="17"/>
          <w:u w:val="single" w:color="auto"/>
          <w:color w:val="auto"/>
        </w:rPr>
        <w:t>Service Vesting Dates</w:t>
      </w:r>
      <w:r>
        <w:rPr>
          <w:rFonts w:ascii="Times New Roman" w:cs="Times New Roman" w:eastAsia="Times New Roman" w:hAnsi="Times New Roman"/>
          <w:sz w:val="17"/>
          <w:szCs w:val="17"/>
          <w:color w:val="auto"/>
        </w:rPr>
        <w:t>” are the last day of Service Year 1, the last day of Service Year 2 and the last day of Service Year 3,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8" w:name="page119"/>
    <w:bookmarkEnd w:id="118"/>
    <w:p>
      <w:pPr>
        <w:jc w:val="both"/>
        <w:ind w:firstLine="606"/>
        <w:spacing w:after="0" w:line="261" w:lineRule="auto"/>
        <w:tabs>
          <w:tab w:leader="none" w:pos="84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Time-Based Vesting Schedule</w:t>
      </w:r>
      <w:r>
        <w:rPr>
          <w:rFonts w:ascii="Times New Roman" w:cs="Times New Roman" w:eastAsia="Times New Roman" w:hAnsi="Times New Roman"/>
          <w:sz w:val="17"/>
          <w:szCs w:val="17"/>
          <w:color w:val="auto"/>
        </w:rPr>
        <w:t>. Unless previously vested, forfeited or cancelled in accordance with this Agreement, Initially Earned Performance Stock Units will automatically vest in accordance with the Service Year in which such units first become Initially Earned Performance Stock Units as determined by the Committee pursuant to Section 3.2, as follows:</w:t>
      </w:r>
    </w:p>
    <w:p>
      <w:pPr>
        <w:spacing w:after="0" w:line="165" w:lineRule="exact"/>
        <w:rPr>
          <w:rFonts w:ascii="Times New Roman" w:cs="Times New Roman" w:eastAsia="Times New Roman" w:hAnsi="Times New Roman"/>
          <w:sz w:val="17"/>
          <w:szCs w:val="17"/>
          <w:color w:val="auto"/>
        </w:rPr>
      </w:pPr>
    </w:p>
    <w:p>
      <w:pPr>
        <w:ind w:left="1220" w:hanging="9"/>
        <w:spacing w:after="0" w:line="279" w:lineRule="auto"/>
        <w:tabs>
          <w:tab w:leader="none" w:pos="1421"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Initially Earned in Service Year 1</w:t>
      </w:r>
      <w:r>
        <w:rPr>
          <w:rFonts w:ascii="Times New Roman" w:cs="Times New Roman" w:eastAsia="Times New Roman" w:hAnsi="Times New Roman"/>
          <w:sz w:val="17"/>
          <w:szCs w:val="17"/>
          <w:color w:val="auto"/>
        </w:rPr>
        <w:t>: One-third (1/3) will vest on the Service Vesting Date for Service Year 1, one-third (1/3) will vest on the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Vesting Date for Service Year 2, and one-third (1/3) will vest on the Service Vesting Date for Service Year 3.</w:t>
      </w:r>
    </w:p>
    <w:p>
      <w:pPr>
        <w:spacing w:after="0" w:line="150" w:lineRule="exact"/>
        <w:rPr>
          <w:rFonts w:ascii="Times New Roman" w:cs="Times New Roman" w:eastAsia="Times New Roman" w:hAnsi="Times New Roman"/>
          <w:sz w:val="17"/>
          <w:szCs w:val="17"/>
          <w:color w:val="auto"/>
        </w:rPr>
      </w:pPr>
    </w:p>
    <w:p>
      <w:pPr>
        <w:ind w:left="1220" w:hanging="9"/>
        <w:spacing w:after="0" w:line="279" w:lineRule="auto"/>
        <w:tabs>
          <w:tab w:leader="none" w:pos="14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Initially Earned in Service Year 2</w:t>
      </w:r>
      <w:r>
        <w:rPr>
          <w:rFonts w:ascii="Times New Roman" w:cs="Times New Roman" w:eastAsia="Times New Roman" w:hAnsi="Times New Roman"/>
          <w:sz w:val="17"/>
          <w:szCs w:val="17"/>
          <w:color w:val="auto"/>
        </w:rPr>
        <w:t>: One-half (1/2) will vest on the Service Vesting Date for Service Year 2 and one-half (1/2) will vest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Vesting Date for Service Year 3.</w:t>
      </w:r>
    </w:p>
    <w:p>
      <w:pPr>
        <w:spacing w:after="0" w:line="150" w:lineRule="exact"/>
        <w:rPr>
          <w:rFonts w:ascii="Times New Roman" w:cs="Times New Roman" w:eastAsia="Times New Roman" w:hAnsi="Times New Roman"/>
          <w:sz w:val="17"/>
          <w:szCs w:val="17"/>
          <w:color w:val="auto"/>
        </w:rPr>
      </w:pPr>
    </w:p>
    <w:p>
      <w:pPr>
        <w:ind w:left="1500" w:hanging="289"/>
        <w:spacing w:after="0"/>
        <w:tabs>
          <w:tab w:leader="none" w:pos="150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Initially Earned in Service Year 3</w:t>
      </w:r>
      <w:r>
        <w:rPr>
          <w:rFonts w:ascii="Times New Roman" w:cs="Times New Roman" w:eastAsia="Times New Roman" w:hAnsi="Times New Roman"/>
          <w:sz w:val="17"/>
          <w:szCs w:val="17"/>
          <w:color w:val="auto"/>
        </w:rPr>
        <w:t>: 100% will vest on the Service Vesting Date for Service Year 3.</w:t>
      </w:r>
    </w:p>
    <w:p>
      <w:pPr>
        <w:spacing w:after="0" w:line="211" w:lineRule="exact"/>
        <w:rPr>
          <w:rFonts w:ascii="Times New Roman" w:cs="Times New Roman" w:eastAsia="Times New Roman" w:hAnsi="Times New Roman"/>
          <w:sz w:val="17"/>
          <w:szCs w:val="17"/>
          <w:color w:val="auto"/>
        </w:rPr>
      </w:pPr>
    </w:p>
    <w:p>
      <w:pPr>
        <w:jc w:val="both"/>
        <w:ind w:firstLine="606"/>
        <w:spacing w:after="0" w:line="261" w:lineRule="auto"/>
        <w:tabs>
          <w:tab w:leader="none" w:pos="84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Cancellation of Unvested Initially Earned Performance Stock Units</w:t>
      </w:r>
      <w:r>
        <w:rPr>
          <w:rFonts w:ascii="Times New Roman" w:cs="Times New Roman" w:eastAsia="Times New Roman" w:hAnsi="Times New Roman"/>
          <w:sz w:val="17"/>
          <w:szCs w:val="17"/>
          <w:color w:val="auto"/>
        </w:rPr>
        <w:t>. Unless previously vested in accordance with Section 5, Section 6 or Section 7, any Initially Earned Performance Stock Units for which the applicable Service Vesting Date has not occurred as of the date the Participant is no longer serving as Employee (as defined in the Plan) or a Consultant (as defined in the Plan) will be immediately cancelled and forfeited for no consideration.</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Stock Price Appreciation Goals; Determination of Amount of Initially Earned Performance Stock Units</w:t>
      </w:r>
      <w:r>
        <w:rPr>
          <w:rFonts w:ascii="Times New Roman" w:cs="Times New Roman" w:eastAsia="Times New Roman" w:hAnsi="Times New Roman"/>
          <w:sz w:val="17"/>
          <w:szCs w:val="17"/>
          <w:color w:val="auto"/>
        </w:rPr>
        <w:t>. The number of Performance Stock Units that become Initially Earned Performance Stock Units will be determined by the Committee from time to time during the Performance Period and within a reasonable period of time after completion of the Performance Period in such a manner as described in this Section 3.2 upon achievement of the following Stock Price Appreciation Goals by the Company during the Performance Period (each such goal, a “</w:t>
      </w:r>
      <w:r>
        <w:rPr>
          <w:rFonts w:ascii="Times New Roman" w:cs="Times New Roman" w:eastAsia="Times New Roman" w:hAnsi="Times New Roman"/>
          <w:sz w:val="17"/>
          <w:szCs w:val="17"/>
          <w:u w:val="single" w:color="auto"/>
          <w:color w:val="auto"/>
        </w:rPr>
        <w:t>Stock Price Appreciation Goal</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Stock Price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Appreciation Goals</w:t>
      </w:r>
      <w:r>
        <w:rPr>
          <w:rFonts w:ascii="Times New Roman" w:cs="Times New Roman" w:eastAsia="Times New Roman" w:hAnsi="Times New Roman"/>
          <w:sz w:val="17"/>
          <w:szCs w:val="17"/>
          <w:color w:val="auto"/>
        </w:rPr>
        <w:t>”):</w:t>
      </w:r>
    </w:p>
    <w:p>
      <w:pPr>
        <w:spacing w:after="0" w:line="172" w:lineRule="exact"/>
        <w:rPr>
          <w:sz w:val="20"/>
          <w:szCs w:val="20"/>
          <w:color w:val="auto"/>
        </w:rPr>
      </w:pPr>
    </w:p>
    <w:tbl>
      <w:tblPr>
        <w:tblLayout w:type="fixed"/>
        <w:tblInd w:w="1150" w:type="dxa"/>
        <w:tblCellMar>
          <w:top w:w="0" w:type="dxa"/>
          <w:left w:w="0" w:type="dxa"/>
          <w:bottom w:w="0" w:type="dxa"/>
          <w:right w:w="0" w:type="dxa"/>
        </w:tblCellMar>
      </w:tblPr>
      <w:tr>
        <w:trPr>
          <w:trHeight w:val="264"/>
        </w:trPr>
        <w:tc>
          <w:tcPr>
            <w:tcW w:w="5500" w:type="dxa"/>
            <w:vAlign w:val="bottom"/>
            <w:tcBorders>
              <w:top w:val="single" w:sz="8" w:color="auto"/>
              <w:left w:val="single" w:sz="8" w:color="auto"/>
              <w:right w:val="single" w:sz="8" w:color="auto"/>
            </w:tcBorders>
            <w:gridSpan w:val="2"/>
          </w:tcPr>
          <w:p>
            <w:pPr>
              <w:ind w:left="1620"/>
              <w:spacing w:after="0"/>
              <w:rPr>
                <w:sz w:val="20"/>
                <w:szCs w:val="20"/>
                <w:color w:val="auto"/>
              </w:rPr>
            </w:pPr>
            <w:r>
              <w:rPr>
                <w:rFonts w:ascii="Times New Roman" w:cs="Times New Roman" w:eastAsia="Times New Roman" w:hAnsi="Times New Roman"/>
                <w:sz w:val="17"/>
                <w:szCs w:val="17"/>
                <w:b w:val="1"/>
                <w:bCs w:val="1"/>
                <w:color w:val="auto"/>
              </w:rPr>
              <w:t>Stock Price Appreciation Goals</w:t>
            </w: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
        </w:trPr>
        <w:tc>
          <w:tcPr>
            <w:tcW w:w="3000" w:type="dxa"/>
            <w:vAlign w:val="bottom"/>
            <w:tcBorders>
              <w:left w:val="single" w:sz="8" w:color="auto"/>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000" w:type="dxa"/>
            <w:vAlign w:val="bottom"/>
            <w:tcBorders>
              <w:left w:val="single" w:sz="8" w:color="auto"/>
              <w:right w:val="single" w:sz="8" w:color="auto"/>
            </w:tcBorders>
          </w:tcPr>
          <w:p>
            <w:pPr>
              <w:spacing w:after="0"/>
              <w:rPr>
                <w:sz w:val="15"/>
                <w:szCs w:val="15"/>
                <w:color w:val="auto"/>
              </w:rPr>
            </w:pPr>
          </w:p>
        </w:tc>
        <w:tc>
          <w:tcPr>
            <w:tcW w:w="2500" w:type="dxa"/>
            <w:vAlign w:val="bottom"/>
            <w:tcBorders>
              <w:right w:val="single" w:sz="8" w:color="auto"/>
            </w:tcBorders>
          </w:tcPr>
          <w:p>
            <w:pPr>
              <w:ind w:left="800"/>
              <w:spacing w:after="0" w:line="174" w:lineRule="exact"/>
              <w:rPr>
                <w:sz w:val="20"/>
                <w:szCs w:val="20"/>
                <w:color w:val="auto"/>
              </w:rPr>
            </w:pPr>
            <w:r>
              <w:rPr>
                <w:rFonts w:ascii="Times New Roman" w:cs="Times New Roman" w:eastAsia="Times New Roman" w:hAnsi="Times New Roman"/>
                <w:sz w:val="17"/>
                <w:szCs w:val="17"/>
                <w:b w:val="1"/>
                <w:bCs w:val="1"/>
                <w:color w:val="auto"/>
              </w:rPr>
              <w:t>Premium to</w:t>
            </w:r>
          </w:p>
        </w:tc>
        <w:tc>
          <w:tcPr>
            <w:tcW w:w="350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8"/>
              </w:rPr>
              <w:t>Initially Earned Performance</w:t>
            </w:r>
          </w:p>
        </w:tc>
        <w:tc>
          <w:tcPr>
            <w:tcW w:w="0" w:type="dxa"/>
            <w:vAlign w:val="bottom"/>
          </w:tcPr>
          <w:p>
            <w:pPr>
              <w:spacing w:after="0"/>
              <w:rPr>
                <w:sz w:val="1"/>
                <w:szCs w:val="1"/>
                <w:color w:val="auto"/>
              </w:rPr>
            </w:pPr>
          </w:p>
        </w:tc>
      </w:tr>
      <w:tr>
        <w:trPr>
          <w:trHeight w:val="202"/>
        </w:trPr>
        <w:tc>
          <w:tcPr>
            <w:tcW w:w="3000" w:type="dxa"/>
            <w:vAlign w:val="bottom"/>
            <w:tcBorders>
              <w:left w:val="single" w:sz="8" w:color="auto"/>
              <w:right w:val="single" w:sz="8" w:color="auto"/>
            </w:tcBorders>
            <w:vMerge w:val="restart"/>
          </w:tcPr>
          <w:p>
            <w:pPr>
              <w:ind w:left="920"/>
              <w:spacing w:after="0"/>
              <w:rPr>
                <w:sz w:val="20"/>
                <w:szCs w:val="20"/>
                <w:color w:val="auto"/>
              </w:rPr>
            </w:pPr>
            <w:r>
              <w:rPr>
                <w:rFonts w:ascii="Times New Roman" w:cs="Times New Roman" w:eastAsia="Times New Roman" w:hAnsi="Times New Roman"/>
                <w:sz w:val="17"/>
                <w:szCs w:val="17"/>
                <w:b w:val="1"/>
                <w:bCs w:val="1"/>
                <w:color w:val="auto"/>
              </w:rPr>
              <w:t>Stock Price</w:t>
            </w:r>
            <w:r>
              <w:rPr>
                <w:rFonts w:ascii="Times New Roman" w:cs="Times New Roman" w:eastAsia="Times New Roman" w:hAnsi="Times New Roman"/>
                <w:sz w:val="28"/>
                <w:szCs w:val="28"/>
                <w:b w:val="1"/>
                <w:bCs w:val="1"/>
                <w:color w:val="auto"/>
                <w:vertAlign w:val="superscript"/>
              </w:rPr>
              <w:t>(1)(2)</w:t>
            </w:r>
          </w:p>
        </w:tc>
        <w:tc>
          <w:tcPr>
            <w:tcW w:w="25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Stock Units as a Percentage of Potential</w:t>
            </w:r>
          </w:p>
        </w:tc>
        <w:tc>
          <w:tcPr>
            <w:tcW w:w="0" w:type="dxa"/>
            <w:vAlign w:val="bottom"/>
          </w:tcPr>
          <w:p>
            <w:pPr>
              <w:spacing w:after="0"/>
              <w:rPr>
                <w:sz w:val="1"/>
                <w:szCs w:val="1"/>
                <w:color w:val="auto"/>
              </w:rPr>
            </w:pPr>
          </w:p>
        </w:tc>
      </w:tr>
      <w:tr>
        <w:trPr>
          <w:trHeight w:val="222"/>
        </w:trPr>
        <w:tc>
          <w:tcPr>
            <w:tcW w:w="30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50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7"/>
                <w:szCs w:val="17"/>
                <w:b w:val="1"/>
                <w:bCs w:val="1"/>
                <w:color w:val="auto"/>
              </w:rPr>
              <w:t>Stock Price</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Payout</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0%</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10%</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20%</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30%</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40%</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5"/>
              </w:rPr>
              <w:t>100%</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5"/>
              </w:rPr>
              <w:t>120%</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5"/>
              </w:rPr>
              <w:t>140%</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5"/>
              </w:rPr>
              <w:t>160%</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5"/>
              </w:rPr>
              <w:t>180%</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5"/>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600" w:hanging="599"/>
        <w:spacing w:after="0" w:line="257"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Stock Price Appreciation Goals in this “Stock Price” column will be achieved once the closing sale price of the Common Stock remains at or above the respective Stock Price for at least twenty (20) consecutive trading days during the Performance Period.</w:t>
      </w:r>
    </w:p>
    <w:p>
      <w:pPr>
        <w:ind w:left="600" w:hanging="599"/>
        <w:spacing w:after="0" w:line="255"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prices in this “Stock Price” column will be adjusted for any stock dividends, stock splits, spin-offs and other corporate changes having a similar effect on the trading price of the Common Stock.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9" w:name="page120"/>
    <w:bookmarkEnd w:id="119"/>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The achievement of the Stock Price Appreciation Goals will be determined and certified in writing by the Committee no later than thirty (30) days after such achievement (the date of such certification, the “</w:t>
      </w:r>
      <w:r>
        <w:rPr>
          <w:rFonts w:ascii="Times New Roman" w:cs="Times New Roman" w:eastAsia="Times New Roman" w:hAnsi="Times New Roman"/>
          <w:sz w:val="16"/>
          <w:szCs w:val="16"/>
          <w:u w:val="single" w:color="auto"/>
          <w:color w:val="auto"/>
        </w:rPr>
        <w:t>Certification Date</w:t>
      </w:r>
      <w:r>
        <w:rPr>
          <w:rFonts w:ascii="Times New Roman" w:cs="Times New Roman" w:eastAsia="Times New Roman" w:hAnsi="Times New Roman"/>
          <w:sz w:val="16"/>
          <w:szCs w:val="16"/>
          <w:color w:val="auto"/>
        </w:rPr>
        <w:t>”). As part of this determination, the Committee shall also determine the achieved percentage of the Target Potential Payout (as such term is set forth in the Grant Notice) (the “</w:t>
      </w:r>
      <w:r>
        <w:rPr>
          <w:rFonts w:ascii="Times New Roman" w:cs="Times New Roman" w:eastAsia="Times New Roman" w:hAnsi="Times New Roman"/>
          <w:sz w:val="16"/>
          <w:szCs w:val="16"/>
          <w:u w:val="single" w:color="auto"/>
          <w:color w:val="auto"/>
        </w:rPr>
        <w:t>Target Performance Stock Units</w:t>
      </w:r>
      <w:r>
        <w:rPr>
          <w:rFonts w:ascii="Times New Roman" w:cs="Times New Roman" w:eastAsia="Times New Roman" w:hAnsi="Times New Roman"/>
          <w:sz w:val="16"/>
          <w:szCs w:val="16"/>
          <w:color w:val="auto"/>
        </w:rPr>
        <w:t>”), and corresponding number of Performance Award Units that became Initially Earned Performance Stock Units (if any), with such number based on the Stock Price Appreciation Goal achieved and the corresponding percentage under the “Initially Earned Performance Stock Units as a Percentage of Target Potential Payout” column in the table above, minus any percentage previously vested and determined and certified by the Committee as Initially Earned Performance Stock Units. For example, and for the avoidance of doubt, if the closing sale price of the Common Stock is at or above $x.xx for at least twenty (20) consecutive trading days during the Performance Period, then no later than thirty</w:t>
      </w:r>
    </w:p>
    <w:p>
      <w:pPr>
        <w:spacing w:after="0" w:line="1" w:lineRule="exact"/>
        <w:rPr>
          <w:sz w:val="20"/>
          <w:szCs w:val="20"/>
          <w:color w:val="auto"/>
        </w:rPr>
      </w:pPr>
    </w:p>
    <w:p>
      <w:pPr>
        <w:jc w:val="both"/>
        <w:ind w:firstLine="1"/>
        <w:spacing w:after="0" w:line="248" w:lineRule="auto"/>
        <w:tabs>
          <w:tab w:leader="none" w:pos="3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thereafter, the Committee will make a determination that 30% of the Target Performance Stock Units will vest and become Initially Earned Performance Stock Units. However, if prior to such Certification Date, the Committee had previously determined that the $x.xx and $x.xx Stock Price Appreciation Goals had been achieved and as a result thereof a total of 20% of the Target Performance Stock Units had already vested and been determined and certified by the Committee as Initially Earned Performance Stock Units, then only an additional 10% of the Target Performance Stock Units will vest and become Initially Earned Performance Stock Units, resulting in a total of 30% of the Target Performance Stock Units having become Initially Earned Performance Stock Units. Initially Earned Performance Stock Units will be considered earned during a Service Year if the Stock Price Appreciation Goal was determined by the Committee to have been achieved during such Service Year despite the Certification Date being after the completion of a Service Year.</w:t>
      </w:r>
    </w:p>
    <w:p>
      <w:pPr>
        <w:spacing w:after="0" w:line="184"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No later than thirty (30) days after the end of the Performance Period, the Committee shall make a final determination and written certification as to achievement, if any, of the Stock Price Appreciation Goals during the Performance Period and any Performance Stock Units that failed to become Initially Earned Performance Stock Units during the Performance Period will be cancelled and forfeited immediately for no consideration.</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Any and all determinations of the Committee hereunder shall be made by the Committee in its sole discretion and shall be final and binding on all parties.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Notwithstanding any of the foregoing, the number of Initially Earned Performance Stock Units arising from achievement of the Stock Price Appreciation Goals may not result in more than the Maximum Potential Payout (as defined in the Award Agreement) subject to this Agreement becoming Initially Earned Performance Stock Units.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0" w:name="page121"/>
    <w:bookmarkEnd w:id="120"/>
    <w:p>
      <w:pPr>
        <w:jc w:val="both"/>
        <w:ind w:firstLine="1"/>
        <w:spacing w:after="0" w:line="253" w:lineRule="auto"/>
        <w:tabs>
          <w:tab w:leader="none" w:pos="16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Issuance of Common Stock</w:t>
      </w:r>
      <w:r>
        <w:rPr>
          <w:rFonts w:ascii="Times New Roman" w:cs="Times New Roman" w:eastAsia="Times New Roman" w:hAnsi="Times New Roman"/>
          <w:sz w:val="17"/>
          <w:szCs w:val="17"/>
          <w:color w:val="auto"/>
        </w:rPr>
        <w:t>. Subject to Section 10 (including to the extent that shares of Common Stock are withheld to pay tax withholding obligations pursuant to Section 10), shares of Common Stock will be issued in settlement of Initially Earned Performance Stock Units that have satisfied the applicable time-based vesting requirements in Section 3.1(c) following the earlier of the following events: (i) the Participant’s Separation from Service (as hereinafter defined); (ii) the Participant’s death; (iii) the Change in Control Date (as defined below) if the Change in Control results in all shares of Common Stock being cashed out so that the shares of Common Stock to be issued will also be cashed out in the transaction; or (iv) if specified, the settlement date set forth in the Grant Notice (each, a “Payment Trigger” and such date of payment being the “Settlement Date”), subject to the following:</w:t>
      </w:r>
    </w:p>
    <w:p>
      <w:pPr>
        <w:spacing w:after="0" w:line="175" w:lineRule="exact"/>
        <w:rPr>
          <w:rFonts w:ascii="Times New Roman" w:cs="Times New Roman" w:eastAsia="Times New Roman" w:hAnsi="Times New Roman"/>
          <w:sz w:val="17"/>
          <w:szCs w:val="17"/>
          <w:color w:val="auto"/>
        </w:rPr>
      </w:pPr>
    </w:p>
    <w:p>
      <w:pPr>
        <w:jc w:val="both"/>
        <w:ind w:firstLine="1211"/>
        <w:spacing w:after="0" w:line="251" w:lineRule="auto"/>
        <w:tabs>
          <w:tab w:leader="none" w:pos="1371"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Participants subject to United States federal income tax, shares of Common Stock will be issued within sixty (60) days following the Payment Trigger, and, for purposes of this Agreement, a “Separation from Service” shall occur upon the effective date of the Participant’s termination of employment or service with the Company (other than on account of death) provided such termination constitutes a “separation from service” as defined in Treas. Reg. §1.409A-1(h); and provided further that if the Participant is a “specified employee” of the Company, as defined in Treas. Reg. §1.409A-1(i), at the Participant’s Separation from Service, and settlement is on account of the Participant’s Separation from Service, the settlement shall be delayed until the earlier of the first day of the seventh month following the Participant’s Separation from Service and the Participant’s death. Payment of amounts under this Agreement (by issuance of shares of Common Stock or otherwise) is intended to comply with the requirements of Section 409A of the Code and this Agreement shall in all respects be administered and construed to give effect to such intent. The Committee in its sole discretion may accelerate or delay the settlement of any payment under this Agreement if and only to the extent allowed under Section 409A of the Code.</w:t>
      </w:r>
    </w:p>
    <w:p>
      <w:pPr>
        <w:spacing w:after="0" w:line="177" w:lineRule="exact"/>
        <w:rPr>
          <w:rFonts w:ascii="Times New Roman" w:cs="Times New Roman" w:eastAsia="Times New Roman" w:hAnsi="Times New Roman"/>
          <w:sz w:val="17"/>
          <w:szCs w:val="17"/>
          <w:color w:val="auto"/>
        </w:rPr>
      </w:pPr>
    </w:p>
    <w:p>
      <w:pPr>
        <w:jc w:val="both"/>
        <w:ind w:firstLine="1211"/>
        <w:spacing w:after="0" w:line="256" w:lineRule="auto"/>
        <w:tabs>
          <w:tab w:leader="none" w:pos="1399"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Participants resident in countries other than the United States for income tax purposes and not subject to paragraph (a), above, shares of Common Stock or, in the sole discretion of the Company, cash, less any applicable tax withholdings required by law and pursuant to Section 6 of this Agreement, shall be made to the Participant no later than December 31 of the year following the calendar year that includes the Payment Trigger; and for the purposes of this Agreement, a “Separation from Service” shall mean the date the Participant retires or otherwise has a loss of employment with the Company.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No shares of Common Stock will be issued with respect to Initially Earned Performance Stock Units prior to the applicable Service Vesting Date(s), except as expressly provided in Section 5, Section 6 or Section 7. No fractional shares will be issued and each partial share of Common Stock, if any, will be rounded down to the next whole share of Common Stock. The Company will issue and deliver the shares of Common Stock issued in settlement of Initially Earned Performance Stock Units to the Participant (either by delivering one or more certificates for such shares or by entering such shares in book entry form in the name of the Participant or depositing such shares for the Participant’s benefit with any broker with which the Participant has an account relationship or the Company has engaged to provide such services under the Plan, as determined by the Company in its sole discretion).</w:t>
      </w:r>
    </w:p>
    <w:p>
      <w:pPr>
        <w:spacing w:after="0" w:line="176" w:lineRule="exact"/>
        <w:rPr>
          <w:sz w:val="20"/>
          <w:szCs w:val="20"/>
          <w:color w:val="auto"/>
        </w:rPr>
      </w:pPr>
    </w:p>
    <w:p>
      <w:pPr>
        <w:jc w:val="both"/>
        <w:ind w:firstLine="1"/>
        <w:spacing w:after="0" w:line="254" w:lineRule="auto"/>
        <w:tabs>
          <w:tab w:leader="none" w:pos="16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Committee Discretion</w:t>
      </w:r>
      <w:r>
        <w:rPr>
          <w:rFonts w:ascii="Times New Roman" w:cs="Times New Roman" w:eastAsia="Times New Roman" w:hAnsi="Times New Roman"/>
          <w:sz w:val="17"/>
          <w:szCs w:val="17"/>
          <w:color w:val="auto"/>
        </w:rPr>
        <w:t>. The Committee may decide, in its absolute discretion, to accelerate the vesting on the balance, or some lesser portion of the balance, of the Performance Stock Units at any time. If so accelerated, the Performance Stock Units will be considered to have vested as of the date specified by the Committee. If Participant is a U.S. taxpayer, the payment of shares of Common Stock vesting pursuant to this Section 5.2 shall in all cases be paid at a time or in a manner that ensures the Performance Stock Units are exempt from, or comply with, Section 409A of the Code. The prior sentence may be superseded in a future agreement or amendment to this Agreement only by direct and specific reference to such sentence.</w:t>
      </w:r>
    </w:p>
    <w:p>
      <w:pPr>
        <w:spacing w:after="0" w:line="175"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Termination of Employment or Service</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Effect of Termination of Employment by the Company without Cause</w:t>
      </w:r>
      <w:r>
        <w:rPr>
          <w:rFonts w:ascii="Times New Roman" w:cs="Times New Roman" w:eastAsia="Times New Roman" w:hAnsi="Times New Roman"/>
          <w:sz w:val="17"/>
          <w:szCs w:val="17"/>
          <w:color w:val="auto"/>
        </w:rPr>
        <w:t>. Except as otherwise provided in an Individual Agreement, as of the date of termination of the Participant’s employment by or other service to the Company (including its Subsidiaries or Affiliates) as a result of a termination by the Company (including its Subsidiaries or Affiliates) without Cause and other than due to the Participant’s death or Disability, then (a) any Initially Earned Performance Stock Units for which the applicable Service Vesting Date has occurred on or prior to the date of termination, but which remain unsettled, will be settled accordance with Section 4, and (b) all other Initially Earned Performance Stock Units then outstanding will, as of immediately prior to such termination of employment or other service, no longer be subject to the time-based vesting requirements set forth in Section 3.1(b) and Section 3.1(c), and will become immediately vested with respect to that number of underlying shares of Common Stock subject to such Initially Earned Performance Stock Units and the settlement of such shares of Common Stock shall occur as provided in Section 4 of this Agreement. All remaining unvested Performance Stock Units will immediately be cancelled and forfeited for no consideration and the Participant shall forfeit his or her rights to receive all of the remaining shares of Common Stock subject to the Performance Stock Units that have not vested as provided in this Section 6.1 or otherwise under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1" w:name="page122"/>
    <w:bookmarkEnd w:id="121"/>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Effect of Termination of Employment or Other Service Due to Death or Disability</w:t>
      </w:r>
      <w:r>
        <w:rPr>
          <w:rFonts w:ascii="Times New Roman" w:cs="Times New Roman" w:eastAsia="Times New Roman" w:hAnsi="Times New Roman"/>
          <w:sz w:val="16"/>
          <w:szCs w:val="16"/>
          <w:color w:val="auto"/>
        </w:rPr>
        <w:t>. If the Participant dies or his or her employment by or other service to the Company (including its Subsidiaries or Affiliates) is terminated by reason of his or her Disability while he or she is employed or providing other service to the Company (including its Subsidiaries or Affiliates) within one (1) year of the Grant Date, the Participant shall forfeit his or her rights to receive the shares of Common Stock subject to the Performance Stock Units that have not vested pursuant to Section 3, 5, 6.1 or 7 of this Agreement as of the date the Participant’s employment by or other service to the Company (including its Subsidiaries or Affiliates) terminates. If the Participant dies or his or her employment by or other service to the Company (including its Subsidiaries or Affiliates) is terminated by reason of his or her Disability while he or she is employed by or providing other service to the Company (including its Subsidiaries or Affiliates), in each case one (1) year or more after the Grant Date, then (a) any Initially Earned Performance Stock Units for which the applicable Service Vesting Date has occurred on or prior to the date of termination, but which remain unsettled, will be settled accordance with Section 4,</w:t>
      </w:r>
    </w:p>
    <w:p>
      <w:pPr>
        <w:spacing w:after="0" w:line="5" w:lineRule="exact"/>
        <w:rPr>
          <w:sz w:val="20"/>
          <w:szCs w:val="20"/>
          <w:color w:val="auto"/>
        </w:rPr>
      </w:pPr>
    </w:p>
    <w:p>
      <w:pPr>
        <w:jc w:val="both"/>
        <w:ind w:firstLine="1"/>
        <w:spacing w:after="0" w:line="248" w:lineRule="auto"/>
        <w:tabs>
          <w:tab w:leader="none" w:pos="24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Initially Earned Performance Stock Units then outstanding will, as of immediately prior to such termination of employment or other service, no longer be subject to the time-based vesting requirements set forth in Section 3.1(b) and Section 3.1(c), and will become immediately vested with respect to that number of underlying shares of Common Stock subject to such Initially Earned Performance Stock Units and the settlement of such shares of Common Stock shall occur as provided in Section 4 of this Agreement, and (c) the Performance Stock Units will, as of immediately prior to such termination of employment or other service, become immediately vested with respect to the number of underlying shares of Common Stock that represent the Target Potential Payout, as set forth on the Grant Notice, prorated for the number of full months of the Participant’s employment or other service during the Performance Period, minus any shares of Common Stock to be issued pursuant to clauses (b) and (c) of this Section 6.2, and such vested Performance Stock Units shall be settled in shares of Common Stock as provided in Section 4 of this Agreement. All remaining unvested Performance Stock Units will immediately be cancelled and forfeited for no consideration and the Participant shall forfeit his or her rights to receive all of the remaining shares of Common Stock subject to the Performance Stock Units that have not vested as provided in this Section 6.2 or otherwise under this Agreement.</w:t>
      </w:r>
    </w:p>
    <w:p>
      <w:pPr>
        <w:spacing w:after="0" w:line="183"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Other Terminations</w:t>
      </w:r>
      <w:r>
        <w:rPr>
          <w:rFonts w:ascii="Times New Roman" w:cs="Times New Roman" w:eastAsia="Times New Roman" w:hAnsi="Times New Roman"/>
          <w:sz w:val="17"/>
          <w:szCs w:val="17"/>
          <w:color w:val="auto"/>
        </w:rPr>
        <w:t>. Except as otherwise provided in an Individual Agreement, as of the date of termination of the Participant’s employment by or other service to the Company (including of its Subsidiaries or Affiliates) for any reason other than death or Disability of the Participant or in the event of a termination of the Participant’s employment by or other service to the Company (including of its Subsidiaries or Affiliates) without Cause, then (a) all unvested Performance Stock Units (including any Initially Earned Performance Stock Units for which the applicable Service Vesting Date has not occurred) will immediately be cancelled and forfeited for no consideration and the Participant shall forfeit his or her rights to receive all of the remaining shares of Common Stock subject to the Performance Stock Units, and (b) any Initially Earned Performance Stock Units for which the applicable Service Vesting Date has occurred on or prior to the date of termination, but which remain unsettled, will be settled in accordance with Section 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2" w:name="page123"/>
    <w:bookmarkEnd w:id="122"/>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Effect of Change in Employee/Consultant Status</w:t>
      </w:r>
      <w:r>
        <w:rPr>
          <w:rFonts w:ascii="Times New Roman" w:cs="Times New Roman" w:eastAsia="Times New Roman" w:hAnsi="Times New Roman"/>
          <w:sz w:val="17"/>
          <w:szCs w:val="17"/>
          <w:color w:val="auto"/>
        </w:rPr>
        <w:t>. The change in the Participant’s status from that of an Employee to that of a Consultant will, for purposes of this Agreement, be deemed to result in a termination of such Participant’s employment by or other service to the Company (including its Subsidiaries or Affiliates), unless the Committee otherwise determines in its sole discretion. The change in the Participant’s status from that of a Consultant to that of an Employee will not, for purposes of this Agreement, be deemed to result in a termination of such Participant’s service as a Consultant, and such Participant will thereafter be deemed to be an Employee for purposes of this Agreement. Unless the Committee otherwise determines in its sole discretion, a Participant’s employment or other service will, for purposes of this Agreement, be deemed to have terminated on the date recorded on the personnel or other records of the Company or one of its Subsidiaries or Affiliates for which the Participant provides employment or other service, as determined by the Committee in its sole discretion based upon such records. Notwithstanding the foregoing, if payment of the Performance Stock Units is subject to Section 409A of the Code and payment is triggered by a termination of the Participant’s employment or other service, such termination must also constitute a “separation from service” within the meaning of Section 409A of the Code, and any change in employment status that constitutes a “separation from service” under Section 409A of the Code will be treated as a termination of employment or termination of other service, as the case may be.</w:t>
      </w:r>
    </w:p>
    <w:p>
      <w:pPr>
        <w:spacing w:after="0" w:line="181"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Effect of Actions Constituting Cause or Adverse Action; Forfeiture or Clawback</w:t>
      </w:r>
      <w:r>
        <w:rPr>
          <w:rFonts w:ascii="Times New Roman" w:cs="Times New Roman" w:eastAsia="Times New Roman" w:hAnsi="Times New Roman"/>
          <w:sz w:val="16"/>
          <w:szCs w:val="16"/>
          <w:color w:val="auto"/>
        </w:rPr>
        <w:t>. The Performance Stock Units are subject to the forfeiture provisions set forth in Section 13.5 of the Plan, including those applicable if the Participant is determined by the Committee to have taken any action that would constitute Cause or an Adverse Action and any forfeiture or clawback requirement under Applicable Law or any policy adopted from time to time by the Company. These provisions may allow the Committee in its sole discretion and under certain circumstances to rescind the vesting or issuance of, or payment in respect of, the Performance Stock Units of the Participant that were vested or issued, or as to which a payment was made, and require the Participant to pay to the Company, within ten (10) days of receipt from the Company of notice of such rescission, any amount received or the amount of any gain realized as a result of such rescinded vesting, issuance or payment.</w:t>
      </w:r>
    </w:p>
    <w:p>
      <w:pPr>
        <w:spacing w:after="0" w:line="166" w:lineRule="exact"/>
        <w:rPr>
          <w:sz w:val="20"/>
          <w:szCs w:val="20"/>
          <w:color w:val="auto"/>
        </w:rPr>
      </w:pPr>
    </w:p>
    <w:p>
      <w:pPr>
        <w:jc w:val="both"/>
        <w:ind w:firstLine="1"/>
        <w:spacing w:after="0" w:line="256" w:lineRule="auto"/>
        <w:tabs>
          <w:tab w:leader="none" w:pos="16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Change in Control</w:t>
      </w:r>
      <w:r>
        <w:rPr>
          <w:rFonts w:ascii="Times New Roman" w:cs="Times New Roman" w:eastAsia="Times New Roman" w:hAnsi="Times New Roman"/>
          <w:sz w:val="17"/>
          <w:szCs w:val="17"/>
          <w:color w:val="auto"/>
        </w:rPr>
        <w:t>. Except as otherwise provided in an Individual Agreement between the Company and the Participant, if a Change in Control (as defined in an Individual Agreement between the Participant and the Company or if there is no such Individual Agreement or if it does not define Change in Control, then as defined in the Plan) occurs while the Participant is employed by or providing services to the Company (including its Subsidiaries or Affiliates) and before the last day of the Performance Period, the following rules will apply:</w:t>
      </w:r>
    </w:p>
    <w:p>
      <w:pPr>
        <w:spacing w:after="0" w:line="174" w:lineRule="exact"/>
        <w:rPr>
          <w:rFonts w:ascii="Times New Roman" w:cs="Times New Roman" w:eastAsia="Times New Roman" w:hAnsi="Times New Roman"/>
          <w:sz w:val="17"/>
          <w:szCs w:val="17"/>
          <w:color w:val="auto"/>
        </w:rPr>
      </w:pPr>
    </w:p>
    <w:p>
      <w:pPr>
        <w:jc w:val="both"/>
        <w:ind w:firstLine="606"/>
        <w:spacing w:after="0" w:line="254" w:lineRule="auto"/>
        <w:tabs>
          <w:tab w:leader="none" w:pos="83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Performance Stock Units will become Initially Earned Performance Stock Units as of the date of the Change in Control (the “</w:t>
      </w:r>
      <w:r>
        <w:rPr>
          <w:rFonts w:ascii="Times New Roman" w:cs="Times New Roman" w:eastAsia="Times New Roman" w:hAnsi="Times New Roman"/>
          <w:sz w:val="17"/>
          <w:szCs w:val="17"/>
          <w:u w:val="single" w:color="auto"/>
          <w:color w:val="auto"/>
        </w:rPr>
        <w:t>Change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Control Date</w:t>
      </w:r>
      <w:r>
        <w:rPr>
          <w:rFonts w:ascii="Times New Roman" w:cs="Times New Roman" w:eastAsia="Times New Roman" w:hAnsi="Times New Roman"/>
          <w:sz w:val="17"/>
          <w:szCs w:val="17"/>
          <w:color w:val="auto"/>
        </w:rPr>
        <w:t>”) by treating the Change in Control Date as the last date of the Performance Period, and determining the attainment of the Stock Price Appreciation Goals with respect to the Performance Period based on the standard terms set forth above, provided that the Stock Price for purposes of this calculation will be equal to the Transaction Value Per Share, as defined below, and there will be no requirement that the Stock Price be maintained for at least twenty (20) consecutive trading days.</w:t>
      </w:r>
    </w:p>
    <w:p>
      <w:pPr>
        <w:spacing w:after="0" w:line="175" w:lineRule="exact"/>
        <w:rPr>
          <w:rFonts w:ascii="Times New Roman" w:cs="Times New Roman" w:eastAsia="Times New Roman" w:hAnsi="Times New Roman"/>
          <w:sz w:val="17"/>
          <w:szCs w:val="17"/>
          <w:color w:val="auto"/>
        </w:rPr>
      </w:pPr>
    </w:p>
    <w:p>
      <w:pPr>
        <w:jc w:val="both"/>
        <w:ind w:firstLine="606"/>
        <w:spacing w:after="0" w:line="261" w:lineRule="auto"/>
        <w:tabs>
          <w:tab w:leader="none" w:pos="847"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Initially Earned Performance Stock Units outstanding on the Change in Control Date will vest on the Change in Control Date without regard to the time-based vesting provisions set forth in Section 3.1(b) and Section 3.1(c), and such Initially Earned Performance Stock Units shall be settled in shares of Common Stock as provided in Section 4 of this Agreement as if the end of the Performance Period was amended to be the Change in Control Date.</w:t>
      </w:r>
    </w:p>
    <w:p>
      <w:pPr>
        <w:spacing w:after="0" w:line="169" w:lineRule="exact"/>
        <w:rPr>
          <w:rFonts w:ascii="Times New Roman" w:cs="Times New Roman" w:eastAsia="Times New Roman" w:hAnsi="Times New Roman"/>
          <w:sz w:val="17"/>
          <w:szCs w:val="17"/>
          <w:color w:val="auto"/>
        </w:rPr>
      </w:pPr>
    </w:p>
    <w:p>
      <w:pPr>
        <w:ind w:firstLine="606"/>
        <w:spacing w:after="0" w:line="274" w:lineRule="auto"/>
        <w:tabs>
          <w:tab w:leader="none" w:pos="82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 Stock Units that fail to become Initially Earned Performance Stock Units in connection with a Change in Control will terminate and be forfeited as of the Change in Control Date for no consideration.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3" w:name="page124"/>
    <w:bookmarkEnd w:id="123"/>
    <w:p>
      <w:pPr>
        <w:jc w:val="both"/>
        <w:ind w:firstLine="606"/>
        <w:spacing w:after="0" w:line="254" w:lineRule="auto"/>
        <w:tabs>
          <w:tab w:leader="none" w:pos="854"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Transaction Value Per Share</w:t>
      </w:r>
      <w:r>
        <w:rPr>
          <w:rFonts w:ascii="Times New Roman" w:cs="Times New Roman" w:eastAsia="Times New Roman" w:hAnsi="Times New Roman"/>
          <w:sz w:val="17"/>
          <w:szCs w:val="17"/>
          <w:color w:val="auto"/>
        </w:rPr>
        <w:t>” means the sum of the value of all consideration that is distributable with respect to one share of Common Stock (factoring in the aggregate exercise price of outstanding stock options and warrants where such exercise price is not included in the value of consideration distributable to holders of capital stock in such Change in Control), assuming that all “milestone” or other “contingent consideration” that is eligible to be received by the holders of the Company’s capital stock is deemed earned and paid out at the maximum level of achievement as of the date of such Change in Control, as such value is determined by the Board in good faith at the time of the Change in Control.</w:t>
      </w:r>
    </w:p>
    <w:p>
      <w:pPr>
        <w:spacing w:after="0" w:line="175" w:lineRule="exact"/>
        <w:rPr>
          <w:rFonts w:ascii="Times New Roman" w:cs="Times New Roman" w:eastAsia="Times New Roman" w:hAnsi="Times New Roman"/>
          <w:sz w:val="17"/>
          <w:szCs w:val="17"/>
          <w:color w:val="auto"/>
        </w:rPr>
      </w:pPr>
    </w:p>
    <w:p>
      <w:pPr>
        <w:jc w:val="both"/>
        <w:ind w:firstLine="1"/>
        <w:spacing w:after="0" w:line="271" w:lineRule="auto"/>
        <w:tabs>
          <w:tab w:leader="none" w:pos="18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If any shares of Common Stock shall be issuable with respect to the Performance Stock Units as a result of the Participant’s “separation from service” at such time as the Participant is a “specified employee” within the meaning of Section 409A of the Code, then no shares shall be issued, except as permitted under Section 409A of the Code, prior to the earlier of (i) the date immediately after the end of the six-month period following the Participant’s “separation from service”, or (ii) the Participant’s death. Payment of amounts under this Agreement (by issuance of shares of Common Stock or otherwise) is intended to comply with the requirements of Section 409A of the Code, and this Agreement shall in all respects be administered and construed to give effect to such intent. The Committee in its sole discretion may accelerate or delay the distribution of any payment under this Agreement to the extent allowed under Section 409A of the Code.</w:t>
      </w:r>
    </w:p>
    <w:p>
      <w:pPr>
        <w:spacing w:after="0" w:line="165" w:lineRule="exact"/>
        <w:rPr>
          <w:rFonts w:ascii="Times New Roman" w:cs="Times New Roman" w:eastAsia="Times New Roman" w:hAnsi="Times New Roman"/>
          <w:sz w:val="16"/>
          <w:szCs w:val="16"/>
          <w:color w:val="auto"/>
        </w:rPr>
      </w:pPr>
    </w:p>
    <w:p>
      <w:pPr>
        <w:ind w:left="160" w:hanging="159"/>
        <w:spacing w:after="0"/>
        <w:tabs>
          <w:tab w:leader="none" w:pos="1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of Participant</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Employment or Other Service</w:t>
      </w:r>
      <w:r>
        <w:rPr>
          <w:rFonts w:ascii="Times New Roman" w:cs="Times New Roman" w:eastAsia="Times New Roman" w:hAnsi="Times New Roman"/>
          <w:sz w:val="17"/>
          <w:szCs w:val="17"/>
          <w:color w:val="auto"/>
        </w:rPr>
        <w:t>. Nothing in this Agreement will interfere with or limit in any way the right of the Company (including its Subsidiaries or Affiliates) to terminate the employment or service of the Participant at any time, nor confer upon the Participant any right to continue employment or service with the Company (including its Subsidiaries or Affiliates).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The Participant will have no rights as, or privileges of, a stockholder of the Company, with respect to shares of Common Stock covered by the Performance Stock Units unless and until the Participant becomes the holder of record of such shares of Common Stock issued in settlement of the Performance Stock Units (as evidenced by the appropriate entry on the books of the Company or of a duly authorized transfer agent of the Company). The Performance Stock Units will not accrue or be paid any Dividend Equivalents.</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Restrictions on Transfer</w:t>
      </w:r>
      <w:r>
        <w:rPr>
          <w:rFonts w:ascii="Times New Roman" w:cs="Times New Roman" w:eastAsia="Times New Roman" w:hAnsi="Times New Roman"/>
          <w:sz w:val="17"/>
          <w:szCs w:val="17"/>
          <w:color w:val="auto"/>
        </w:rPr>
        <w:t>. Except pursuant to testamentary will or the laws of descent and distribution or as otherwise expressly permitted by the Plan, no right or interest of the Participant in the Performance Stock Units prior to the vesting, issuance or settlement of the Performance Stock Units will be assignable or transferable, or subjected to any lien, during the lifetime of the Participant, either voluntarily or involuntarily, directly or indirectly, by operation of law or otherwise. Any attempt to transfer, assign or encumber the Performance Stock Units other than in accordance with this Agreement and the Plan will be null and void and the Performance Stock Units for which the restrictions have not lapsed will be forfeited and immediately returned to the Company.</w:t>
      </w:r>
    </w:p>
    <w:p>
      <w:pPr>
        <w:spacing w:after="0" w:line="176" w:lineRule="exact"/>
        <w:rPr>
          <w:sz w:val="20"/>
          <w:szCs w:val="20"/>
          <w:color w:val="auto"/>
        </w:rPr>
      </w:pPr>
    </w:p>
    <w:p>
      <w:pPr>
        <w:jc w:val="both"/>
        <w:ind w:firstLine="1"/>
        <w:spacing w:after="0" w:line="251" w:lineRule="auto"/>
        <w:tabs>
          <w:tab w:leader="none" w:pos="25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The Company is entitled to (a) withhold and deduct from future wages of the Participant (or from other amounts that may be due and owing to the Participant from the Company (including its Subsidiaries or Affiliates), or make other arrangements for the collection of, all amounts the Company reasonably determines are necessary to satisfy any and all federal, foreign, state and local withholding and employment related tax requirements attributable to the Performance Stock Units, or (b) require the Participant promptly to remit the amount of such withholding to the Company before taking any action, including issuing any shares of Common Stock, with respect to the Performance Stock Units. The Committee may, in its sole discretion and upon terms and conditions established by the Committee, permit or require the Participant to satisfy, in whole or in part, any withholding or employment related tax obligation in connection with the settlement of the Performance Stock Units by withholding shares of Common Stock issuable upon settlement of the Performance Stock Units. When withholding shares of Common Stock for taxes is effected under this Agreement and the Plan, it will be withheld only up to an amount based on the maximum statutory tax rates in the Participant’s applicable tax jurisdiction or such other rate that will not trigger a negative accounting impact on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17"/>
          <w:szCs w:val="17"/>
          <w:color w:val="auto"/>
        </w:rPr>
        <w:t>Notwithstanding any action the Company takes with respect to any or all income tax, social insurance, payroll tax, or other tax-related withholding (“</w:t>
      </w:r>
      <w:r>
        <w:rPr>
          <w:rFonts w:ascii="Times New Roman" w:cs="Times New Roman" w:eastAsia="Times New Roman" w:hAnsi="Times New Roman"/>
          <w:sz w:val="17"/>
          <w:szCs w:val="17"/>
          <w:u w:val="single" w:color="auto"/>
          <w:color w:val="auto"/>
        </w:rPr>
        <w:t>Tax-Related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Items</w:t>
      </w:r>
      <w:r>
        <w:rPr>
          <w:rFonts w:ascii="Times New Roman" w:cs="Times New Roman" w:eastAsia="Times New Roman" w:hAnsi="Times New Roman"/>
          <w:sz w:val="17"/>
          <w:szCs w:val="17"/>
          <w:color w:val="auto"/>
        </w:rPr>
        <w:t>”), the ultimate liability for all Tax-Related Items is and remains the Participant’s responsibility and the Company (a) makes no representation or undertakings regarding the treatment of any Tax-Related Items in connection with the grant, vesting or delivery of the Performance Stock Units or the subsequent sale of any shares; and (b) does not commit to structure the Performance Stock Units to reduce or eliminate the Participant’s liability for Tax-Related Items.</w:t>
      </w:r>
    </w:p>
    <w:p>
      <w:pPr>
        <w:spacing w:after="0" w:line="175" w:lineRule="exact"/>
        <w:rPr>
          <w:sz w:val="20"/>
          <w:szCs w:val="20"/>
          <w:color w:val="auto"/>
        </w:rPr>
      </w:pPr>
    </w:p>
    <w:p>
      <w:pPr>
        <w:jc w:val="both"/>
        <w:ind w:firstLine="1"/>
        <w:spacing w:after="0" w:line="256" w:lineRule="auto"/>
        <w:tabs>
          <w:tab w:leader="none" w:pos="24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will automatically terminate and be of no further force or effect on the first date that the Participant is, subject to and in accordance with Section 6.4, no longer an Employee (as defined in the Plan) or a Consultant (as defined in the Plan); provided that (a) all shares of Common Stock that were subject to Performance Stock Units and were issued and settled before such date shall remain outstanding and (b) any Initially Earned Performance Stock Units for which the applicable Service Vesting Date has occurred on or prior to the date of termination but which remain unsettled will be settled accordance with Section 4.</w:t>
      </w:r>
    </w:p>
    <w:p>
      <w:pPr>
        <w:spacing w:after="0" w:line="174"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validity, construction, interpretation, administration and effect of this Agreement and any rules, regulations and actions relating to this Agreement will be governed by and construed exclusively in accordance with the laws of the State of Delaware, notwithstanding the conflicts of laws principles of any jurisdictions.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Any dispute regarding the interpretation of this Agreement will be submitted by the Participant or by the Company forthwith to the Committee for review. The resolution of such a dispute by the Committee will be final and binding on all parties.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single or multiple assignees, and this Agreement will inure to the benefit of the successors and assigns of the Company. Subject to the restrictions on transfer herein set forth, this Agreement will be binding upon the Participant and his or her heirs, executors, administrators, successors and assigns.</w:t>
      </w:r>
    </w:p>
    <w:p>
      <w:pPr>
        <w:spacing w:after="0" w:line="16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All notices, requests or other communications provided for in this Agreement must be made, if to the Company, to Xtant Medical Holdings, Inc., Attn: Chief Financial Officer, 664 Cruiser Lane, Belgrade, MT 59714, and if to the Participant, to the last known mailing address of the Participant contained in the records of the Company. All notices, requests or other communications provided for in this Agreement must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 electronic mail transmission or upon receipt by the party entitled thereto if by United States mail or express courier service;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 notice, request or other communication sent to the Company is not received during regular business hours, it will be deemed to be received on the next succeeding business day of the Company.</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12.5 </w:t>
      </w:r>
      <w:r>
        <w:rPr>
          <w:rFonts w:ascii="Times New Roman" w:cs="Times New Roman" w:eastAsia="Times New Roman" w:hAnsi="Times New Roman"/>
          <w:sz w:val="17"/>
          <w:szCs w:val="17"/>
          <w:u w:val="single" w:color="auto"/>
          <w:color w:val="auto"/>
        </w:rPr>
        <w:t>Electronic Delivery and Acceptance</w:t>
      </w:r>
      <w:r>
        <w:rPr>
          <w:rFonts w:ascii="Times New Roman" w:cs="Times New Roman" w:eastAsia="Times New Roman" w:hAnsi="Times New Roman"/>
          <w:sz w:val="17"/>
          <w:szCs w:val="17"/>
          <w:color w:val="auto"/>
        </w:rPr>
        <w:t>. The Company may, in its sole discretion, deliver any documents related to the Performance Stock Units by electronic means or request the Participant’s consent to participate in the Plan by electronic means. The Participant hereby consents to receive all applicable documentation by electronic delivery and to participate in the Plan through an on-line system established and maintained by the Company or a third party vendor designated by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5" w:name="page126"/>
    <w:bookmarkEnd w:id="125"/>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 xml:space="preserve">12.6 </w:t>
      </w:r>
      <w:r>
        <w:rPr>
          <w:rFonts w:ascii="Times New Roman" w:cs="Times New Roman" w:eastAsia="Times New Roman" w:hAnsi="Times New Roman"/>
          <w:sz w:val="17"/>
          <w:szCs w:val="17"/>
          <w:u w:val="single" w:color="auto"/>
          <w:color w:val="auto"/>
        </w:rPr>
        <w:t>Other Laws</w:t>
      </w:r>
      <w:r>
        <w:rPr>
          <w:rFonts w:ascii="Times New Roman" w:cs="Times New Roman" w:eastAsia="Times New Roman" w:hAnsi="Times New Roman"/>
          <w:sz w:val="17"/>
          <w:szCs w:val="17"/>
          <w:color w:val="auto"/>
        </w:rPr>
        <w:t>. The Company will have the right to refuse to issue to the Participant or transfer any shares of Common Stock subject to the Performance Stock Units if the Company acting in its absolute discretion determines that the issuance or transfer of such shares might violate any Applicable Law.</w:t>
      </w:r>
    </w:p>
    <w:p>
      <w:pPr>
        <w:spacing w:after="0" w:line="15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 xml:space="preserve">12.7 </w:t>
      </w:r>
      <w:r>
        <w:rPr>
          <w:rFonts w:ascii="Times New Roman" w:cs="Times New Roman" w:eastAsia="Times New Roman" w:hAnsi="Times New Roman"/>
          <w:sz w:val="17"/>
          <w:szCs w:val="17"/>
          <w:u w:val="single" w:color="auto"/>
          <w:color w:val="auto"/>
        </w:rPr>
        <w:t>Investment Representation</w:t>
      </w:r>
      <w:r>
        <w:rPr>
          <w:rFonts w:ascii="Times New Roman" w:cs="Times New Roman" w:eastAsia="Times New Roman" w:hAnsi="Times New Roman"/>
          <w:sz w:val="17"/>
          <w:szCs w:val="17"/>
          <w:color w:val="auto"/>
        </w:rPr>
        <w:t>. The Participant hereby represents and covenants that (a) any share of Common Stock acquired upon the settlement of the Performance Stock Units will be acquired for investment and not with a view to the distribution thereof within the meaning of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unless such acquisition has been registered under the Securities Act and any applicable state securities laws; (b) any subsequent sale of any such shares will be made either pursuant to an effective registration statement under the Securities Act and any applicable state securities laws, or pursuant to an exemption from registration under the Securities Act and such state securities laws; and (c) if requested by the Company, the Participant will submit a written statement, in form satisfactory to the Company, to the effect that such representation (x) is true and correct as of the date of issuance of any shares of Common Stock hereunder or (y) is true and correct as of the date of any sale of any such share, as applicable. As a further condition precedent to the delivery to the Participant of any shares of Common Stock subject to the Performance Stock Units, the Participant will comply with all regulations and requirements of any regulatory authority having control of or supervision over the issuance or delivery of the shares and, in connection therewith, will execute any documents which the Company will in its sole discretion deem necessary or advisable.</w:t>
      </w:r>
    </w:p>
    <w:p>
      <w:pPr>
        <w:spacing w:after="0" w:line="18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 xml:space="preserve">12.8 </w:t>
      </w:r>
      <w:r>
        <w:rPr>
          <w:rFonts w:ascii="Times New Roman" w:cs="Times New Roman" w:eastAsia="Times New Roman" w:hAnsi="Times New Roman"/>
          <w:sz w:val="17"/>
          <w:szCs w:val="17"/>
          <w:u w:val="single" w:color="auto"/>
          <w:color w:val="auto"/>
        </w:rPr>
        <w:t>Non-Negotiable Terms</w:t>
      </w:r>
      <w:r>
        <w:rPr>
          <w:rFonts w:ascii="Times New Roman" w:cs="Times New Roman" w:eastAsia="Times New Roman" w:hAnsi="Times New Roman"/>
          <w:sz w:val="17"/>
          <w:szCs w:val="17"/>
          <w:color w:val="auto"/>
        </w:rPr>
        <w:t>. The terms of this Agreement and the Performance Stock Units are not negotiable, but the Participant may refuse to accept the Performance Stock Units by notifying the Company’s Chief Financial Officer in writing within thirty (30) day after the Grant Date set forth in the Grant Notice.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12.9 </w:t>
      </w:r>
      <w:r>
        <w:rPr>
          <w:rFonts w:ascii="Times New Roman" w:cs="Times New Roman" w:eastAsia="Times New Roman" w:hAnsi="Times New Roman"/>
          <w:sz w:val="17"/>
          <w:szCs w:val="17"/>
          <w:u w:val="single" w:color="auto"/>
          <w:color w:val="auto"/>
        </w:rPr>
        <w:t>Acknowledgement by the Participant</w:t>
      </w:r>
      <w:r>
        <w:rPr>
          <w:rFonts w:ascii="Times New Roman" w:cs="Times New Roman" w:eastAsia="Times New Roman" w:hAnsi="Times New Roman"/>
          <w:sz w:val="17"/>
          <w:szCs w:val="17"/>
          <w:color w:val="auto"/>
        </w:rPr>
        <w:t>. In accepting the Performance Stock Units, the Participant hereby acknowledges that:</w:t>
      </w:r>
    </w:p>
    <w:p>
      <w:pPr>
        <w:spacing w:after="0" w:line="208" w:lineRule="exact"/>
        <w:rPr>
          <w:sz w:val="20"/>
          <w:szCs w:val="20"/>
          <w:color w:val="auto"/>
        </w:rPr>
      </w:pPr>
    </w:p>
    <w:p>
      <w:pPr>
        <w:ind w:left="600" w:firstLine="611"/>
        <w:spacing w:after="0" w:line="274" w:lineRule="auto"/>
        <w:tabs>
          <w:tab w:leader="none" w:pos="143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established voluntarily by the Company, it is discretionary in nature, and it may be modified, amended, suspended or terminated by the Company at any time, unless otherwise provided in the Plan.</w:t>
      </w:r>
    </w:p>
    <w:p>
      <w:pPr>
        <w:spacing w:after="0" w:line="158" w:lineRule="exact"/>
        <w:rPr>
          <w:rFonts w:ascii="Times New Roman" w:cs="Times New Roman" w:eastAsia="Times New Roman" w:hAnsi="Times New Roman"/>
          <w:sz w:val="17"/>
          <w:szCs w:val="17"/>
          <w:color w:val="auto"/>
        </w:rPr>
      </w:pPr>
    </w:p>
    <w:p>
      <w:pPr>
        <w:ind w:left="600" w:firstLine="611"/>
        <w:spacing w:after="0" w:line="307" w:lineRule="auto"/>
        <w:tabs>
          <w:tab w:leader="none" w:pos="1445"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Performance Stock Units is voluntary and occasional and does not create any contractual or other right to receive future awards of Performance Stock Units, or benefits in lieu of Performance Stock Units, even if Performance Stock Units have been granted repeatedly in the past.</w:t>
      </w:r>
    </w:p>
    <w:p>
      <w:pPr>
        <w:spacing w:after="0" w:line="134" w:lineRule="exact"/>
        <w:rPr>
          <w:rFonts w:ascii="Times New Roman" w:cs="Times New Roman" w:eastAsia="Times New Roman" w:hAnsi="Times New Roman"/>
          <w:sz w:val="16"/>
          <w:szCs w:val="16"/>
          <w:color w:val="auto"/>
        </w:rPr>
      </w:pPr>
    </w:p>
    <w:p>
      <w:pPr>
        <w:ind w:left="1440" w:hanging="229"/>
        <w:spacing w:after="0"/>
        <w:tabs>
          <w:tab w:leader="none" w:pos="14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decisions with respect to future Performance Stock Unit award grants, if any, will be at the sole discretion of the Company.</w:t>
      </w:r>
    </w:p>
    <w:p>
      <w:pPr>
        <w:spacing w:after="0" w:line="207" w:lineRule="exact"/>
        <w:rPr>
          <w:rFonts w:ascii="Times New Roman" w:cs="Times New Roman" w:eastAsia="Times New Roman" w:hAnsi="Times New Roman"/>
          <w:sz w:val="17"/>
          <w:szCs w:val="17"/>
          <w:color w:val="auto"/>
        </w:rPr>
      </w:pPr>
    </w:p>
    <w:p>
      <w:pPr>
        <w:ind w:left="1440" w:hanging="229"/>
        <w:spacing w:after="0"/>
        <w:tabs>
          <w:tab w:leader="none" w:pos="14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is voluntarily participating in the Plan.</w:t>
      </w:r>
    </w:p>
    <w:p>
      <w:pPr>
        <w:spacing w:after="0" w:line="207" w:lineRule="exact"/>
        <w:rPr>
          <w:rFonts w:ascii="Times New Roman" w:cs="Times New Roman" w:eastAsia="Times New Roman" w:hAnsi="Times New Roman"/>
          <w:sz w:val="17"/>
          <w:szCs w:val="17"/>
          <w:color w:val="auto"/>
        </w:rPr>
      </w:pPr>
    </w:p>
    <w:p>
      <w:pPr>
        <w:ind w:left="600" w:firstLine="611"/>
        <w:spacing w:after="0" w:line="274" w:lineRule="auto"/>
        <w:tabs>
          <w:tab w:leader="none" w:pos="145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of Performance Stock Units is an extraordinary item that does not constitute compensation of any kind for services of any kind rendered to the Company, and which is outside the scope of the Participant’s employment contract, if 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26" w:name="page127"/>
    <w:bookmarkEnd w:id="126"/>
    <w:p>
      <w:pPr>
        <w:jc w:val="both"/>
        <w:ind w:firstLine="611"/>
        <w:spacing w:after="0" w:line="261" w:lineRule="auto"/>
        <w:tabs>
          <w:tab w:leader="none" w:pos="82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Performance Stock Units is not part of normal or expected compensation or salary for any purposes, including, but not limited to, calculating any severance, resignation, termination, redundancy, end of service payments, bonuses, long-service, pension or retirement benefits or similar payments and in no event should be considered as compensation for, or relating in any way to, past services for the Company or any Subsidiary.</w:t>
      </w:r>
    </w:p>
    <w:p>
      <w:pPr>
        <w:spacing w:after="0" w:line="169" w:lineRule="exact"/>
        <w:rPr>
          <w:rFonts w:ascii="Times New Roman" w:cs="Times New Roman" w:eastAsia="Times New Roman" w:hAnsi="Times New Roman"/>
          <w:sz w:val="17"/>
          <w:szCs w:val="17"/>
          <w:color w:val="auto"/>
        </w:rPr>
      </w:pPr>
    </w:p>
    <w:p>
      <w:pPr>
        <w:ind w:left="840" w:hanging="229"/>
        <w:spacing w:after="0"/>
        <w:tabs>
          <w:tab w:leader="none" w:pos="8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Stock Units or this Agreement will not be interpreted to form an employment contract with the Company or any Subsidiary.</w:t>
      </w:r>
    </w:p>
    <w:p>
      <w:pPr>
        <w:spacing w:after="0" w:line="207" w:lineRule="exact"/>
        <w:rPr>
          <w:rFonts w:ascii="Times New Roman" w:cs="Times New Roman" w:eastAsia="Times New Roman" w:hAnsi="Times New Roman"/>
          <w:sz w:val="17"/>
          <w:szCs w:val="17"/>
          <w:color w:val="auto"/>
        </w:rPr>
      </w:pPr>
    </w:p>
    <w:p>
      <w:pPr>
        <w:jc w:val="both"/>
        <w:ind w:firstLine="611"/>
        <w:spacing w:after="0" w:line="261" w:lineRule="auto"/>
        <w:tabs>
          <w:tab w:leader="none" w:pos="84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value of the shares of Common Stock subject to the Performance Stock Units is unknown and cannot be predicted with certainty and if the Performance Stock Units vest and the shares of Common Stock become issuable in accordance with the terms of this Agreement, the value of those shares of Common Stock may increase or decrease.</w:t>
      </w:r>
    </w:p>
    <w:p>
      <w:pPr>
        <w:spacing w:after="0" w:line="169" w:lineRule="exact"/>
        <w:rPr>
          <w:rFonts w:ascii="Times New Roman" w:cs="Times New Roman" w:eastAsia="Times New Roman" w:hAnsi="Times New Roman"/>
          <w:sz w:val="17"/>
          <w:szCs w:val="17"/>
          <w:color w:val="auto"/>
        </w:rPr>
      </w:pPr>
    </w:p>
    <w:p>
      <w:pPr>
        <w:jc w:val="both"/>
        <w:ind w:firstLine="611"/>
        <w:spacing w:after="0" w:line="253" w:lineRule="auto"/>
        <w:tabs>
          <w:tab w:leader="none" w:pos="80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grant of the Performance Stock Units, no claim or entitlement to compensation or damages shall arise from termination of the Performance Stock Units or diminution in value of the Performance Stock Units or shares of Common Stock acquired upon settlement of the Performance Stock Units resulting from termination of employment or other service by the Company (including its Subsidiaries or Affiliates) (for any reason whatsoever and whether or not in breach of applicable labor laws) and the Participant hereby irrevocably releases the Company and its Subsidiaries from any such claim that may arise; if, notwithstanding the foregoing, any such claim is found by a court of competent jurisdiction to have arisen, then, by acceptance of the Performance Stock Units, the Participant shall be deemed irrevocably to have waived his or her entitlement to pursue such claim.</w:t>
      </w:r>
    </w:p>
    <w:p>
      <w:pPr>
        <w:spacing w:after="0" w:line="175" w:lineRule="exact"/>
        <w:rPr>
          <w:rFonts w:ascii="Times New Roman" w:cs="Times New Roman" w:eastAsia="Times New Roman" w:hAnsi="Times New Roman"/>
          <w:sz w:val="17"/>
          <w:szCs w:val="17"/>
          <w:color w:val="auto"/>
        </w:rPr>
      </w:pPr>
    </w:p>
    <w:p>
      <w:pPr>
        <w:jc w:val="both"/>
        <w:ind w:firstLine="611"/>
        <w:spacing w:after="0" w:line="253" w:lineRule="auto"/>
        <w:tabs>
          <w:tab w:leader="none" w:pos="81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an Individual Agreement, in the event of termination of the Participant’s employment by or other service to the Company (including its Subsidiaries and Affiliates) (whether or not in breach of local labor laws), the Participant’s right to receive the Performance Stock Units and vest in the Performance Stock Units under the Plan, if any, will terminate effective as of the date of termination of his or her active employment or other service as determined in the sole discretion of the Committee and will not be extended by any notice of termination of employment or severance period provided to the Participant by contract or practice of the Company or any Subsidiary or mandated under local law and the Committee will have the sole discretion to determine the date of termination of the Participant’s active employment or service for purposes of the Performance Stock Units.</w:t>
      </w:r>
    </w:p>
    <w:p>
      <w:pPr>
        <w:spacing w:after="0" w:line="175" w:lineRule="exact"/>
        <w:rPr>
          <w:rFonts w:ascii="Times New Roman" w:cs="Times New Roman" w:eastAsia="Times New Roman" w:hAnsi="Times New Roman"/>
          <w:sz w:val="17"/>
          <w:szCs w:val="17"/>
          <w:color w:val="auto"/>
        </w:rPr>
      </w:pPr>
    </w:p>
    <w:p>
      <w:pPr>
        <w:jc w:val="both"/>
        <w:ind w:firstLine="611"/>
        <w:spacing w:after="0" w:line="261" w:lineRule="auto"/>
        <w:tabs>
          <w:tab w:leader="none" w:pos="86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Subsidiary is providing any tax, legal or financial advice, nor is the Company or any Subsidiary making any recommendations regarding the Participant’s participation in the Plan, acceptance of the Performance Stock Units, acquisition of shares of Common Stock upon settlement of the Performance Stock Units or any sale of such shares.</w:t>
      </w:r>
    </w:p>
    <w:p>
      <w:pPr>
        <w:spacing w:after="0" w:line="169" w:lineRule="exact"/>
        <w:rPr>
          <w:rFonts w:ascii="Times New Roman" w:cs="Times New Roman" w:eastAsia="Times New Roman" w:hAnsi="Times New Roman"/>
          <w:sz w:val="17"/>
          <w:szCs w:val="17"/>
          <w:color w:val="auto"/>
        </w:rPr>
      </w:pPr>
    </w:p>
    <w:p>
      <w:pPr>
        <w:ind w:firstLine="611"/>
        <w:spacing w:after="0" w:line="274" w:lineRule="auto"/>
        <w:tabs>
          <w:tab w:leader="none" w:pos="80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has been advised to consult with his or her own personal tax, legal and financial advisors regarding his or her participation in the Plan before taking any action related to the Plan.</w:t>
      </w:r>
    </w:p>
    <w:p>
      <w:pPr>
        <w:spacing w:after="0" w:line="15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 * * * *</w:t>
      </w: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5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10.37</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ADDENDUM TO COMMERCIAL LEASE BETWEEN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CRUISER LANE LLC &amp; XTANT MEDICAL,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Dated September 8, 2025</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parties to this Addendum to Commercial Lease are Cruiser Lane, LLC (hereinafter known as Landlord) and Xtant Medical, Inc., (referred to as Tenant). This document serves as an Addendum to the collective Commercial Lease and supporting documents (effective February 1, 2012) and the subsequent lease renewal, dated July 1,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parties have agreed to renew the current lease agreement terminating October 31, 2025 and will execute the new addendum herein.</w:t>
      </w:r>
    </w:p>
    <w:p>
      <w:pPr>
        <w:spacing w:after="0" w:line="20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1.</w:t>
        <w:tab/>
        <w:t>Term: As permitted through mutual agreement of both parties, the new term of said lease shall be a period of five (5) years.</w:t>
      </w:r>
    </w:p>
    <w:p>
      <w:pPr>
        <w:spacing w:after="0" w:line="208" w:lineRule="exact"/>
        <w:rPr>
          <w:sz w:val="20"/>
          <w:szCs w:val="20"/>
          <w:color w:val="auto"/>
        </w:rPr>
      </w:pPr>
    </w:p>
    <w:p>
      <w:pPr>
        <w:jc w:val="both"/>
        <w:ind w:left="300" w:hanging="299"/>
        <w:spacing w:after="0" w:line="274" w:lineRule="auto"/>
        <w:tabs>
          <w:tab w:leader="none" w:pos="280" w:val="left"/>
        </w:tabs>
        <w:rPr>
          <w:sz w:val="20"/>
          <w:szCs w:val="20"/>
          <w:color w:val="auto"/>
        </w:rPr>
      </w:pPr>
      <w:r>
        <w:rPr>
          <w:rFonts w:ascii="Times New Roman" w:cs="Times New Roman" w:eastAsia="Times New Roman" w:hAnsi="Times New Roman"/>
          <w:sz w:val="17"/>
          <w:szCs w:val="17"/>
          <w:color w:val="auto"/>
        </w:rPr>
        <w:t>2.</w:t>
        <w:tab/>
        <w:t>Renewal option: At the end of the five-year term, Tenant has the option to renew said lease for two additional five-year terms. Landlord, at that time, has the option to renegotiate lease rates.</w:t>
      </w:r>
    </w:p>
    <w:p>
      <w:pPr>
        <w:spacing w:after="0" w:line="15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3.</w:t>
        <w:tab/>
        <w:t>Rents: The rental rate shall adjust as outlined in the table below through the first five-year term beginning November 1, 2025 and adjusting on November 1 of the</w:t>
      </w:r>
    </w:p>
    <w:p>
      <w:pPr>
        <w:spacing w:after="0" w:line="34"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applicable year.</w:t>
            </w:r>
          </w:p>
        </w:tc>
        <w:tc>
          <w:tcPr>
            <w:tcW w:w="288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186"/>
        </w:trPr>
        <w:tc>
          <w:tcPr>
            <w:tcW w:w="14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r>
      <w:tr>
        <w:trPr>
          <w:trHeight w:val="157"/>
        </w:trPr>
        <w:tc>
          <w:tcPr>
            <w:tcW w:w="1420" w:type="dxa"/>
            <w:vAlign w:val="bottom"/>
            <w:tcBorders>
              <w:right w:val="single" w:sz="8" w:color="auto"/>
            </w:tcBorders>
          </w:tcPr>
          <w:p>
            <w:pPr>
              <w:spacing w:after="0"/>
              <w:rPr>
                <w:sz w:val="13"/>
                <w:szCs w:val="13"/>
                <w:color w:val="auto"/>
              </w:rPr>
            </w:pPr>
          </w:p>
        </w:tc>
        <w:tc>
          <w:tcPr>
            <w:tcW w:w="1520" w:type="dxa"/>
            <w:vAlign w:val="bottom"/>
            <w:tcBorders>
              <w:bottom w:val="single" w:sz="8" w:color="auto"/>
            </w:tcBorders>
          </w:tcPr>
          <w:p>
            <w:pPr>
              <w:ind w:left="1040"/>
              <w:spacing w:after="0" w:line="157" w:lineRule="exact"/>
              <w:rPr>
                <w:sz w:val="20"/>
                <w:szCs w:val="20"/>
                <w:color w:val="auto"/>
              </w:rPr>
            </w:pPr>
            <w:r>
              <w:rPr>
                <w:rFonts w:ascii="Times New Roman" w:cs="Times New Roman" w:eastAsia="Times New Roman" w:hAnsi="Times New Roman"/>
                <w:sz w:val="17"/>
                <w:szCs w:val="17"/>
                <w:color w:val="auto"/>
              </w:rPr>
              <w:t>Year 1</w:t>
            </w:r>
          </w:p>
        </w:tc>
        <w:tc>
          <w:tcPr>
            <w:tcW w:w="2880" w:type="dxa"/>
            <w:vAlign w:val="bottom"/>
            <w:tcBorders>
              <w:bottom w:val="single" w:sz="8" w:color="auto"/>
              <w:right w:val="single" w:sz="8" w:color="auto"/>
            </w:tcBorders>
          </w:tcPr>
          <w:p>
            <w:pPr>
              <w:ind w:left="40"/>
              <w:spacing w:after="0" w:line="157" w:lineRule="exact"/>
              <w:rPr>
                <w:sz w:val="20"/>
                <w:szCs w:val="20"/>
                <w:color w:val="auto"/>
              </w:rPr>
            </w:pPr>
            <w:r>
              <w:rPr>
                <w:rFonts w:ascii="Times New Roman" w:cs="Times New Roman" w:eastAsia="Times New Roman" w:hAnsi="Times New Roman"/>
                <w:sz w:val="17"/>
                <w:szCs w:val="17"/>
                <w:color w:val="auto"/>
              </w:rPr>
              <w:t>(11/1/2025 – 10/31/2026)</w:t>
            </w:r>
          </w:p>
        </w:tc>
        <w:tc>
          <w:tcPr>
            <w:tcW w:w="3440" w:type="dxa"/>
            <w:vAlign w:val="bottom"/>
            <w:tcBorders>
              <w:bottom w:val="single" w:sz="8" w:color="auto"/>
              <w:right w:val="single" w:sz="8" w:color="auto"/>
            </w:tcBorders>
          </w:tcPr>
          <w:p>
            <w:pPr>
              <w:ind w:left="1280"/>
              <w:spacing w:after="0" w:line="157" w:lineRule="exact"/>
              <w:rPr>
                <w:sz w:val="20"/>
                <w:szCs w:val="20"/>
                <w:color w:val="auto"/>
              </w:rPr>
            </w:pPr>
            <w:r>
              <w:rPr>
                <w:rFonts w:ascii="Times New Roman" w:cs="Times New Roman" w:eastAsia="Times New Roman" w:hAnsi="Times New Roman"/>
                <w:sz w:val="17"/>
                <w:szCs w:val="17"/>
                <w:color w:val="auto"/>
              </w:rPr>
              <w:t>$ 14.50 / SF</w:t>
            </w:r>
          </w:p>
        </w:tc>
      </w:tr>
      <w:tr>
        <w:trPr>
          <w:trHeight w:val="157"/>
        </w:trPr>
        <w:tc>
          <w:tcPr>
            <w:tcW w:w="1420" w:type="dxa"/>
            <w:vAlign w:val="bottom"/>
            <w:tcBorders>
              <w:right w:val="single" w:sz="8" w:color="auto"/>
            </w:tcBorders>
          </w:tcPr>
          <w:p>
            <w:pPr>
              <w:spacing w:after="0"/>
              <w:rPr>
                <w:sz w:val="13"/>
                <w:szCs w:val="13"/>
                <w:color w:val="auto"/>
              </w:rPr>
            </w:pPr>
          </w:p>
        </w:tc>
        <w:tc>
          <w:tcPr>
            <w:tcW w:w="1520" w:type="dxa"/>
            <w:vAlign w:val="bottom"/>
            <w:tcBorders>
              <w:bottom w:val="single" w:sz="8" w:color="auto"/>
            </w:tcBorders>
          </w:tcPr>
          <w:p>
            <w:pPr>
              <w:ind w:left="1040"/>
              <w:spacing w:after="0" w:line="157" w:lineRule="exact"/>
              <w:rPr>
                <w:sz w:val="20"/>
                <w:szCs w:val="20"/>
                <w:color w:val="auto"/>
              </w:rPr>
            </w:pPr>
            <w:r>
              <w:rPr>
                <w:rFonts w:ascii="Times New Roman" w:cs="Times New Roman" w:eastAsia="Times New Roman" w:hAnsi="Times New Roman"/>
                <w:sz w:val="17"/>
                <w:szCs w:val="17"/>
                <w:color w:val="auto"/>
              </w:rPr>
              <w:t>Year 2</w:t>
            </w:r>
          </w:p>
        </w:tc>
        <w:tc>
          <w:tcPr>
            <w:tcW w:w="2880" w:type="dxa"/>
            <w:vAlign w:val="bottom"/>
            <w:tcBorders>
              <w:bottom w:val="single" w:sz="8" w:color="auto"/>
              <w:right w:val="single" w:sz="8" w:color="auto"/>
            </w:tcBorders>
          </w:tcPr>
          <w:p>
            <w:pPr>
              <w:ind w:left="40"/>
              <w:spacing w:after="0" w:line="157" w:lineRule="exact"/>
              <w:rPr>
                <w:sz w:val="20"/>
                <w:szCs w:val="20"/>
                <w:color w:val="auto"/>
              </w:rPr>
            </w:pPr>
            <w:r>
              <w:rPr>
                <w:rFonts w:ascii="Times New Roman" w:cs="Times New Roman" w:eastAsia="Times New Roman" w:hAnsi="Times New Roman"/>
                <w:sz w:val="17"/>
                <w:szCs w:val="17"/>
                <w:color w:val="auto"/>
              </w:rPr>
              <w:t>(11/1/2026 – 10/31/2027)</w:t>
            </w:r>
          </w:p>
        </w:tc>
        <w:tc>
          <w:tcPr>
            <w:tcW w:w="3440" w:type="dxa"/>
            <w:vAlign w:val="bottom"/>
            <w:tcBorders>
              <w:bottom w:val="single" w:sz="8" w:color="auto"/>
              <w:right w:val="single" w:sz="8" w:color="auto"/>
            </w:tcBorders>
          </w:tcPr>
          <w:p>
            <w:pPr>
              <w:ind w:left="1280"/>
              <w:spacing w:after="0" w:line="157" w:lineRule="exact"/>
              <w:rPr>
                <w:sz w:val="20"/>
                <w:szCs w:val="20"/>
                <w:color w:val="auto"/>
              </w:rPr>
            </w:pPr>
            <w:r>
              <w:rPr>
                <w:rFonts w:ascii="Times New Roman" w:cs="Times New Roman" w:eastAsia="Times New Roman" w:hAnsi="Times New Roman"/>
                <w:sz w:val="17"/>
                <w:szCs w:val="17"/>
                <w:color w:val="auto"/>
              </w:rPr>
              <w:t>$ 15.00 / SF</w:t>
            </w:r>
          </w:p>
        </w:tc>
      </w:tr>
      <w:tr>
        <w:trPr>
          <w:trHeight w:val="157"/>
        </w:trPr>
        <w:tc>
          <w:tcPr>
            <w:tcW w:w="1420" w:type="dxa"/>
            <w:vAlign w:val="bottom"/>
            <w:tcBorders>
              <w:right w:val="single" w:sz="8" w:color="auto"/>
            </w:tcBorders>
          </w:tcPr>
          <w:p>
            <w:pPr>
              <w:spacing w:after="0"/>
              <w:rPr>
                <w:sz w:val="13"/>
                <w:szCs w:val="13"/>
                <w:color w:val="auto"/>
              </w:rPr>
            </w:pPr>
          </w:p>
        </w:tc>
        <w:tc>
          <w:tcPr>
            <w:tcW w:w="1520" w:type="dxa"/>
            <w:vAlign w:val="bottom"/>
            <w:tcBorders>
              <w:bottom w:val="single" w:sz="8" w:color="auto"/>
            </w:tcBorders>
          </w:tcPr>
          <w:p>
            <w:pPr>
              <w:ind w:left="1040"/>
              <w:spacing w:after="0" w:line="157" w:lineRule="exact"/>
              <w:rPr>
                <w:sz w:val="20"/>
                <w:szCs w:val="20"/>
                <w:color w:val="auto"/>
              </w:rPr>
            </w:pPr>
            <w:r>
              <w:rPr>
                <w:rFonts w:ascii="Times New Roman" w:cs="Times New Roman" w:eastAsia="Times New Roman" w:hAnsi="Times New Roman"/>
                <w:sz w:val="17"/>
                <w:szCs w:val="17"/>
                <w:color w:val="auto"/>
              </w:rPr>
              <w:t>Year 3</w:t>
            </w:r>
          </w:p>
        </w:tc>
        <w:tc>
          <w:tcPr>
            <w:tcW w:w="2880" w:type="dxa"/>
            <w:vAlign w:val="bottom"/>
            <w:tcBorders>
              <w:bottom w:val="single" w:sz="8" w:color="auto"/>
              <w:right w:val="single" w:sz="8" w:color="auto"/>
            </w:tcBorders>
          </w:tcPr>
          <w:p>
            <w:pPr>
              <w:ind w:left="40"/>
              <w:spacing w:after="0" w:line="157" w:lineRule="exact"/>
              <w:rPr>
                <w:sz w:val="20"/>
                <w:szCs w:val="20"/>
                <w:color w:val="auto"/>
              </w:rPr>
            </w:pPr>
            <w:r>
              <w:rPr>
                <w:rFonts w:ascii="Times New Roman" w:cs="Times New Roman" w:eastAsia="Times New Roman" w:hAnsi="Times New Roman"/>
                <w:sz w:val="17"/>
                <w:szCs w:val="17"/>
                <w:color w:val="auto"/>
              </w:rPr>
              <w:t>(11/1/2027 – 10/31/2028)</w:t>
            </w:r>
          </w:p>
        </w:tc>
        <w:tc>
          <w:tcPr>
            <w:tcW w:w="3440" w:type="dxa"/>
            <w:vAlign w:val="bottom"/>
            <w:tcBorders>
              <w:bottom w:val="single" w:sz="8" w:color="auto"/>
              <w:right w:val="single" w:sz="8" w:color="auto"/>
            </w:tcBorders>
          </w:tcPr>
          <w:p>
            <w:pPr>
              <w:ind w:left="1280"/>
              <w:spacing w:after="0" w:line="157" w:lineRule="exact"/>
              <w:rPr>
                <w:sz w:val="20"/>
                <w:szCs w:val="20"/>
                <w:color w:val="auto"/>
              </w:rPr>
            </w:pPr>
            <w:r>
              <w:rPr>
                <w:rFonts w:ascii="Times New Roman" w:cs="Times New Roman" w:eastAsia="Times New Roman" w:hAnsi="Times New Roman"/>
                <w:sz w:val="17"/>
                <w:szCs w:val="17"/>
                <w:color w:val="auto"/>
              </w:rPr>
              <w:t>$ 15.00 / SF</w:t>
            </w:r>
          </w:p>
        </w:tc>
      </w:tr>
      <w:tr>
        <w:trPr>
          <w:trHeight w:val="157"/>
        </w:trPr>
        <w:tc>
          <w:tcPr>
            <w:tcW w:w="1420" w:type="dxa"/>
            <w:vAlign w:val="bottom"/>
            <w:tcBorders>
              <w:right w:val="single" w:sz="8" w:color="auto"/>
            </w:tcBorders>
          </w:tcPr>
          <w:p>
            <w:pPr>
              <w:spacing w:after="0"/>
              <w:rPr>
                <w:sz w:val="13"/>
                <w:szCs w:val="13"/>
                <w:color w:val="auto"/>
              </w:rPr>
            </w:pPr>
          </w:p>
        </w:tc>
        <w:tc>
          <w:tcPr>
            <w:tcW w:w="1520" w:type="dxa"/>
            <w:vAlign w:val="bottom"/>
            <w:tcBorders>
              <w:bottom w:val="single" w:sz="8" w:color="auto"/>
            </w:tcBorders>
          </w:tcPr>
          <w:p>
            <w:pPr>
              <w:ind w:left="1040"/>
              <w:spacing w:after="0" w:line="157" w:lineRule="exact"/>
              <w:rPr>
                <w:sz w:val="20"/>
                <w:szCs w:val="20"/>
                <w:color w:val="auto"/>
              </w:rPr>
            </w:pPr>
            <w:r>
              <w:rPr>
                <w:rFonts w:ascii="Times New Roman" w:cs="Times New Roman" w:eastAsia="Times New Roman" w:hAnsi="Times New Roman"/>
                <w:sz w:val="17"/>
                <w:szCs w:val="17"/>
                <w:color w:val="auto"/>
              </w:rPr>
              <w:t>Year 4</w:t>
            </w:r>
          </w:p>
        </w:tc>
        <w:tc>
          <w:tcPr>
            <w:tcW w:w="2880" w:type="dxa"/>
            <w:vAlign w:val="bottom"/>
            <w:tcBorders>
              <w:bottom w:val="single" w:sz="8" w:color="auto"/>
              <w:right w:val="single" w:sz="8" w:color="auto"/>
            </w:tcBorders>
          </w:tcPr>
          <w:p>
            <w:pPr>
              <w:ind w:left="40"/>
              <w:spacing w:after="0" w:line="157" w:lineRule="exact"/>
              <w:rPr>
                <w:sz w:val="20"/>
                <w:szCs w:val="20"/>
                <w:color w:val="auto"/>
              </w:rPr>
            </w:pPr>
            <w:r>
              <w:rPr>
                <w:rFonts w:ascii="Times New Roman" w:cs="Times New Roman" w:eastAsia="Times New Roman" w:hAnsi="Times New Roman"/>
                <w:sz w:val="17"/>
                <w:szCs w:val="17"/>
                <w:color w:val="auto"/>
              </w:rPr>
              <w:t>(11/1/2028 – 10/31/2029)</w:t>
            </w:r>
          </w:p>
        </w:tc>
        <w:tc>
          <w:tcPr>
            <w:tcW w:w="3440" w:type="dxa"/>
            <w:vAlign w:val="bottom"/>
            <w:tcBorders>
              <w:bottom w:val="single" w:sz="8" w:color="auto"/>
              <w:right w:val="single" w:sz="8" w:color="auto"/>
            </w:tcBorders>
          </w:tcPr>
          <w:p>
            <w:pPr>
              <w:ind w:left="1280"/>
              <w:spacing w:after="0" w:line="157" w:lineRule="exact"/>
              <w:rPr>
                <w:sz w:val="20"/>
                <w:szCs w:val="20"/>
                <w:color w:val="auto"/>
              </w:rPr>
            </w:pPr>
            <w:r>
              <w:rPr>
                <w:rFonts w:ascii="Times New Roman" w:cs="Times New Roman" w:eastAsia="Times New Roman" w:hAnsi="Times New Roman"/>
                <w:sz w:val="17"/>
                <w:szCs w:val="17"/>
                <w:color w:val="auto"/>
              </w:rPr>
              <w:t>$ 15.50 / SF</w:t>
            </w:r>
          </w:p>
        </w:tc>
      </w:tr>
      <w:tr>
        <w:trPr>
          <w:trHeight w:val="157"/>
        </w:trPr>
        <w:tc>
          <w:tcPr>
            <w:tcW w:w="1420" w:type="dxa"/>
            <w:vAlign w:val="bottom"/>
            <w:tcBorders>
              <w:right w:val="single" w:sz="8" w:color="auto"/>
            </w:tcBorders>
          </w:tcPr>
          <w:p>
            <w:pPr>
              <w:spacing w:after="0"/>
              <w:rPr>
                <w:sz w:val="13"/>
                <w:szCs w:val="13"/>
                <w:color w:val="auto"/>
              </w:rPr>
            </w:pPr>
          </w:p>
        </w:tc>
        <w:tc>
          <w:tcPr>
            <w:tcW w:w="1520" w:type="dxa"/>
            <w:vAlign w:val="bottom"/>
            <w:tcBorders>
              <w:bottom w:val="single" w:sz="8" w:color="auto"/>
            </w:tcBorders>
          </w:tcPr>
          <w:p>
            <w:pPr>
              <w:ind w:left="1040"/>
              <w:spacing w:after="0" w:line="157" w:lineRule="exact"/>
              <w:rPr>
                <w:sz w:val="20"/>
                <w:szCs w:val="20"/>
                <w:color w:val="auto"/>
              </w:rPr>
            </w:pPr>
            <w:r>
              <w:rPr>
                <w:rFonts w:ascii="Times New Roman" w:cs="Times New Roman" w:eastAsia="Times New Roman" w:hAnsi="Times New Roman"/>
                <w:sz w:val="17"/>
                <w:szCs w:val="17"/>
                <w:color w:val="auto"/>
              </w:rPr>
              <w:t>Year 5</w:t>
            </w:r>
          </w:p>
        </w:tc>
        <w:tc>
          <w:tcPr>
            <w:tcW w:w="2880" w:type="dxa"/>
            <w:vAlign w:val="bottom"/>
            <w:tcBorders>
              <w:bottom w:val="single" w:sz="8" w:color="auto"/>
              <w:right w:val="single" w:sz="8" w:color="auto"/>
            </w:tcBorders>
          </w:tcPr>
          <w:p>
            <w:pPr>
              <w:ind w:left="40"/>
              <w:spacing w:after="0" w:line="157" w:lineRule="exact"/>
              <w:rPr>
                <w:sz w:val="20"/>
                <w:szCs w:val="20"/>
                <w:color w:val="auto"/>
              </w:rPr>
            </w:pPr>
            <w:r>
              <w:rPr>
                <w:rFonts w:ascii="Times New Roman" w:cs="Times New Roman" w:eastAsia="Times New Roman" w:hAnsi="Times New Roman"/>
                <w:sz w:val="17"/>
                <w:szCs w:val="17"/>
                <w:color w:val="auto"/>
              </w:rPr>
              <w:t>(11/1/2029 – 10/31/2030)</w:t>
            </w:r>
          </w:p>
        </w:tc>
        <w:tc>
          <w:tcPr>
            <w:tcW w:w="3440" w:type="dxa"/>
            <w:vAlign w:val="bottom"/>
            <w:tcBorders>
              <w:bottom w:val="single" w:sz="8" w:color="auto"/>
              <w:right w:val="single" w:sz="8" w:color="auto"/>
            </w:tcBorders>
          </w:tcPr>
          <w:p>
            <w:pPr>
              <w:ind w:left="1280"/>
              <w:spacing w:after="0" w:line="157" w:lineRule="exact"/>
              <w:rPr>
                <w:sz w:val="20"/>
                <w:szCs w:val="20"/>
                <w:color w:val="auto"/>
              </w:rPr>
            </w:pPr>
            <w:r>
              <w:rPr>
                <w:rFonts w:ascii="Times New Roman" w:cs="Times New Roman" w:eastAsia="Times New Roman" w:hAnsi="Times New Roman"/>
                <w:sz w:val="17"/>
                <w:szCs w:val="17"/>
                <w:color w:val="auto"/>
              </w:rPr>
              <w:t>$ 15.50 / SF</w:t>
            </w:r>
          </w:p>
        </w:tc>
      </w:tr>
    </w:tbl>
    <w:p>
      <w:pPr>
        <w:spacing w:after="0" w:line="18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4.</w:t>
        <w:tab/>
        <w:t>All other terms and addendums of the original contract of 2012 remain in full force and effect.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and Dated: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 Ronald R. Pierzina</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Date:</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9-11-2025</w:t>
            </w:r>
          </w:p>
        </w:tc>
      </w:tr>
      <w:tr>
        <w:trPr>
          <w:trHeight w:val="178"/>
        </w:trPr>
        <w:tc>
          <w:tcPr>
            <w:tcW w:w="20" w:type="dxa"/>
            <w:vAlign w:val="bottom"/>
          </w:tcPr>
          <w:p>
            <w:pPr>
              <w:spacing w:after="0"/>
              <w:rPr>
                <w:sz w:val="15"/>
                <w:szCs w:val="15"/>
                <w:color w:val="auto"/>
              </w:rPr>
            </w:pPr>
          </w:p>
        </w:tc>
        <w:tc>
          <w:tcPr>
            <w:tcW w:w="55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Ronald R. Pierzina</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tcBorders>
              <w:top w:val="single" w:sz="8" w:color="auto"/>
            </w:tcBorders>
          </w:tcPr>
          <w:p>
            <w:pPr>
              <w:spacing w:after="0"/>
              <w:rPr>
                <w:sz w:val="15"/>
                <w:szCs w:val="15"/>
                <w:color w:val="auto"/>
              </w:rPr>
            </w:pPr>
          </w:p>
        </w:tc>
      </w:tr>
      <w:tr>
        <w:trPr>
          <w:trHeight w:val="202"/>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Managing Partner</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218"/>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Cruiser Lane, LLC</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403"/>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 Laura J Pierzina</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Date:</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9-11-2025</w:t>
            </w:r>
          </w:p>
        </w:tc>
      </w:tr>
      <w:tr>
        <w:trPr>
          <w:trHeight w:val="178"/>
        </w:trPr>
        <w:tc>
          <w:tcPr>
            <w:tcW w:w="20" w:type="dxa"/>
            <w:vAlign w:val="bottom"/>
          </w:tcPr>
          <w:p>
            <w:pPr>
              <w:spacing w:after="0"/>
              <w:rPr>
                <w:sz w:val="15"/>
                <w:szCs w:val="15"/>
                <w:color w:val="auto"/>
              </w:rPr>
            </w:pPr>
          </w:p>
        </w:tc>
        <w:tc>
          <w:tcPr>
            <w:tcW w:w="55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Laura J Pierzina</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tcBorders>
              <w:top w:val="single" w:sz="8" w:color="auto"/>
            </w:tcBorders>
          </w:tcPr>
          <w:p>
            <w:pPr>
              <w:spacing w:after="0"/>
              <w:rPr>
                <w:sz w:val="15"/>
                <w:szCs w:val="15"/>
                <w:color w:val="auto"/>
              </w:rPr>
            </w:pPr>
          </w:p>
        </w:tc>
      </w:tr>
      <w:tr>
        <w:trPr>
          <w:trHeight w:val="202"/>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Managing Partner</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218"/>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Cruiser Lane, LLC</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403"/>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 Scott Neils</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Date:</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09/08/2025</w:t>
            </w:r>
          </w:p>
        </w:tc>
      </w:tr>
      <w:tr>
        <w:trPr>
          <w:trHeight w:val="196"/>
        </w:trPr>
        <w:tc>
          <w:tcPr>
            <w:tcW w:w="20" w:type="dxa"/>
            <w:vAlign w:val="bottom"/>
          </w:tcPr>
          <w:p>
            <w:pPr>
              <w:spacing w:after="0"/>
              <w:rPr>
                <w:sz w:val="17"/>
                <w:szCs w:val="17"/>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Scott Neils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Borders>
              <w:top w:val="single" w:sz="8" w:color="auto"/>
            </w:tcBorders>
          </w:tcPr>
          <w:p>
            <w:pPr>
              <w:spacing w:after="0"/>
              <w:rPr>
                <w:sz w:val="17"/>
                <w:szCs w:val="17"/>
                <w:color w:val="auto"/>
              </w:rPr>
            </w:pPr>
          </w:p>
        </w:tc>
      </w:tr>
    </w:tbl>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Xtant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t>Exhibit 10.38</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LEASE AGREEMENT</w:t>
      </w:r>
    </w:p>
    <w:p>
      <w:pPr>
        <w:spacing w:after="0" w:line="210" w:lineRule="exact"/>
        <w:rPr>
          <w:sz w:val="20"/>
          <w:szCs w:val="20"/>
          <w:color w:val="auto"/>
        </w:rPr>
      </w:pPr>
    </w:p>
    <w:p>
      <w:pPr>
        <w:jc w:val="both"/>
        <w:ind w:firstLine="605"/>
        <w:spacing w:after="0" w:line="221" w:lineRule="auto"/>
        <w:rPr>
          <w:sz w:val="20"/>
          <w:szCs w:val="20"/>
          <w:color w:val="auto"/>
        </w:rPr>
      </w:pPr>
      <w:r>
        <w:rPr>
          <w:rFonts w:ascii="Times New Roman" w:cs="Times New Roman" w:eastAsia="Times New Roman" w:hAnsi="Times New Roman"/>
          <w:sz w:val="17"/>
          <w:szCs w:val="17"/>
          <w:color w:val="auto"/>
        </w:rPr>
        <w:t>THIS LEASE, made and entered into this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August, 2025, by and between McCLELLAN FARM, a Montana Corporation of Joplin, MT, or assigns, hereinafter designated “Lessor,” and XTANT MEDICAL, INC., a Delaware corporation with an address at 664 Cruiser Lane, Belgrade, MT 59714, hereinafter designated “Lessee.”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WITNESSETH</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Lessor does lease to Lessee the approximately 17,700 square feet of office, manufacturing, and shop space in the building at 600 Cruiser Lane, Belgrade, MT, 59714 as well as the land associated with this premises.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HAVE AND TO HOLD the same unto the Lessee from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of November, 2025 until the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of October, 2030.</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AND THE LESSOR AND THE LESSEE FURTHER COVENANT AND AGREE AS FOLLOWS:</w:t>
      </w:r>
    </w:p>
    <w:p>
      <w:pPr>
        <w:spacing w:after="0" w:line="208" w:lineRule="exact"/>
        <w:rPr>
          <w:sz w:val="20"/>
          <w:szCs w:val="20"/>
          <w:color w:val="auto"/>
        </w:rPr>
      </w:pPr>
    </w:p>
    <w:p>
      <w:pPr>
        <w:ind w:firstLine="606"/>
        <w:spacing w:after="0" w:line="301" w:lineRule="auto"/>
        <w:tabs>
          <w:tab w:leader="none" w:pos="77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RENT</w:t>
      </w:r>
      <w:r>
        <w:rPr>
          <w:rFonts w:ascii="Times New Roman" w:cs="Times New Roman" w:eastAsia="Times New Roman" w:hAnsi="Times New Roman"/>
          <w:sz w:val="16"/>
          <w:szCs w:val="16"/>
          <w:color w:val="auto"/>
        </w:rPr>
        <w:t>. The Lessee agrees to pay Seventeen Thousand Seven Hundred Dollars ($17,700.00) per month in advance commencing November 1, 2025. Lessee agrees to pay Seventeen Thousand Seven Hundred Dollars ($17,700.00) per month on or before the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day of each month thereafter during the term of this Lease.</w:t>
      </w:r>
    </w:p>
    <w:p>
      <w:pPr>
        <w:spacing w:after="0" w:line="22" w:lineRule="exact"/>
        <w:rPr>
          <w:rFonts w:ascii="Times New Roman" w:cs="Times New Roman" w:eastAsia="Times New Roman" w:hAnsi="Times New Roman"/>
          <w:sz w:val="16"/>
          <w:szCs w:val="16"/>
          <w:color w:val="auto"/>
        </w:rPr>
      </w:pPr>
    </w:p>
    <w:p>
      <w:pPr>
        <w:ind w:left="780" w:hanging="174"/>
        <w:spacing w:after="0"/>
        <w:tabs>
          <w:tab w:leader="none" w:pos="7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UTILITIES</w:t>
      </w:r>
      <w:r>
        <w:rPr>
          <w:rFonts w:ascii="Times New Roman" w:cs="Times New Roman" w:eastAsia="Times New Roman" w:hAnsi="Times New Roman"/>
          <w:sz w:val="17"/>
          <w:szCs w:val="17"/>
          <w:color w:val="auto"/>
        </w:rPr>
        <w:t>. Lessee shall pay all utilities directly to the service provider.</w:t>
      </w:r>
    </w:p>
    <w:p>
      <w:pPr>
        <w:spacing w:after="0" w:line="207" w:lineRule="exact"/>
        <w:rPr>
          <w:rFonts w:ascii="Times New Roman" w:cs="Times New Roman" w:eastAsia="Times New Roman" w:hAnsi="Times New Roman"/>
          <w:sz w:val="17"/>
          <w:szCs w:val="17"/>
          <w:color w:val="auto"/>
        </w:rPr>
      </w:pPr>
    </w:p>
    <w:p>
      <w:pPr>
        <w:ind w:firstLine="606"/>
        <w:spacing w:after="0" w:line="274" w:lineRule="auto"/>
        <w:tabs>
          <w:tab w:leader="none" w:pos="78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w:t>
      </w:r>
      <w:r>
        <w:rPr>
          <w:rFonts w:ascii="Times New Roman" w:cs="Times New Roman" w:eastAsia="Times New Roman" w:hAnsi="Times New Roman"/>
          <w:sz w:val="17"/>
          <w:szCs w:val="17"/>
          <w:color w:val="auto"/>
        </w:rPr>
        <w:t>. If the Lessee does not make the rent, taxes and utility payments on time, or otherwise fails to perform any material terms of this lease, the Lessor may, following thirty (30) days’ written notice:</w:t>
      </w:r>
    </w:p>
    <w:p>
      <w:pPr>
        <w:spacing w:after="0" w:line="159" w:lineRule="exact"/>
        <w:rPr>
          <w:sz w:val="20"/>
          <w:szCs w:val="20"/>
          <w:color w:val="auto"/>
        </w:rPr>
      </w:pPr>
    </w:p>
    <w:p>
      <w:pPr>
        <w:jc w:val="both"/>
        <w:ind w:left="1220" w:hanging="614"/>
        <w:spacing w:after="0" w:line="261" w:lineRule="auto"/>
        <w:tabs>
          <w:tab w:leader="none" w:pos="12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this lease, whereupon Lessee shall be relieved of any further liabilities or obligations hereunder from and after the date of such termination, except with respect to rentals and other sums due or accrued prior to said date of termination, and all obligations under paragraph 7 herein through the date of termination of the Lease, and/or;</w:t>
      </w:r>
    </w:p>
    <w:p>
      <w:pPr>
        <w:spacing w:after="0" w:line="169" w:lineRule="exact"/>
        <w:rPr>
          <w:rFonts w:ascii="Times New Roman" w:cs="Times New Roman" w:eastAsia="Times New Roman" w:hAnsi="Times New Roman"/>
          <w:sz w:val="17"/>
          <w:szCs w:val="17"/>
          <w:color w:val="auto"/>
        </w:rPr>
      </w:pPr>
    </w:p>
    <w:p>
      <w:pPr>
        <w:jc w:val="both"/>
        <w:ind w:left="1220" w:hanging="614"/>
        <w:spacing w:after="0" w:line="256" w:lineRule="auto"/>
        <w:tabs>
          <w:tab w:leader="none" w:pos="12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Re-Enter and take possession of the rented premises to rent to others and all rentals received from such re-letting shall be applied: (A) to the payment of any indebtedness other than rent due hereunder from Lessee to Lessor; (B) to the payment of any costs of such re-letting, including attorney’s fees; and/or (C) to the payment of rent due and unpaid hereunder. If rentals received from re-letting during any month are less than that agreed to be paid during that month by Lessee hereunder, the Lessee shall be liable to Lessor for the deficiency.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4. [reserved]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9" w:name="page130"/>
    <w:bookmarkEnd w:id="129"/>
    <w:p>
      <w:pPr>
        <w:jc w:val="both"/>
        <w:ind w:firstLine="606"/>
        <w:spacing w:after="0" w:line="256" w:lineRule="auto"/>
        <w:tabs>
          <w:tab w:leader="none" w:pos="786"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LOCAL, STATE AND FEDERAL LAWS</w:t>
      </w:r>
      <w:r>
        <w:rPr>
          <w:rFonts w:ascii="Times New Roman" w:cs="Times New Roman" w:eastAsia="Times New Roman" w:hAnsi="Times New Roman"/>
          <w:sz w:val="17"/>
          <w:szCs w:val="17"/>
          <w:color w:val="auto"/>
        </w:rPr>
        <w:t>. Lessee shall comply with local, state or federal laws or regulations, relative to the operation of said premises. Lessee agrees to comply with all state, local or federal laws, and/or regulations, concerning the use, storage or disposal of hazardous or toxic substances. Lessee further agrees to indemnify and hold Lessor harmless from toxic substances, and the cost of any environmental cleanup required as a result thereof.</w:t>
      </w:r>
    </w:p>
    <w:p>
      <w:pPr>
        <w:spacing w:after="0" w:line="174" w:lineRule="exact"/>
        <w:rPr>
          <w:rFonts w:ascii="Times New Roman" w:cs="Times New Roman" w:eastAsia="Times New Roman" w:hAnsi="Times New Roman"/>
          <w:sz w:val="17"/>
          <w:szCs w:val="17"/>
          <w:color w:val="auto"/>
        </w:rPr>
      </w:pPr>
    </w:p>
    <w:p>
      <w:pPr>
        <w:jc w:val="both"/>
        <w:ind w:firstLine="606"/>
        <w:spacing w:after="0" w:line="271" w:lineRule="auto"/>
        <w:tabs>
          <w:tab w:leader="none" w:pos="786"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PROPER USE, WASTE OR STRIP</w:t>
      </w:r>
      <w:r>
        <w:rPr>
          <w:rFonts w:ascii="Times New Roman" w:cs="Times New Roman" w:eastAsia="Times New Roman" w:hAnsi="Times New Roman"/>
          <w:sz w:val="16"/>
          <w:szCs w:val="16"/>
          <w:color w:val="auto"/>
        </w:rPr>
        <w:t>. The Lessee shall not suffer any waste or strip upon said premises. Upon the termination of this lease, Lessee shall remove all of its possessions, but for any fixtures (exclusive of trade fixtures) which will remain with the premises, and become a part thereof, and will surrender said premises in as good of condition as it existed at the time of the occupancy of said premises by the Lessee, reasonable wear and tear and damages by the elements alone excepted. The Lessee shall not cause any lien to be levied against the interest of the Lessor herein, and the Lessee further agrees to indemnify and save harmless the said Lessor against any such liens, claims or demands of whatsoever nature Additions or alterations made and paid for by Lessee with respect to said premises shall belong to the Lessor on the termination of the lease, including additions or alterations such as heating, air conditioning, plumbing, electrical fixtures, lighting, etc.</w:t>
      </w:r>
    </w:p>
    <w:p>
      <w:pPr>
        <w:spacing w:after="0" w:line="165" w:lineRule="exact"/>
        <w:rPr>
          <w:rFonts w:ascii="Times New Roman" w:cs="Times New Roman" w:eastAsia="Times New Roman" w:hAnsi="Times New Roman"/>
          <w:sz w:val="16"/>
          <w:szCs w:val="16"/>
          <w:color w:val="auto"/>
        </w:rPr>
      </w:pPr>
    </w:p>
    <w:p>
      <w:pPr>
        <w:ind w:left="780" w:hanging="174"/>
        <w:spacing w:after="0"/>
        <w:tabs>
          <w:tab w:leader="none" w:pos="7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LIABILITY FOR DAMAGE AND INJURY</w:t>
      </w:r>
      <w:r>
        <w:rPr>
          <w:rFonts w:ascii="Times New Roman" w:cs="Times New Roman" w:eastAsia="Times New Roman" w:hAnsi="Times New Roman"/>
          <w:sz w:val="17"/>
          <w:szCs w:val="17"/>
          <w:color w:val="auto"/>
        </w:rPr>
        <w:t>. That Lessee further covenants and agrees with the Lessor that:</w:t>
      </w:r>
    </w:p>
    <w:p>
      <w:pPr>
        <w:spacing w:after="0" w:line="208" w:lineRule="exact"/>
        <w:rPr>
          <w:sz w:val="20"/>
          <w:szCs w:val="20"/>
          <w:color w:val="auto"/>
        </w:rPr>
      </w:pPr>
    </w:p>
    <w:p>
      <w:pPr>
        <w:ind w:left="1220" w:hanging="614"/>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personal property of any kind that may be on said premises shall be at the sole risk of the Lessee; and,</w:t>
      </w:r>
    </w:p>
    <w:p>
      <w:pPr>
        <w:spacing w:after="0" w:line="207"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Lessor shall not be liable to the Lessee or any other person for any injury, loss, or damage to any personal property on or about the demised premises or the building of which the demised premises are a part or the approaches or sidewalks appurtenant or adjacent thereto, or stairs thereon, however caused, unless resulting from Lessor’s gross negligence or willful misconduct; and,</w:t>
      </w:r>
    </w:p>
    <w:p>
      <w:pPr>
        <w:spacing w:after="0" w:line="169" w:lineRule="exact"/>
        <w:rPr>
          <w:rFonts w:ascii="Times New Roman" w:cs="Times New Roman" w:eastAsia="Times New Roman" w:hAnsi="Times New Roman"/>
          <w:sz w:val="17"/>
          <w:szCs w:val="17"/>
          <w:color w:val="auto"/>
        </w:rPr>
      </w:pPr>
    </w:p>
    <w:p>
      <w:pPr>
        <w:jc w:val="both"/>
        <w:ind w:left="1220" w:hanging="614"/>
        <w:spacing w:after="0" w:line="256" w:lineRule="auto"/>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Lessee shall save the Lessor as owner of the demised premises harmless, and shall indemnify and defend Lessor from and against all loss or damage (other than reasonable wear and tear and damages by the elements alone) occasioned by the use or misuse or abuse of the plumbing, heating, elevators, stairs, electrical, gas or other fixtures or covers, or by the bursting or leaking of any pipes or occasioned by any nuisance made or suffered on the demised premises or elsewhere; in each case, arising from any material default of this lease by the Lessee; and,</w:t>
      </w:r>
    </w:p>
    <w:p>
      <w:pPr>
        <w:spacing w:after="0" w:line="174" w:lineRule="exact"/>
        <w:rPr>
          <w:rFonts w:ascii="Times New Roman" w:cs="Times New Roman" w:eastAsia="Times New Roman" w:hAnsi="Times New Roman"/>
          <w:sz w:val="17"/>
          <w:szCs w:val="17"/>
          <w:color w:val="auto"/>
        </w:rPr>
      </w:pPr>
    </w:p>
    <w:p>
      <w:pPr>
        <w:jc w:val="both"/>
        <w:ind w:left="1220" w:hanging="614"/>
        <w:spacing w:after="0" w:line="256" w:lineRule="auto"/>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Lessee will save the Lessor harmless and indemnify and defend Lessor from and against any third-party claim or damage on account of any injury to person or persons or property occurring on or about the demised premises or the approaches or sidewalks appurtenant or adjacent thereto, or any elevators, stairs, or other appurtenances used in connection therewith, however caused, and from and against any and all loss, damage or liability arising from any material default of this lease by the Lessee; 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0" w:name="page131"/>
    <w:bookmarkEnd w:id="130"/>
    <w:p>
      <w:pPr>
        <w:ind w:left="1220" w:hanging="614"/>
        <w:spacing w:after="0" w:line="274" w:lineRule="auto"/>
        <w:tabs>
          <w:tab w:leader="none" w:pos="12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Lessee will pay the Lessor, or replace at its own expense, all broken glass of whatsoever nature, and howsoever caused, which has incurred as the result of the use of the premises by or for the Lessee.</w:t>
      </w:r>
    </w:p>
    <w:p>
      <w:pPr>
        <w:spacing w:after="0" w:line="159" w:lineRule="exact"/>
        <w:rPr>
          <w:sz w:val="20"/>
          <w:szCs w:val="20"/>
          <w:color w:val="auto"/>
        </w:rPr>
      </w:pPr>
    </w:p>
    <w:p>
      <w:pPr>
        <w:jc w:val="both"/>
        <w:ind w:firstLine="606"/>
        <w:spacing w:after="0" w:line="261" w:lineRule="auto"/>
        <w:tabs>
          <w:tab w:leader="none" w:pos="78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Lessee agrees to carry at its own expense, public liability, property and casualty insurance on the building and contents in amounts reasonably acceptable to the Lessor. The insurance shall show Lessor as owner and insured. Lessee shall deliver appropriate evidence to Lessor as proof that the insurance is in force. The insurance shall require that Lessor receive notice of any termination of such insurance.</w:t>
      </w:r>
    </w:p>
    <w:p>
      <w:pPr>
        <w:spacing w:after="0" w:line="169" w:lineRule="exact"/>
        <w:rPr>
          <w:rFonts w:ascii="Times New Roman" w:cs="Times New Roman" w:eastAsia="Times New Roman" w:hAnsi="Times New Roman"/>
          <w:sz w:val="17"/>
          <w:szCs w:val="17"/>
          <w:color w:val="auto"/>
        </w:rPr>
      </w:pPr>
    </w:p>
    <w:p>
      <w:pPr>
        <w:ind w:left="780" w:hanging="174"/>
        <w:spacing w:after="0"/>
        <w:tabs>
          <w:tab w:leader="none" w:pos="7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USE OF PREMISES</w:t>
      </w:r>
      <w:r>
        <w:rPr>
          <w:rFonts w:ascii="Times New Roman" w:cs="Times New Roman" w:eastAsia="Times New Roman" w:hAnsi="Times New Roman"/>
          <w:sz w:val="16"/>
          <w:szCs w:val="16"/>
          <w:color w:val="auto"/>
        </w:rPr>
        <w:t>. The Lessee represents and agrees that the premises leased herein shall be occupied as a laboratory, office and manufacturing facility.</w:t>
      </w:r>
    </w:p>
    <w:p>
      <w:pPr>
        <w:spacing w:after="0" w:line="219" w:lineRule="exact"/>
        <w:rPr>
          <w:rFonts w:ascii="Times New Roman" w:cs="Times New Roman" w:eastAsia="Times New Roman" w:hAnsi="Times New Roman"/>
          <w:sz w:val="16"/>
          <w:szCs w:val="16"/>
          <w:color w:val="auto"/>
        </w:rPr>
      </w:pPr>
    </w:p>
    <w:p>
      <w:pPr>
        <w:ind w:firstLine="606"/>
        <w:spacing w:after="0" w:line="274" w:lineRule="auto"/>
        <w:tabs>
          <w:tab w:leader="none" w:pos="87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PUBLIC TAKING</w:t>
      </w:r>
      <w:r>
        <w:rPr>
          <w:rFonts w:ascii="Times New Roman" w:cs="Times New Roman" w:eastAsia="Times New Roman" w:hAnsi="Times New Roman"/>
          <w:sz w:val="17"/>
          <w:szCs w:val="17"/>
          <w:color w:val="auto"/>
        </w:rPr>
        <w:t>. In the event the leased premises or building is condemned or taken over by any city, state or federal authorities, this lease shall be considered cancelled in its entirety and both parties relieved from further obligations.</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51"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ALTERATIONS</w:t>
      </w:r>
      <w:r>
        <w:rPr>
          <w:rFonts w:ascii="Times New Roman" w:cs="Times New Roman" w:eastAsia="Times New Roman" w:hAnsi="Times New Roman"/>
          <w:sz w:val="17"/>
          <w:szCs w:val="17"/>
          <w:color w:val="auto"/>
        </w:rPr>
        <w:t>. The Lessee shall not make any material alterations upon or to said premises without the consent of Lessor, which consent shall not be unreasonably withheld.</w:t>
      </w:r>
    </w:p>
    <w:p>
      <w:pPr>
        <w:spacing w:after="0" w:line="158" w:lineRule="exact"/>
        <w:rPr>
          <w:rFonts w:ascii="Times New Roman" w:cs="Times New Roman" w:eastAsia="Times New Roman" w:hAnsi="Times New Roman"/>
          <w:sz w:val="17"/>
          <w:szCs w:val="17"/>
          <w:color w:val="auto"/>
        </w:rPr>
      </w:pPr>
    </w:p>
    <w:p>
      <w:pPr>
        <w:jc w:val="both"/>
        <w:ind w:firstLine="606"/>
        <w:spacing w:after="0" w:line="256" w:lineRule="auto"/>
        <w:tabs>
          <w:tab w:leader="none" w:pos="85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INSPECTION OF PREMISES</w:t>
      </w:r>
      <w:r>
        <w:rPr>
          <w:rFonts w:ascii="Times New Roman" w:cs="Times New Roman" w:eastAsia="Times New Roman" w:hAnsi="Times New Roman"/>
          <w:sz w:val="17"/>
          <w:szCs w:val="17"/>
          <w:color w:val="auto"/>
        </w:rPr>
        <w:t>. The Lessor shall have the right to enter said premises at all reasonable times for the purposes of examining and caring for the leased premises or entire building, to make necessary repairs or additions, and/or to exhibit said premises; provided, however, that except in the case of an emergency requiring immediate action, the Lessor shall give Lessee at least twenty-four (24) hours advance notice of the exercise of the foregoing right of entry, which notice may be either oral or written.</w:t>
      </w:r>
    </w:p>
    <w:p>
      <w:pPr>
        <w:spacing w:after="0" w:line="174" w:lineRule="exact"/>
        <w:rPr>
          <w:rFonts w:ascii="Times New Roman" w:cs="Times New Roman" w:eastAsia="Times New Roman" w:hAnsi="Times New Roman"/>
          <w:sz w:val="17"/>
          <w:szCs w:val="17"/>
          <w:color w:val="auto"/>
        </w:rPr>
      </w:pPr>
    </w:p>
    <w:p>
      <w:pPr>
        <w:jc w:val="both"/>
        <w:ind w:firstLine="606"/>
        <w:spacing w:after="0" w:line="254" w:lineRule="auto"/>
        <w:tabs>
          <w:tab w:leader="none" w:pos="85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DAMAGE OR DESTRUCTION OF LEASED PREMISES</w:t>
      </w:r>
      <w:r>
        <w:rPr>
          <w:rFonts w:ascii="Times New Roman" w:cs="Times New Roman" w:eastAsia="Times New Roman" w:hAnsi="Times New Roman"/>
          <w:sz w:val="17"/>
          <w:szCs w:val="17"/>
          <w:color w:val="auto"/>
        </w:rPr>
        <w:t>. In the event the leased premises are hereinafter partially or entirely damaged or destroyed or rendered partially or wholly unfit for Lessee’s use by fire, tornado, earthquake or any casualty, rent shall abate in such proportion as the part of the premises destroyed or rendered unfit for such use bears to the total premises herein leased. If the damage or destruction shall be so extensive as to require substantial rebuilding of the improvements on the leased premises, either party may elect to terminate this lease by written notice to the other party. Such election must be made in writing within thirty (30) days after the occurrence of the damage or destruction.</w:t>
      </w:r>
    </w:p>
    <w:p>
      <w:pPr>
        <w:spacing w:after="0" w:line="175" w:lineRule="exact"/>
        <w:rPr>
          <w:rFonts w:ascii="Times New Roman" w:cs="Times New Roman" w:eastAsia="Times New Roman" w:hAnsi="Times New Roman"/>
          <w:sz w:val="17"/>
          <w:szCs w:val="17"/>
          <w:color w:val="auto"/>
        </w:rPr>
      </w:pPr>
    </w:p>
    <w:p>
      <w:pPr>
        <w:ind w:firstLine="606"/>
        <w:spacing w:after="0" w:line="274" w:lineRule="auto"/>
        <w:tabs>
          <w:tab w:leader="none" w:pos="87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lease shall not be assigned in whole or in part, except to an affiliated entity of Lessee, nor said premises sublet by the Lessee without first obtaining written consent of the Lessor, which shall not be unreasonably withheld.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1" w:name="page132"/>
    <w:bookmarkEnd w:id="131"/>
    <w:p>
      <w:pPr>
        <w:jc w:val="both"/>
        <w:ind w:firstLine="606"/>
        <w:spacing w:after="0" w:line="254" w:lineRule="auto"/>
        <w:tabs>
          <w:tab w:leader="none" w:pos="87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IMPROVEMENTS BY LESSEE</w:t>
      </w:r>
      <w:r>
        <w:rPr>
          <w:rFonts w:ascii="Times New Roman" w:cs="Times New Roman" w:eastAsia="Times New Roman" w:hAnsi="Times New Roman"/>
          <w:sz w:val="17"/>
          <w:szCs w:val="17"/>
          <w:color w:val="auto"/>
        </w:rPr>
        <w:t>. In the event any alterations or improvements are made to said premises, or to the heating system, electrical system, plumbing system, or any other part of said premises (which improvements may be but are not limited to any and all heaters, coolers, air conditioning equipment, light fixtures and the like), after the approval thereof by the Lessor, such improvements, at the termination of the lease, or sooner, if said lease is cancelled, shall belong to the Lessor, excepting removable trade fixtures as elsewhere in this lease specifically provided for. Any alterations, as aforementioned, or additions, built-ins, plumbing or electrical fixtures, made or installed by the Lessor shall immediately become the property of the Lessor.</w:t>
      </w:r>
    </w:p>
    <w:p>
      <w:pPr>
        <w:spacing w:after="0" w:line="175" w:lineRule="exact"/>
        <w:rPr>
          <w:rFonts w:ascii="Times New Roman" w:cs="Times New Roman" w:eastAsia="Times New Roman" w:hAnsi="Times New Roman"/>
          <w:sz w:val="17"/>
          <w:szCs w:val="17"/>
          <w:color w:val="auto"/>
        </w:rPr>
      </w:pPr>
    </w:p>
    <w:p>
      <w:pPr>
        <w:jc w:val="both"/>
        <w:ind w:firstLine="606"/>
        <w:spacing w:after="0" w:line="253" w:lineRule="auto"/>
        <w:tabs>
          <w:tab w:leader="none" w:pos="857"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ENTRANCE TO PREMISES UPON DEFAULT</w:t>
      </w:r>
      <w:r>
        <w:rPr>
          <w:rFonts w:ascii="Times New Roman" w:cs="Times New Roman" w:eastAsia="Times New Roman" w:hAnsi="Times New Roman"/>
          <w:sz w:val="17"/>
          <w:szCs w:val="17"/>
          <w:color w:val="auto"/>
        </w:rPr>
        <w:t>. In the event the Lessee defaults according to the terms hereof, and after proper cancellation notice given as above-mentioned, the Lessor may re-enter said demised premises with or without process of law, and the Lessor may remove and expel any person or persons occupying said demised premises, using such reasonable force as may be necessary to do so, and without prejudice to any remedies which are available to recover for arrears of rent and damages for breach of covenant herein contained on the part of the Lessee; and that if it becomes necessary for the Lessor to bring an action at law to recover possession of said demised premises, damages, or rent as herein specified, the Lessee agrees to pay a reasonable attorney’s fee therefore and all costs attending such action.</w:t>
      </w:r>
    </w:p>
    <w:p>
      <w:pPr>
        <w:spacing w:after="0" w:line="175" w:lineRule="exact"/>
        <w:rPr>
          <w:rFonts w:ascii="Times New Roman" w:cs="Times New Roman" w:eastAsia="Times New Roman" w:hAnsi="Times New Roman"/>
          <w:sz w:val="17"/>
          <w:szCs w:val="17"/>
          <w:color w:val="auto"/>
        </w:rPr>
      </w:pPr>
    </w:p>
    <w:p>
      <w:pPr>
        <w:jc w:val="both"/>
        <w:ind w:firstLine="606"/>
        <w:spacing w:after="0" w:line="253" w:lineRule="auto"/>
        <w:tabs>
          <w:tab w:leader="none" w:pos="857"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SECURITY DEPOSIT</w:t>
      </w:r>
      <w:r>
        <w:rPr>
          <w:rFonts w:ascii="Times New Roman" w:cs="Times New Roman" w:eastAsia="Times New Roman" w:hAnsi="Times New Roman"/>
          <w:sz w:val="17"/>
          <w:szCs w:val="17"/>
          <w:color w:val="auto"/>
        </w:rPr>
        <w:t>. The security deposit previously provided to Lessor pursuant to that certain Lease Agreement dated August 7, 2003 will be applied to satisfy the security deposit required for this Lease Agreement, and Lessor acknowledges receipt thereof. This deposit is to insure that the property when vacated will be cleaned, in proper repair and in substantially the same condition as of the commencement of this Lease (other than reasonable wear and tear and damages by the elements alone). At the termination of this Lease the building will be inspected. The costs of any repairs will be deducted from the security deposit as will any unpaid rent. Remaining balance, if any, shall be refunded in a reasonable time to Lessee. This security deposit can also be used if Lessee fails to pay any lease payment. Lessor shall provide Lessee with a written accounting of any repairs or unpaid rent deducted from the security deposit.</w:t>
      </w:r>
    </w:p>
    <w:p>
      <w:pPr>
        <w:spacing w:after="0" w:line="175" w:lineRule="exact"/>
        <w:rPr>
          <w:rFonts w:ascii="Times New Roman" w:cs="Times New Roman" w:eastAsia="Times New Roman" w:hAnsi="Times New Roman"/>
          <w:sz w:val="17"/>
          <w:szCs w:val="17"/>
          <w:color w:val="auto"/>
        </w:rPr>
      </w:pPr>
    </w:p>
    <w:p>
      <w:pPr>
        <w:jc w:val="both"/>
        <w:ind w:firstLine="606"/>
        <w:spacing w:after="0" w:line="250" w:lineRule="auto"/>
        <w:tabs>
          <w:tab w:leader="none" w:pos="882"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MAINTENANCE</w:t>
      </w:r>
      <w:r>
        <w:rPr>
          <w:rFonts w:ascii="Times New Roman" w:cs="Times New Roman" w:eastAsia="Times New Roman" w:hAnsi="Times New Roman"/>
          <w:sz w:val="17"/>
          <w:szCs w:val="17"/>
          <w:color w:val="auto"/>
        </w:rPr>
        <w:t>. Lessee shall be responsible for keeping the structure, heating, plumbing, and mechanical systems of the building on the leased premises in good repair and working order. Lessee shall contract with an HAVC technician for inspection, maintenance, and repair two (2) times a year at Lessee’s expense. Lessee shall be responsible for and shall pay for repair of all damages resulting from Lessee’s occupancy or negligence. Lessee shall be responsible for all janitorial services and all interior decorating, including interior paint. Anything in this lease to the contrary notwithstanding, Lessor shall be responsible for all major structural repairs to the roof, siding, concrete, including foundation, sidewalks and slabs, as well as water heaters, heating, ventilation and air conditioning systems. A major structural repair is defined as a repair that will cost more than Five Thousand Dollars ($5,000.00) for each single instance; provided, however, that responsibility for Heating, Ventilation, and Air Conditioning (HVAC) systems will be distributed as follows: Lessee shall be responsible for the first Five Thousand Dollars ($5,000) of system repair costs; Lessor shall assume responsibility for the next Fifteen Thousand Dollars ($15,000) of repair costs; and Lessee shall be responsible for any costs that exceed the Twenty Thousand Dollars ($20,000) aggregate previously apportioned. Lessee shall be responsible for sealing the asphalt at least every five (5) years at Lessee’s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2" w:name="page133"/>
    <w:bookmarkEnd w:id="132"/>
    <w:p>
      <w:pPr>
        <w:ind w:firstLine="606"/>
        <w:spacing w:after="0" w:line="274" w:lineRule="auto"/>
        <w:tabs>
          <w:tab w:leader="none" w:pos="857"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Lessee shall promptly pay all taxes due including, but not limited to, all personal and real property taxes. Payments shall be made directly to the applicable government agency.</w:t>
      </w:r>
    </w:p>
    <w:p>
      <w:pPr>
        <w:spacing w:after="0" w:line="158" w:lineRule="exact"/>
        <w:rPr>
          <w:rFonts w:ascii="Times New Roman" w:cs="Times New Roman" w:eastAsia="Times New Roman" w:hAnsi="Times New Roman"/>
          <w:sz w:val="17"/>
          <w:szCs w:val="17"/>
          <w:color w:val="auto"/>
        </w:rPr>
      </w:pPr>
    </w:p>
    <w:p>
      <w:pPr>
        <w:jc w:val="both"/>
        <w:ind w:firstLine="606"/>
        <w:spacing w:after="0" w:line="261" w:lineRule="auto"/>
        <w:tabs>
          <w:tab w:leader="none" w:pos="857"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LANDLORD’S TRANSFER</w:t>
      </w:r>
      <w:r>
        <w:rPr>
          <w:rFonts w:ascii="Times New Roman" w:cs="Times New Roman" w:eastAsia="Times New Roman" w:hAnsi="Times New Roman"/>
          <w:sz w:val="17"/>
          <w:szCs w:val="17"/>
          <w:color w:val="auto"/>
        </w:rPr>
        <w:t>. If any interest of Lessor in the leased premises is sold or otherwise transferred (other than transfers for security purposes only), the transferee shall execute an assumption and non-disturbance agreement reasonably satisfactory to Lessee. Notwithstanding any such transfer, Lessor shall not be released from any liability accruing under this lease prior to the effective date of such transfer.</w:t>
      </w:r>
    </w:p>
    <w:p>
      <w:pPr>
        <w:spacing w:after="0" w:line="169" w:lineRule="exact"/>
        <w:rPr>
          <w:rFonts w:ascii="Times New Roman" w:cs="Times New Roman" w:eastAsia="Times New Roman" w:hAnsi="Times New Roman"/>
          <w:sz w:val="17"/>
          <w:szCs w:val="17"/>
          <w:color w:val="auto"/>
        </w:rPr>
      </w:pPr>
    </w:p>
    <w:p>
      <w:pPr>
        <w:jc w:val="both"/>
        <w:ind w:firstLine="606"/>
        <w:spacing w:after="0" w:line="256" w:lineRule="auto"/>
        <w:tabs>
          <w:tab w:leader="none" w:pos="882"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SUBORDINATION</w:t>
      </w:r>
      <w:r>
        <w:rPr>
          <w:rFonts w:ascii="Times New Roman" w:cs="Times New Roman" w:eastAsia="Times New Roman" w:hAnsi="Times New Roman"/>
          <w:sz w:val="17"/>
          <w:szCs w:val="17"/>
          <w:color w:val="auto"/>
        </w:rPr>
        <w:t>. Lessee shall, upon demand by Lessor, execute such instruments as may be necessary at any time, and from time to time, to subordinate the rights and interests of Lessee under this lease to the lien of any first mortgage at any time placed on the land of which the demised premises are a part; provided, however, that such subordination shall not affect Lessee’s right to possession, use and occupancy of the demised premises so long as Lessee is not in default in performing any of the terms and conditions of this lease.</w:t>
      </w:r>
    </w:p>
    <w:p>
      <w:pPr>
        <w:spacing w:after="0" w:line="174" w:lineRule="exact"/>
        <w:rPr>
          <w:rFonts w:ascii="Times New Roman" w:cs="Times New Roman" w:eastAsia="Times New Roman" w:hAnsi="Times New Roman"/>
          <w:sz w:val="17"/>
          <w:szCs w:val="17"/>
          <w:color w:val="auto"/>
        </w:rPr>
      </w:pPr>
    </w:p>
    <w:p>
      <w:pPr>
        <w:ind w:firstLine="606"/>
        <w:spacing w:after="0" w:line="274" w:lineRule="auto"/>
        <w:tabs>
          <w:tab w:leader="none" w:pos="870"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SIGNS</w:t>
      </w:r>
      <w:r>
        <w:rPr>
          <w:rFonts w:ascii="Times New Roman" w:cs="Times New Roman" w:eastAsia="Times New Roman" w:hAnsi="Times New Roman"/>
          <w:sz w:val="17"/>
          <w:szCs w:val="17"/>
          <w:color w:val="auto"/>
        </w:rPr>
        <w:t>. Lessee shall obtain Lessor’s prior approval of any signs to be erected by Lessee. Said signs shall conform to Lessor’s restrictions and any ordinances and regulations of the City of Belgrade, Gallatin County, and the Lessor.</w:t>
      </w:r>
    </w:p>
    <w:p>
      <w:pPr>
        <w:spacing w:after="0" w:line="158" w:lineRule="exact"/>
        <w:rPr>
          <w:rFonts w:ascii="Times New Roman" w:cs="Times New Roman" w:eastAsia="Times New Roman" w:hAnsi="Times New Roman"/>
          <w:sz w:val="17"/>
          <w:szCs w:val="17"/>
          <w:color w:val="auto"/>
        </w:rPr>
      </w:pPr>
    </w:p>
    <w:p>
      <w:pPr>
        <w:jc w:val="both"/>
        <w:ind w:firstLine="606"/>
        <w:spacing w:after="0" w:line="273" w:lineRule="auto"/>
        <w:tabs>
          <w:tab w:leader="none" w:pos="857"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required under this lease shall be deemed to have been properly served if delivered in writing, personally or sent by certified mail to Lessor at Box 243, Joplin, MT 59531, and to Lessee at 664 Cruiser Lane, Belgrade, MT 59714. The date of service of notice by mail shall be the date that is three</w:t>
      </w:r>
    </w:p>
    <w:p>
      <w:pPr>
        <w:ind w:left="240" w:hanging="239"/>
        <w:spacing w:after="0"/>
        <w:tabs>
          <w:tab w:leader="none" w:pos="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which such notice is deposited in the U.S. mail.</w:t>
      </w:r>
    </w:p>
    <w:p>
      <w:pPr>
        <w:spacing w:after="0" w:line="191"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HOLDING OVER</w:t>
      </w:r>
      <w:r>
        <w:rPr>
          <w:rFonts w:ascii="Times New Roman" w:cs="Times New Roman" w:eastAsia="Times New Roman" w:hAnsi="Times New Roman"/>
          <w:sz w:val="17"/>
          <w:szCs w:val="17"/>
          <w:color w:val="auto"/>
        </w:rPr>
        <w:t>. Any holding over of this Lease shall be considered to be a month-to-month tenancy rather than a renewal.</w:t>
      </w:r>
    </w:p>
    <w:p>
      <w:pPr>
        <w:spacing w:after="0" w:line="207" w:lineRule="exact"/>
        <w:rPr>
          <w:rFonts w:ascii="Times New Roman" w:cs="Times New Roman" w:eastAsia="Times New Roman" w:hAnsi="Times New Roman"/>
          <w:sz w:val="17"/>
          <w:szCs w:val="17"/>
          <w:color w:val="auto"/>
        </w:rPr>
      </w:pPr>
    </w:p>
    <w:p>
      <w:pPr>
        <w:ind w:firstLine="606"/>
        <w:spacing w:after="0" w:line="274" w:lineRule="auto"/>
        <w:tabs>
          <w:tab w:leader="none" w:pos="857"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EXTERIOR OF PREMISES</w:t>
      </w:r>
      <w:r>
        <w:rPr>
          <w:rFonts w:ascii="Times New Roman" w:cs="Times New Roman" w:eastAsia="Times New Roman" w:hAnsi="Times New Roman"/>
          <w:sz w:val="17"/>
          <w:szCs w:val="17"/>
          <w:color w:val="auto"/>
        </w:rPr>
        <w:t>. Lessee agrees that it will not store, park or leave any junk or damaged vehicle, or vehicle parts of components, outside the building leased hereunder, other than temporarily while waiting for repair. In no event shall such waiting period exceed ten (10) days.</w:t>
      </w:r>
    </w:p>
    <w:p>
      <w:pPr>
        <w:spacing w:after="0" w:line="158"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DUMPSTER</w:t>
      </w:r>
      <w:r>
        <w:rPr>
          <w:rFonts w:ascii="Times New Roman" w:cs="Times New Roman" w:eastAsia="Times New Roman" w:hAnsi="Times New Roman"/>
          <w:sz w:val="17"/>
          <w:szCs w:val="17"/>
          <w:color w:val="auto"/>
        </w:rPr>
        <w:t>. Lessee agrees to pay for dumpster rental cost directly to service provider.</w:t>
      </w:r>
    </w:p>
    <w:p>
      <w:pPr>
        <w:spacing w:after="0" w:line="207" w:lineRule="exact"/>
        <w:rPr>
          <w:rFonts w:ascii="Times New Roman" w:cs="Times New Roman" w:eastAsia="Times New Roman" w:hAnsi="Times New Roman"/>
          <w:sz w:val="17"/>
          <w:szCs w:val="17"/>
          <w:color w:val="auto"/>
        </w:rPr>
      </w:pPr>
    </w:p>
    <w:p>
      <w:pPr>
        <w:ind w:firstLine="606"/>
        <w:spacing w:after="0" w:line="274" w:lineRule="auto"/>
        <w:tabs>
          <w:tab w:leader="none" w:pos="857"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TO EXTEND LEASE</w:t>
      </w:r>
      <w:r>
        <w:rPr>
          <w:rFonts w:ascii="Times New Roman" w:cs="Times New Roman" w:eastAsia="Times New Roman" w:hAnsi="Times New Roman"/>
          <w:sz w:val="17"/>
          <w:szCs w:val="17"/>
          <w:color w:val="auto"/>
        </w:rPr>
        <w:t>. Lessee by giving six (6) months written notice to Lessor shall be able to extend this lease for two (2) additional five (5) year terms. The rent would then increase by the percentage that the consumer price index had increased during the five (5) years preceding.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3" w:name="page134"/>
    <w:bookmarkEnd w:id="133"/>
    <w:p>
      <w:pPr>
        <w:ind w:left="860" w:hanging="254"/>
        <w:spacing w:after="0"/>
        <w:tabs>
          <w:tab w:leader="none" w:pos="8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and inure to the benefit of the successors and assigns of the parties hereto.</w:t>
      </w:r>
    </w:p>
    <w:p>
      <w:pPr>
        <w:spacing w:after="0" w:line="207" w:lineRule="exact"/>
        <w:rPr>
          <w:rFonts w:ascii="Times New Roman" w:cs="Times New Roman" w:eastAsia="Times New Roman" w:hAnsi="Times New Roman"/>
          <w:sz w:val="17"/>
          <w:szCs w:val="17"/>
          <w:color w:val="auto"/>
        </w:rPr>
      </w:pPr>
    </w:p>
    <w:p>
      <w:pPr>
        <w:ind w:firstLine="606"/>
        <w:spacing w:after="0" w:line="274" w:lineRule="auto"/>
        <w:tabs>
          <w:tab w:leader="none" w:pos="857"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If any portion of this lease shall be held to be void or unenforceable, the balance thereof shall nevertheless be effective. This Lease has been made and entered into in the State of Montana and shall be governed by the laws of the State of Montana.</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This Lease Agreement is effective as of the date indicated in the first paragraph of this Lease.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LESSEE</w:t>
            </w:r>
          </w:p>
        </w:tc>
        <w:tc>
          <w:tcPr>
            <w:tcW w:w="1620" w:type="dxa"/>
            <w:vAlign w:val="bottom"/>
          </w:tcPr>
          <w:p>
            <w:pPr>
              <w:spacing w:after="0"/>
              <w:rPr>
                <w:sz w:val="18"/>
                <w:szCs w:val="18"/>
                <w:color w:val="auto"/>
              </w:rPr>
            </w:pPr>
          </w:p>
        </w:tc>
        <w:tc>
          <w:tcPr>
            <w:tcW w:w="51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LESSOR</w:t>
            </w:r>
          </w:p>
        </w:tc>
        <w:tc>
          <w:tcPr>
            <w:tcW w:w="520" w:type="dxa"/>
            <w:vAlign w:val="bottom"/>
          </w:tcPr>
          <w:p>
            <w:pPr>
              <w:spacing w:after="0"/>
              <w:rPr>
                <w:sz w:val="18"/>
                <w:szCs w:val="18"/>
                <w:color w:val="auto"/>
              </w:rPr>
            </w:pPr>
          </w:p>
        </w:tc>
      </w:tr>
      <w:tr>
        <w:trPr>
          <w:trHeight w:val="403"/>
        </w:trPr>
        <w:tc>
          <w:tcPr>
            <w:tcW w:w="39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XTANT MEDICAL, INC.</w:t>
            </w:r>
          </w:p>
        </w:tc>
        <w:tc>
          <w:tcPr>
            <w:tcW w:w="1620" w:type="dxa"/>
            <w:vAlign w:val="bottom"/>
          </w:tcPr>
          <w:p>
            <w:pPr>
              <w:spacing w:after="0"/>
              <w:rPr>
                <w:sz w:val="24"/>
                <w:szCs w:val="24"/>
                <w:color w:val="auto"/>
              </w:rPr>
            </w:pPr>
          </w:p>
        </w:tc>
        <w:tc>
          <w:tcPr>
            <w:tcW w:w="51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MCCLELLAN FARM</w:t>
            </w:r>
          </w:p>
        </w:tc>
        <w:tc>
          <w:tcPr>
            <w:tcW w:w="520" w:type="dxa"/>
            <w:vAlign w:val="bottom"/>
          </w:tcPr>
          <w:p>
            <w:pPr>
              <w:spacing w:after="0"/>
              <w:rPr>
                <w:sz w:val="24"/>
                <w:szCs w:val="24"/>
                <w:color w:val="auto"/>
              </w:rPr>
            </w:pPr>
          </w:p>
        </w:tc>
      </w:tr>
      <w:tr>
        <w:trPr>
          <w:trHeight w:val="403"/>
        </w:trPr>
        <w:tc>
          <w:tcPr>
            <w:tcW w:w="39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Scott Neils</w:t>
            </w:r>
          </w:p>
        </w:tc>
        <w:tc>
          <w:tcPr>
            <w:tcW w:w="1620" w:type="dxa"/>
            <w:vAlign w:val="bottom"/>
          </w:tcPr>
          <w:p>
            <w:pPr>
              <w:spacing w:after="0"/>
              <w:rPr>
                <w:sz w:val="24"/>
                <w:szCs w:val="24"/>
                <w:color w:val="auto"/>
              </w:rPr>
            </w:pPr>
          </w:p>
        </w:tc>
        <w:tc>
          <w:tcPr>
            <w:tcW w:w="51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Jerry W. Thorsen</w:t>
            </w:r>
          </w:p>
        </w:tc>
        <w:tc>
          <w:tcPr>
            <w:tcW w:w="520" w:type="dxa"/>
            <w:vAlign w:val="bottom"/>
          </w:tcPr>
          <w:p>
            <w:pPr>
              <w:spacing w:after="0"/>
              <w:rPr>
                <w:sz w:val="24"/>
                <w:szCs w:val="24"/>
                <w:color w:val="auto"/>
              </w:rPr>
            </w:pPr>
          </w:p>
        </w:tc>
      </w:tr>
      <w:tr>
        <w:trPr>
          <w:trHeight w:val="404"/>
        </w:trPr>
        <w:tc>
          <w:tcPr>
            <w:tcW w:w="11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By:</w:t>
            </w:r>
          </w:p>
        </w:tc>
        <w:tc>
          <w:tcPr>
            <w:tcW w:w="28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 Scott Neils</w:t>
            </w:r>
          </w:p>
        </w:tc>
        <w:tc>
          <w:tcPr>
            <w:tcW w:w="16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gridSpan w:val="2"/>
          </w:tcPr>
          <w:p>
            <w:pPr>
              <w:ind w:left="80"/>
              <w:spacing w:after="0"/>
              <w:rPr>
                <w:sz w:val="20"/>
                <w:szCs w:val="20"/>
                <w:color w:val="auto"/>
              </w:rPr>
            </w:pPr>
            <w:r>
              <w:rPr>
                <w:rFonts w:ascii="Times New Roman" w:cs="Times New Roman" w:eastAsia="Times New Roman" w:hAnsi="Times New Roman"/>
                <w:sz w:val="17"/>
                <w:szCs w:val="17"/>
                <w:i w:val="1"/>
                <w:iCs w:val="1"/>
                <w:color w:val="auto"/>
              </w:rPr>
              <w:t>/s/ Jerry W. Thorsen</w:t>
            </w:r>
          </w:p>
        </w:tc>
        <w:tc>
          <w:tcPr>
            <w:tcW w:w="5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96"/>
        </w:trPr>
        <w:tc>
          <w:tcPr>
            <w:tcW w:w="11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Its:</w:t>
            </w:r>
          </w:p>
        </w:tc>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CFO</w:t>
            </w:r>
          </w:p>
        </w:tc>
        <w:tc>
          <w:tcPr>
            <w:tcW w:w="16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Its:</w:t>
            </w:r>
          </w:p>
        </w:tc>
        <w:tc>
          <w:tcPr>
            <w:tcW w:w="45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President</w:t>
            </w:r>
          </w:p>
        </w:tc>
        <w:tc>
          <w:tcPr>
            <w:tcW w:w="5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96"/>
        </w:trPr>
        <w:tc>
          <w:tcPr>
            <w:tcW w:w="11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Date:</w:t>
            </w:r>
          </w:p>
        </w:tc>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08/12/2025</w:t>
            </w:r>
          </w:p>
        </w:tc>
        <w:tc>
          <w:tcPr>
            <w:tcW w:w="16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Date:</w:t>
            </w:r>
          </w:p>
        </w:tc>
        <w:tc>
          <w:tcPr>
            <w:tcW w:w="45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8-18-2025</w:t>
            </w:r>
          </w:p>
        </w:tc>
        <w:tc>
          <w:tcPr>
            <w:tcW w:w="5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96"/>
        </w:trPr>
        <w:tc>
          <w:tcPr>
            <w:tcW w:w="1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396"/>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7"/>
          <w:szCs w:val="17"/>
          <w:b w:val="1"/>
          <w:bCs w:val="1"/>
          <w:color w:val="auto"/>
        </w:rPr>
        <w:t>Exhibit 10.40</w:t>
      </w:r>
    </w:p>
    <w:p>
      <w:pPr>
        <w:spacing w:after="0" w:line="21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Lease Modification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Lease Modification Agreement (the “Agreement”), made and entered into this</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8 day of September, 2025, by and between Step Does Stuff LLC (the “Landlord”) and Bacterin International, Inc., now known as Xtant Medical, Inc., (the “Tenant”) and is in accordance with and subject to the terms of the Commercial Lease dated October 23, 2015 (the “Lease”) between Step Does Stuff and Xtant Medical,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WITNESSETH:</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Whereas, under the Lease, Landlord leased to Tenant the premises located at 664 Cruiser Lane, Belgrade, MT 59714, as more particularly described in the Lease and on the terms and conditions set out therein, 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 Tenant and Landlord desire to modify and amend the Lease terms and conditions as set forth herein.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 therefore, in consideration of the promises, covenants and agreements hereinafter set out, the parties hereby agree as follows: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Term: Tenant hereby wishes to exercise its Renewal Option as follows: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5-year renewal is hereby implemented that extends the Lease to October 31, 2030 (the “First Five Year Option”).</w:t>
      </w:r>
    </w:p>
    <w:p>
      <w:pPr>
        <w:spacing w:after="0" w:line="208" w:lineRule="exact"/>
        <w:rPr>
          <w:sz w:val="20"/>
          <w:szCs w:val="20"/>
          <w:color w:val="auto"/>
        </w:rPr>
      </w:pPr>
    </w:p>
    <w:p>
      <w:pPr>
        <w:ind w:left="160" w:hanging="159"/>
        <w:spacing w:after="0"/>
        <w:tabs>
          <w:tab w:leader="none" w:pos="1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Rent: The rental cost for the Extended Term shall proceed as proscribed in the Lease.</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7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Force and Effect: Except as expressly modified and amended by this Agreement, all other terms and conditions of the Lease continue and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in duplicate by their duly authorized representatives.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Scott Olsen, Member</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Scott Neils, CFO</w:t>
            </w:r>
          </w:p>
        </w:tc>
      </w:tr>
      <w:tr>
        <w:trPr>
          <w:trHeight w:val="218"/>
        </w:trPr>
        <w:tc>
          <w:tcPr>
            <w:tcW w:w="5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Shep Does Stuff LLC</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Xtant Medical, Inc.</w:t>
            </w:r>
          </w:p>
        </w:tc>
      </w:tr>
      <w:tr>
        <w:trPr>
          <w:trHeight w:val="40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7"/>
                <w:szCs w:val="17"/>
                <w:i w:val="1"/>
                <w:iCs w:val="1"/>
                <w:color w:val="auto"/>
              </w:rPr>
              <w:t>/s/ Scott Olsen</w:t>
            </w:r>
          </w:p>
        </w:tc>
        <w:tc>
          <w:tcPr>
            <w:tcW w:w="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Name:</w:t>
            </w: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Scott Neils</w:t>
            </w:r>
          </w:p>
        </w:tc>
      </w:tr>
      <w:tr>
        <w:trPr>
          <w:trHeight w:val="195"/>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20" w:type="dxa"/>
            <w:vAlign w:val="bottom"/>
          </w:tcPr>
          <w:p>
            <w:pPr>
              <w:spacing w:after="0"/>
              <w:rPr>
                <w:sz w:val="16"/>
                <w:szCs w:val="16"/>
                <w:color w:val="auto"/>
              </w:rPr>
            </w:pPr>
          </w:p>
        </w:tc>
        <w:tc>
          <w:tcPr>
            <w:tcW w:w="4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Sept 25, 2025</w:t>
            </w:r>
          </w:p>
        </w:tc>
        <w:tc>
          <w:tcPr>
            <w:tcW w:w="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Date:</w:t>
            </w:r>
          </w:p>
        </w:tc>
        <w:tc>
          <w:tcPr>
            <w:tcW w:w="4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09/08/2025</w:t>
            </w:r>
          </w:p>
        </w:tc>
      </w:tr>
      <w:tr>
        <w:trPr>
          <w:trHeight w:val="396"/>
        </w:trPr>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7" w:right="339" w:bottom="1440" w:gutter="0" w:footer="0" w:header="0"/>
        </w:sectPr>
      </w:pPr>
    </w:p>
    <w:bookmarkStart w:id="136" w:name="page137"/>
    <w:bookmarkEnd w:id="136"/>
    <w:p>
      <w:pPr>
        <w:ind w:left="9180"/>
        <w:spacing w:after="0"/>
        <w:rPr>
          <w:sz w:val="20"/>
          <w:szCs w:val="20"/>
          <w:color w:val="auto"/>
        </w:rPr>
      </w:pPr>
      <w:r>
        <w:rPr>
          <w:rFonts w:ascii="Times New Roman" w:cs="Times New Roman" w:eastAsia="Times New Roman" w:hAnsi="Times New Roman"/>
          <w:sz w:val="16"/>
          <w:szCs w:val="16"/>
          <w:b w:val="1"/>
          <w:bCs w:val="1"/>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200265" cy="95910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3">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7">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9">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10.42</w:t>
      </w:r>
    </w:p>
    <w:p>
      <w:pPr>
        <w:spacing w:after="0" w:line="208"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AMENDMENT NO. 4 TO AMENDED AND RESTATED CREDIT, SECURITY AND GUARANTY AGREEMENT (TERM LOAN)</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This AMENDMENT NO. 4 TO AMENDED AND RESTATED CREDIT, SECURITY AND GUARANTY AGREEMENT (TERM LOAN)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is made as of March 26, 2026, by and among </w:t>
      </w:r>
      <w:r>
        <w:rPr>
          <w:rFonts w:ascii="Times New Roman" w:cs="Times New Roman" w:eastAsia="Times New Roman" w:hAnsi="Times New Roman"/>
          <w:sz w:val="17"/>
          <w:szCs w:val="17"/>
          <w:b w:val="1"/>
          <w:bCs w:val="1"/>
          <w:color w:val="auto"/>
        </w:rPr>
        <w:t>XTANT MEDICAL, INC.</w:t>
      </w:r>
      <w:r>
        <w:rPr>
          <w:rFonts w:ascii="Times New Roman" w:cs="Times New Roman" w:eastAsia="Times New Roman" w:hAnsi="Times New Roman"/>
          <w:sz w:val="17"/>
          <w:szCs w:val="17"/>
          <w:color w:val="auto"/>
        </w:rPr>
        <w:t>, a Delaware corporation (“</w:t>
      </w:r>
      <w:r>
        <w:rPr>
          <w:rFonts w:ascii="Times New Roman" w:cs="Times New Roman" w:eastAsia="Times New Roman" w:hAnsi="Times New Roman"/>
          <w:sz w:val="17"/>
          <w:szCs w:val="17"/>
          <w:b w:val="1"/>
          <w:bCs w:val="1"/>
          <w:color w:val="auto"/>
        </w:rPr>
        <w:t>Xtant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BACTERIN INTERNATIONAL,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INC.</w:t>
      </w:r>
      <w:r>
        <w:rPr>
          <w:rFonts w:ascii="Times New Roman" w:cs="Times New Roman" w:eastAsia="Times New Roman" w:hAnsi="Times New Roman"/>
          <w:sz w:val="17"/>
          <w:szCs w:val="17"/>
          <w:color w:val="auto"/>
        </w:rPr>
        <w:t>, a Nevada corporation,</w:t>
      </w:r>
      <w:r>
        <w:rPr>
          <w:rFonts w:ascii="Times New Roman" w:cs="Times New Roman" w:eastAsia="Times New Roman" w:hAnsi="Times New Roman"/>
          <w:sz w:val="17"/>
          <w:szCs w:val="17"/>
          <w:b w:val="1"/>
          <w:bCs w:val="1"/>
          <w:color w:val="auto"/>
        </w:rPr>
        <w:t xml:space="preserve"> X-SPINE SYSTEMS, INC.</w:t>
      </w:r>
      <w:r>
        <w:rPr>
          <w:rFonts w:ascii="Times New Roman" w:cs="Times New Roman" w:eastAsia="Times New Roman" w:hAnsi="Times New Roman"/>
          <w:sz w:val="17"/>
          <w:szCs w:val="17"/>
          <w:color w:val="auto"/>
        </w:rPr>
        <w:t>, an Ohio corporation,</w:t>
      </w:r>
      <w:r>
        <w:rPr>
          <w:rFonts w:ascii="Times New Roman" w:cs="Times New Roman" w:eastAsia="Times New Roman" w:hAnsi="Times New Roman"/>
          <w:sz w:val="17"/>
          <w:szCs w:val="17"/>
          <w:b w:val="1"/>
          <w:bCs w:val="1"/>
          <w:color w:val="auto"/>
        </w:rPr>
        <w:t xml:space="preserve"> SURGALIGN SPV, INC.</w:t>
      </w:r>
      <w:r>
        <w:rPr>
          <w:rFonts w:ascii="Times New Roman" w:cs="Times New Roman" w:eastAsia="Times New Roman" w:hAnsi="Times New Roman"/>
          <w:sz w:val="17"/>
          <w:szCs w:val="17"/>
          <w:color w:val="auto"/>
        </w:rPr>
        <w:t>, a Delaware corporation, and any additional borrower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hereafter be added to this Agreement (each individually as a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and collectively with any entities that become party hereto as Borrower and each of their successors and permitted assigns, the “</w:t>
      </w:r>
      <w:r>
        <w:rPr>
          <w:rFonts w:ascii="Times New Roman" w:cs="Times New Roman" w:eastAsia="Times New Roman" w:hAnsi="Times New Roman"/>
          <w:sz w:val="17"/>
          <w:szCs w:val="17"/>
          <w:b w:val="1"/>
          <w:bCs w:val="1"/>
          <w:color w:val="auto"/>
        </w:rPr>
        <w:t>Borrowers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XTANT MEDICAL HOLDINGS, INC.</w:t>
      </w:r>
      <w:r>
        <w:rPr>
          <w:rFonts w:ascii="Times New Roman" w:cs="Times New Roman" w:eastAsia="Times New Roman" w:hAnsi="Times New Roman"/>
          <w:sz w:val="17"/>
          <w:szCs w:val="17"/>
          <w:color w:val="auto"/>
        </w:rPr>
        <w:t>, a Delaware corporation (“</w:t>
      </w:r>
      <w:r>
        <w:rPr>
          <w:rFonts w:ascii="Times New Roman" w:cs="Times New Roman" w:eastAsia="Times New Roman" w:hAnsi="Times New Roman"/>
          <w:sz w:val="17"/>
          <w:szCs w:val="17"/>
          <w:b w:val="1"/>
          <w:bCs w:val="1"/>
          <w:color w:val="auto"/>
        </w:rPr>
        <w:t>Holdings</w:t>
      </w:r>
      <w:r>
        <w:rPr>
          <w:rFonts w:ascii="Times New Roman" w:cs="Times New Roman" w:eastAsia="Times New Roman" w:hAnsi="Times New Roman"/>
          <w:sz w:val="17"/>
          <w:szCs w:val="17"/>
          <w:color w:val="auto"/>
        </w:rPr>
        <w:t xml:space="preserve">”), as a Guarantor, </w:t>
      </w:r>
      <w:r>
        <w:rPr>
          <w:rFonts w:ascii="Times New Roman" w:cs="Times New Roman" w:eastAsia="Times New Roman" w:hAnsi="Times New Roman"/>
          <w:sz w:val="17"/>
          <w:szCs w:val="17"/>
          <w:b w:val="1"/>
          <w:bCs w:val="1"/>
          <w:color w:val="auto"/>
        </w:rPr>
        <w:t>MIDCAP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FINANCIAL TRUST</w:t>
      </w:r>
      <w:r>
        <w:rPr>
          <w:rFonts w:ascii="Times New Roman" w:cs="Times New Roman" w:eastAsia="Times New Roman" w:hAnsi="Times New Roman"/>
          <w:sz w:val="17"/>
          <w:szCs w:val="17"/>
          <w:color w:val="auto"/>
        </w:rPr>
        <w:t>, a Delaware statutory trust, as Agent (in such capacity, together with its successors and assigns,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and the other financial institutions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entities from time to time parties to the Credit Agreement referenced below, each as a Lender.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 Agent, Lenders, and the Credit Parties have entered into that certain Amended and Restated Credit, Security and Guaranty Agreement (Term Loan), dated as of March 7, 2024 (as amended by that certain Amendment No. 1 to Amended and Restated Credit, Security and Guaranty Agreement (Term Loan), dated as of May 14, 2024, that certain Amendment No. 2 to Amended and Restated Credit, Security and Guaranty Agreement (Term Loan), dated as of April 9, 2025, that certain Limited Consent and Amendment No. 3 to Amended and Restated Credit, Security and Guaranty Agreement (Term Loan) and Amendment No. 1 to Pledge Agreement, dated as of July 7, 2025 and as further amended, restated, supplemented or otherwise modified at any time prior to the date hereof, the “</w:t>
      </w:r>
      <w:r>
        <w:rPr>
          <w:rFonts w:ascii="Times New Roman" w:cs="Times New Roman" w:eastAsia="Times New Roman" w:hAnsi="Times New Roman"/>
          <w:sz w:val="17"/>
          <w:szCs w:val="17"/>
          <w:b w:val="1"/>
          <w:bCs w:val="1"/>
          <w:color w:val="auto"/>
        </w:rPr>
        <w:t>Existing A&amp;R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Credit Agreement</w:t>
      </w:r>
      <w:r>
        <w:rPr>
          <w:rFonts w:ascii="Times New Roman" w:cs="Times New Roman" w:eastAsia="Times New Roman" w:hAnsi="Times New Roman"/>
          <w:sz w:val="17"/>
          <w:szCs w:val="17"/>
          <w:color w:val="auto"/>
        </w:rPr>
        <w:t>” and as amended hereby and as it may be further amended, modified, supplemented and restated from time to time, the “</w:t>
      </w:r>
      <w:r>
        <w:rPr>
          <w:rFonts w:ascii="Times New Roman" w:cs="Times New Roman" w:eastAsia="Times New Roman" w:hAnsi="Times New Roman"/>
          <w:sz w:val="17"/>
          <w:szCs w:val="17"/>
          <w:b w:val="1"/>
          <w:bCs w:val="1"/>
          <w:color w:val="auto"/>
        </w:rPr>
        <w:t>Credit Agreement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which the Lenders have agreed to make certain advances of money and to extend certain financial accommodations to Borrowers in the amounts and manner set forth in the Credit Agreement.</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 The Credit Parties have requested, and Agent and Lenders have agreed, on and subject to the terms and conditions set forth in this Agreement, to amend certain provisions of the Existing A&amp;R Credit Agreement, all in accordance with the terms and subject to the conditions set forth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NOW, THEREFORE, in consideration of the foregoing, the terms and conditions set forth in this Agreement, and other good and valuable consideration, the receipt and sufficiency of which are hereby acknowledged, Agent, Lenders and the Credit Parties hereby agree as follows:</w:t>
      </w:r>
    </w:p>
    <w:p>
      <w:pPr>
        <w:spacing w:after="0" w:line="155" w:lineRule="exact"/>
        <w:rPr>
          <w:sz w:val="20"/>
          <w:szCs w:val="20"/>
          <w:color w:val="auto"/>
        </w:rPr>
      </w:pPr>
    </w:p>
    <w:p>
      <w:pPr>
        <w:jc w:val="both"/>
        <w:ind w:firstLine="606"/>
        <w:spacing w:after="0" w:line="258" w:lineRule="auto"/>
        <w:tabs>
          <w:tab w:leader="none" w:pos="77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Recitals</w:t>
      </w:r>
      <w:r>
        <w:rPr>
          <w:rFonts w:ascii="Times New Roman" w:cs="Times New Roman" w:eastAsia="Times New Roman" w:hAnsi="Times New Roman"/>
          <w:sz w:val="17"/>
          <w:szCs w:val="17"/>
          <w:color w:val="auto"/>
        </w:rPr>
        <w:t>. This Agreement shall constitute a Financing Document and the Recitals and each reference to the Credit Agreement, unless otherwise expressly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w:t>
      </w:r>
    </w:p>
    <w:p>
      <w:pPr>
        <w:spacing w:after="0" w:line="168" w:lineRule="exact"/>
        <w:rPr>
          <w:rFonts w:ascii="Times New Roman" w:cs="Times New Roman" w:eastAsia="Times New Roman" w:hAnsi="Times New Roman"/>
          <w:sz w:val="17"/>
          <w:szCs w:val="17"/>
          <w:color w:val="auto"/>
        </w:rPr>
      </w:pPr>
    </w:p>
    <w:p>
      <w:pPr>
        <w:ind w:firstLine="606"/>
        <w:spacing w:after="0" w:line="279" w:lineRule="auto"/>
        <w:tabs>
          <w:tab w:leader="none" w:pos="77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Amendments to Existing A&amp;R Credit Agreement</w:t>
      </w:r>
      <w:r>
        <w:rPr>
          <w:rFonts w:ascii="Times New Roman" w:cs="Times New Roman" w:eastAsia="Times New Roman" w:hAnsi="Times New Roman"/>
          <w:sz w:val="17"/>
          <w:szCs w:val="17"/>
          <w:color w:val="auto"/>
        </w:rPr>
        <w:t>. Subject to the terms and conditions of this Agreement, including, without limitation, the conditions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effectiveness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below, the Existing A&amp;R Credit Agreement is hereby amended as follows:</w:t>
      </w:r>
    </w:p>
    <w:p>
      <w:pPr>
        <w:spacing w:after="0" w:line="154" w:lineRule="exact"/>
        <w:rPr>
          <w:rFonts w:ascii="Times New Roman" w:cs="Times New Roman" w:eastAsia="Times New Roman" w:hAnsi="Times New Roman"/>
          <w:sz w:val="17"/>
          <w:szCs w:val="17"/>
          <w:color w:val="auto"/>
        </w:rPr>
      </w:pPr>
    </w:p>
    <w:p>
      <w:pPr>
        <w:ind w:left="1440" w:hanging="229"/>
        <w:spacing w:after="0"/>
        <w:tabs>
          <w:tab w:leader="none" w:pos="144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 of the Existing Credit Agreement is hereby amended by adding the following new definitions in the appropriate alphabetical order</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276225</wp:posOffset>
            </wp:positionV>
            <wp:extent cx="71412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49" w:name="page150"/>
    <w:bookmarkEnd w:id="149"/>
    <w:p>
      <w:pPr>
        <w:jc w:val="both"/>
        <w:ind w:left="60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Biologics Products</w:t>
      </w:r>
      <w:r>
        <w:rPr>
          <w:rFonts w:ascii="Times New Roman" w:cs="Times New Roman" w:eastAsia="Times New Roman" w:hAnsi="Times New Roman"/>
          <w:sz w:val="17"/>
          <w:szCs w:val="17"/>
          <w:color w:val="auto"/>
        </w:rPr>
        <w:t xml:space="preserve">” means, from time to time, any biologics products currently manufactured, sold, developed, tested or marketed by any Borrower or any of its Subsidiaries, including without limitation, those products identified as “Orthobiologics Products” on </w:t>
      </w:r>
      <w:r>
        <w:rPr>
          <w:rFonts w:ascii="Times New Roman" w:cs="Times New Roman" w:eastAsia="Times New Roman" w:hAnsi="Times New Roman"/>
          <w:sz w:val="17"/>
          <w:szCs w:val="17"/>
          <w:u w:val="single" w:color="auto"/>
          <w:color w:val="auto"/>
        </w:rPr>
        <w:t>Schedule 4.17</w:t>
      </w:r>
      <w:r>
        <w:rPr>
          <w:rFonts w:ascii="Times New Roman" w:cs="Times New Roman" w:eastAsia="Times New Roman" w:hAnsi="Times New Roman"/>
          <w:sz w:val="17"/>
          <w:szCs w:val="17"/>
          <w:color w:val="auto"/>
        </w:rPr>
        <w:t xml:space="preserve"> (as updated from time to time in accordance with Section 4.15).</w:t>
      </w:r>
    </w:p>
    <w:p>
      <w:pPr>
        <w:spacing w:after="0" w:line="1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 The definition of “Net Revenue” in Section 1.1 of the Existing Credit Agreement is amended and restated in its entirety as follows:</w:t>
      </w:r>
    </w:p>
    <w:p>
      <w:pPr>
        <w:spacing w:after="0" w:line="204" w:lineRule="exact"/>
        <w:rPr>
          <w:sz w:val="20"/>
          <w:szCs w:val="20"/>
          <w:color w:val="auto"/>
        </w:rPr>
      </w:pPr>
    </w:p>
    <w:p>
      <w:pPr>
        <w:jc w:val="both"/>
        <w:ind w:left="60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Revenue</w:t>
      </w:r>
      <w:r>
        <w:rPr>
          <w:rFonts w:ascii="Times New Roman" w:cs="Times New Roman" w:eastAsia="Times New Roman" w:hAnsi="Times New Roman"/>
          <w:sz w:val="16"/>
          <w:szCs w:val="16"/>
          <w:color w:val="auto"/>
        </w:rPr>
        <w:t>” means, for any period, (a) the consolidated gross revenues of Borrowers and their Subsidiaries (other than Restricted Foreign Subsidiaries) generated solely through the commercial sale of Biologics Products by Borrowers and such Subsidiaries during such period, less, without duplication, (b)(i) trade, quantity and cash discounts allowed by Borrowers or such Subsidiaries, (ii) discounts, refunds, rebates, charge backs, retroactive price adjustments and any other allowances which effectively reduce net selling price, (iii) product returns and allowances, (iv) allowances for shipping or other distribution expenses, (iv) set-offs and counterclaims, and (v) any other similar and customary deductions used by Borrower in determining net revenues, all, in respect of</w:t>
      </w:r>
    </w:p>
    <w:p>
      <w:pPr>
        <w:spacing w:after="0" w:line="1" w:lineRule="exact"/>
        <w:rPr>
          <w:sz w:val="20"/>
          <w:szCs w:val="20"/>
          <w:color w:val="auto"/>
        </w:rPr>
      </w:pPr>
    </w:p>
    <w:p>
      <w:pPr>
        <w:jc w:val="both"/>
        <w:ind w:left="600" w:firstLine="6"/>
        <w:spacing w:after="0" w:line="251" w:lineRule="auto"/>
        <w:tabs>
          <w:tab w:leader="none" w:pos="82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(b), as determined in accordance with GAAP (as applicable) and in the Ordinary Course of Business. For the avoidance of doubt, in no event shall any Net Revenue attributable to (1) any entity or assets acquired pursuant to or in connection with a Permitted Acquisition or (2) any Restricted Foreign Subsidiary be counted for purposes of determining Borrower’s compliance with the financial covenant set forth in this Section 6.1.</w:t>
      </w:r>
    </w:p>
    <w:p>
      <w:pPr>
        <w:spacing w:after="0" w:line="17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 Section 6.1 of the Existing Credit Agreement is hereby amended and restated in its entirety as follows:</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Minimum Net Revenue</w:t>
      </w:r>
      <w:r>
        <w:rPr>
          <w:rFonts w:ascii="Times New Roman" w:cs="Times New Roman" w:eastAsia="Times New Roman" w:hAnsi="Times New Roman"/>
          <w:sz w:val="17"/>
          <w:szCs w:val="17"/>
          <w:color w:val="auto"/>
        </w:rPr>
        <w:t>. Credit Parties shall not permit its consolidated Net Revenue for any Defined Period (other than the Defined Period ending December 31, 2025), as tested quarterly on the last day of the applicable Defined Period, to be less than the Applicable Minimum Net Revenue Threshold for such Defined Period.”</w:t>
      </w:r>
    </w:p>
    <w:p>
      <w:pPr>
        <w:spacing w:after="0" w:line="169" w:lineRule="exact"/>
        <w:rPr>
          <w:sz w:val="20"/>
          <w:szCs w:val="20"/>
          <w:color w:val="auto"/>
        </w:rPr>
      </w:pPr>
    </w:p>
    <w:p>
      <w:pPr>
        <w:ind w:left="1440" w:hanging="229"/>
        <w:spacing w:after="0"/>
        <w:tabs>
          <w:tab w:leader="none" w:pos="144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Schedule 2.1 attached to the Existing Credit Agreement is hereby replaced by the Schedule 2.1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firstLine="1211"/>
        <w:spacing w:after="0" w:line="274" w:lineRule="auto"/>
        <w:tabs>
          <w:tab w:leader="none" w:pos="1448"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with respect to the listing of Products on Schedule 4.17 to the Existing Credit Agreement, Schedule 4.17 attached to the Existing Credit Agreement is supplemented with the Products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1420" w:hanging="209"/>
        <w:spacing w:after="0"/>
        <w:tabs>
          <w:tab w:leader="none" w:pos="142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Schedule 6.1 attached to the Existing Credit Agreement is hereby replaced by the Schedule 6.1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jc w:val="both"/>
        <w:ind w:firstLine="606"/>
        <w:spacing w:after="0" w:line="252" w:lineRule="auto"/>
        <w:tabs>
          <w:tab w:leader="none" w:pos="77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Representations and Warranties; Reaffirmation of Security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Credit Party hereby confirms that all of the representations and warranties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 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0" w:name="page151"/>
    <w:bookmarkEnd w:id="150"/>
    <w:p>
      <w:pPr>
        <w:ind w:firstLine="606"/>
        <w:spacing w:after="0" w:line="279" w:lineRule="auto"/>
        <w:tabs>
          <w:tab w:leader="none" w:pos="78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Conditions to Effectiveness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become effective as of the date on which each of the following conditions have been satisfied,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Agent in its sole discretion:</w:t>
      </w:r>
    </w:p>
    <w:p>
      <w:pPr>
        <w:spacing w:after="0" w:line="154" w:lineRule="exact"/>
        <w:rPr>
          <w:rFonts w:ascii="Times New Roman" w:cs="Times New Roman" w:eastAsia="Times New Roman" w:hAnsi="Times New Roman"/>
          <w:sz w:val="17"/>
          <w:szCs w:val="17"/>
          <w:color w:val="auto"/>
        </w:rPr>
      </w:pPr>
    </w:p>
    <w:p>
      <w:pPr>
        <w:ind w:firstLine="1211"/>
        <w:spacing w:after="0" w:line="274" w:lineRule="auto"/>
        <w:tabs>
          <w:tab w:leader="none" w:pos="1472"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have received (including by way of facsimile or other electronic transmission) a duly authorized, executed and delivered counterpart of the signature page to this Agreement from each Credit Party, the Agent and the Lenders;</w:t>
      </w:r>
    </w:p>
    <w:p>
      <w:pPr>
        <w:spacing w:after="0" w:line="158" w:lineRule="exact"/>
        <w:rPr>
          <w:rFonts w:ascii="Times New Roman" w:cs="Times New Roman" w:eastAsia="Times New Roman" w:hAnsi="Times New Roman"/>
          <w:sz w:val="17"/>
          <w:szCs w:val="17"/>
          <w:color w:val="auto"/>
        </w:rPr>
      </w:pPr>
    </w:p>
    <w:p>
      <w:pPr>
        <w:ind w:left="1460" w:hanging="249"/>
        <w:spacing w:after="0"/>
        <w:tabs>
          <w:tab w:leader="none" w:pos="146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have received a duly executed copy of Amendment No. 4 to Amended and Restated Credit, Security and Guaranty Agreement</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(Revolving Loan);</w:t>
      </w:r>
    </w:p>
    <w:p>
      <w:pPr>
        <w:spacing w:after="0" w:line="191" w:lineRule="exact"/>
        <w:rPr>
          <w:rFonts w:ascii="Times New Roman" w:cs="Times New Roman" w:eastAsia="Times New Roman" w:hAnsi="Times New Roman"/>
          <w:sz w:val="17"/>
          <w:szCs w:val="17"/>
          <w:color w:val="auto"/>
        </w:rPr>
      </w:pPr>
    </w:p>
    <w:p>
      <w:pPr>
        <w:jc w:val="both"/>
        <w:ind w:firstLine="1211"/>
        <w:spacing w:after="0" w:line="277" w:lineRule="auto"/>
        <w:tabs>
          <w:tab w:leader="none" w:pos="1447"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set forth in the Credit Agreement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Borrower’s delivery of its signature hereto shall be deemed to be its certification thereof); and</w:t>
      </w:r>
    </w:p>
    <w:p>
      <w:pPr>
        <w:spacing w:after="0" w:line="159" w:lineRule="exact"/>
        <w:rPr>
          <w:rFonts w:ascii="Times New Roman" w:cs="Times New Roman" w:eastAsia="Times New Roman" w:hAnsi="Times New Roman"/>
          <w:sz w:val="16"/>
          <w:szCs w:val="16"/>
          <w:color w:val="auto"/>
        </w:rPr>
      </w:pPr>
    </w:p>
    <w:p>
      <w:pPr>
        <w:ind w:left="1440" w:hanging="229"/>
        <w:spacing w:after="0"/>
        <w:tabs>
          <w:tab w:leader="none" w:pos="144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and after giving effect to this Agreement, no Default or Event of Default exists under any of the Financing Documents.</w:t>
      </w:r>
    </w:p>
    <w:p>
      <w:pPr>
        <w:spacing w:after="0" w:line="203" w:lineRule="exact"/>
        <w:rPr>
          <w:rFonts w:ascii="Times New Roman" w:cs="Times New Roman" w:eastAsia="Times New Roman" w:hAnsi="Times New Roman"/>
          <w:sz w:val="17"/>
          <w:szCs w:val="17"/>
          <w:color w:val="auto"/>
        </w:rPr>
      </w:pPr>
    </w:p>
    <w:p>
      <w:pPr>
        <w:ind w:firstLine="606"/>
        <w:spacing w:after="0" w:line="279" w:lineRule="auto"/>
        <w:tabs>
          <w:tab w:leader="none" w:pos="773"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Costs and Fees.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shall be responsible for the payment of all reasonable, documented and invoiced out-of-pocket costs and fees of Agent’s counsel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incurred in connection with the preparation, negotiation, execution and delivery of this Agreement and any related Financing Documents.</w:t>
      </w:r>
    </w:p>
    <w:p>
      <w:pPr>
        <w:spacing w:after="0" w:line="150" w:lineRule="exact"/>
        <w:rPr>
          <w:rFonts w:ascii="Times New Roman" w:cs="Times New Roman" w:eastAsia="Times New Roman" w:hAnsi="Times New Roman"/>
          <w:sz w:val="17"/>
          <w:szCs w:val="17"/>
          <w:color w:val="auto"/>
        </w:rPr>
      </w:pPr>
    </w:p>
    <w:p>
      <w:pPr>
        <w:jc w:val="both"/>
        <w:ind w:firstLine="606"/>
        <w:spacing w:after="0" w:line="250" w:lineRule="auto"/>
        <w:tabs>
          <w:tab w:leader="none" w:pos="79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Release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consideration of the agreements of Agent and Lenders contained herein and for other good and valuable consideration, the receipt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sufficiency of which is hereby acknowledged, Credit Party,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 w:cs="Times New Roman" w:eastAsia="Times New Roman" w:hAnsi="Times New Roman"/>
          <w:sz w:val="17"/>
          <w:szCs w:val="17"/>
          <w:b w:val="1"/>
          <w:bCs w:val="1"/>
          <w:color w:val="auto"/>
        </w:rPr>
        <w:t>Releasing Parties</w:t>
      </w:r>
      <w:r>
        <w:rPr>
          <w:rFonts w:ascii="Times New Roman" w:cs="Times New Roman" w:eastAsia="Times New Roman" w:hAnsi="Times New Roman"/>
          <w:sz w:val="17"/>
          <w:szCs w:val="17"/>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cs="Times New Roman" w:eastAsia="Times New Roman" w:hAnsi="Times New Roman"/>
          <w:sz w:val="17"/>
          <w:szCs w:val="17"/>
          <w:b w:val="1"/>
          <w:bCs w:val="1"/>
          <w:color w:val="auto"/>
        </w:rPr>
        <w:t>Released Parties</w:t>
      </w:r>
      <w:r>
        <w:rPr>
          <w:rFonts w:ascii="Times New Roman" w:cs="Times New Roman" w:eastAsia="Times New Roman" w:hAnsi="Times New Roman"/>
          <w:sz w:val="17"/>
          <w:szCs w:val="17"/>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Each Credit Party acknowledges that the foregoing release is a material inducement to Agent’s and each Lender’s decision to enter into this Agreement and agree to the modifications contemplated hereunder, and has been relied upon by Agent and Lenders in connection therewith.</w:t>
      </w:r>
    </w:p>
    <w:p>
      <w:pPr>
        <w:spacing w:after="0" w:line="180" w:lineRule="exact"/>
        <w:rPr>
          <w:rFonts w:ascii="Times New Roman" w:cs="Times New Roman" w:eastAsia="Times New Roman" w:hAnsi="Times New Roman"/>
          <w:sz w:val="17"/>
          <w:szCs w:val="17"/>
          <w:color w:val="auto"/>
        </w:rPr>
      </w:pPr>
    </w:p>
    <w:p>
      <w:pPr>
        <w:jc w:val="both"/>
        <w:ind w:firstLine="606"/>
        <w:spacing w:after="0" w:line="254" w:lineRule="auto"/>
        <w:tabs>
          <w:tab w:leader="none" w:pos="773"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Waiver or Novation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execution, delivery and effectiveness of this Agreement shall not, except as expressly provided in this Agreement, operate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1" w:name="page152"/>
    <w:bookmarkEnd w:id="151"/>
    <w:p>
      <w:pPr>
        <w:jc w:val="both"/>
        <w:ind w:firstLine="606"/>
        <w:spacing w:after="0" w:line="255" w:lineRule="auto"/>
        <w:tabs>
          <w:tab w:leader="none" w:pos="773"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Affirmation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specifically amended pursuant to the terms hereof, each Credit Party hereby acknowledges and agrees that the Credit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71" w:lineRule="exact"/>
        <w:rPr>
          <w:rFonts w:ascii="Times New Roman" w:cs="Times New Roman" w:eastAsia="Times New Roman" w:hAnsi="Times New Roman"/>
          <w:sz w:val="17"/>
          <w:szCs w:val="17"/>
          <w:color w:val="auto"/>
        </w:rPr>
      </w:pPr>
    </w:p>
    <w:p>
      <w:pPr>
        <w:ind w:left="780" w:hanging="174"/>
        <w:spacing w:after="0"/>
        <w:tabs>
          <w:tab w:leader="none" w:pos="7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b w:val="1"/>
          <w:bCs w:val="1"/>
          <w:color w:val="auto"/>
        </w:rPr>
        <w:t>.</w:t>
      </w:r>
    </w:p>
    <w:p>
      <w:pPr>
        <w:spacing w:after="0" w:line="211" w:lineRule="exact"/>
        <w:rPr>
          <w:rFonts w:ascii="Times New Roman" w:cs="Times New Roman" w:eastAsia="Times New Roman" w:hAnsi="Times New Roman"/>
          <w:sz w:val="17"/>
          <w:szCs w:val="17"/>
          <w:color w:val="auto"/>
        </w:rPr>
      </w:pPr>
    </w:p>
    <w:p>
      <w:pPr>
        <w:jc w:val="both"/>
        <w:ind w:firstLine="1211"/>
        <w:spacing w:after="0" w:line="256" w:lineRule="auto"/>
        <w:tabs>
          <w:tab w:leader="none" w:pos="1451"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Reference to the Effect on the Credit Agreement</w:t>
      </w:r>
      <w:r>
        <w:rPr>
          <w:rFonts w:ascii="Times New Roman" w:cs="Times New Roman" w:eastAsia="Times New Roman" w:hAnsi="Times New Roman"/>
          <w:sz w:val="17"/>
          <w:szCs w:val="17"/>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spacing w:after="0" w:line="174" w:lineRule="exact"/>
        <w:rPr>
          <w:rFonts w:ascii="Times New Roman" w:cs="Times New Roman" w:eastAsia="Times New Roman" w:hAnsi="Times New Roman"/>
          <w:sz w:val="17"/>
          <w:szCs w:val="17"/>
          <w:color w:val="auto"/>
        </w:rPr>
      </w:pPr>
    </w:p>
    <w:p>
      <w:pPr>
        <w:jc w:val="both"/>
        <w:ind w:firstLine="1211"/>
        <w:spacing w:after="0" w:line="261" w:lineRule="auto"/>
        <w:tabs>
          <w:tab w:leader="none" w:pos="1448"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spacing w:after="0" w:line="169" w:lineRule="exact"/>
        <w:rPr>
          <w:rFonts w:ascii="Times New Roman" w:cs="Times New Roman" w:eastAsia="Times New Roman" w:hAnsi="Times New Roman"/>
          <w:sz w:val="17"/>
          <w:szCs w:val="17"/>
          <w:color w:val="auto"/>
        </w:rPr>
      </w:pPr>
    </w:p>
    <w:p>
      <w:pPr>
        <w:jc w:val="both"/>
        <w:ind w:firstLine="1211"/>
        <w:spacing w:after="0" w:line="261" w:lineRule="auto"/>
        <w:tabs>
          <w:tab w:leader="none" w:pos="1464"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of Credit Agreement Provisions</w:t>
      </w:r>
      <w:r>
        <w:rPr>
          <w:rFonts w:ascii="Times New Roman" w:cs="Times New Roman" w:eastAsia="Times New Roman" w:hAnsi="Times New Roman"/>
          <w:sz w:val="17"/>
          <w:szCs w:val="17"/>
          <w:color w:val="auto"/>
        </w:rPr>
        <w:t xml:space="preserve">. The provisions contained in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 xml:space="preserve"> (Indemnification), </w:t>
      </w:r>
      <w:r>
        <w:rPr>
          <w:rFonts w:ascii="Times New Roman" w:cs="Times New Roman" w:eastAsia="Times New Roman" w:hAnsi="Times New Roman"/>
          <w:sz w:val="17"/>
          <w:szCs w:val="17"/>
          <w:u w:val="single" w:color="auto"/>
          <w:color w:val="auto"/>
        </w:rPr>
        <w:t>Section 13.8(b)</w:t>
      </w:r>
      <w:r>
        <w:rPr>
          <w:rFonts w:ascii="Times New Roman" w:cs="Times New Roman" w:eastAsia="Times New Roman" w:hAnsi="Times New Roman"/>
          <w:sz w:val="17"/>
          <w:szCs w:val="17"/>
          <w:color w:val="auto"/>
        </w:rPr>
        <w:t xml:space="preserve"> (Submission to Jurisdiction) and </w:t>
      </w:r>
      <w:r>
        <w:rPr>
          <w:rFonts w:ascii="Times New Roman" w:cs="Times New Roman" w:eastAsia="Times New Roman" w:hAnsi="Times New Roman"/>
          <w:sz w:val="17"/>
          <w:szCs w:val="17"/>
          <w:u w:val="single" w:color="auto"/>
          <w:color w:val="auto"/>
        </w:rPr>
        <w:t>Section 13.9</w:t>
      </w:r>
      <w:r>
        <w:rPr>
          <w:rFonts w:ascii="Times New Roman" w:cs="Times New Roman" w:eastAsia="Times New Roman" w:hAnsi="Times New Roman"/>
          <w:sz w:val="17"/>
          <w:szCs w:val="17"/>
          <w:color w:val="auto"/>
        </w:rPr>
        <w:t xml:space="preserve"> (Waiver of Jury Trial) of the Credit Agreement are incorporated herein by reference to the same extent as if reproduced herein in their entirety.</w:t>
      </w:r>
    </w:p>
    <w:p>
      <w:pPr>
        <w:spacing w:after="0" w:line="169" w:lineRule="exact"/>
        <w:rPr>
          <w:rFonts w:ascii="Times New Roman" w:cs="Times New Roman" w:eastAsia="Times New Roman" w:hAnsi="Times New Roman"/>
          <w:sz w:val="17"/>
          <w:szCs w:val="17"/>
          <w:color w:val="auto"/>
        </w:rPr>
      </w:pPr>
    </w:p>
    <w:p>
      <w:pPr>
        <w:ind w:left="1440" w:hanging="229"/>
        <w:spacing w:after="0"/>
        <w:tabs>
          <w:tab w:leader="none" w:pos="144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Section headings in this Agreement are included for convenience of reference only and shall not constitute a part of this Agreement for</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any other purpose.</w:t>
      </w:r>
    </w:p>
    <w:p>
      <w:pPr>
        <w:spacing w:after="0" w:line="191" w:lineRule="exact"/>
        <w:rPr>
          <w:rFonts w:ascii="Times New Roman" w:cs="Times New Roman" w:eastAsia="Times New Roman" w:hAnsi="Times New Roman"/>
          <w:sz w:val="16"/>
          <w:szCs w:val="16"/>
          <w:color w:val="auto"/>
        </w:rPr>
      </w:pPr>
    </w:p>
    <w:p>
      <w:pPr>
        <w:jc w:val="both"/>
        <w:ind w:firstLine="1211"/>
        <w:spacing w:after="0" w:line="251" w:lineRule="auto"/>
        <w:tabs>
          <w:tab w:leader="none" w:pos="1439"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signed in any number of counterparts, each of which shall be deemed an original and all of which when taken together shall constitute one and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17"/>
          <w:szCs w:val="17"/>
          <w:b w:val="1"/>
          <w:bCs w:val="1"/>
          <w:color w:val="auto"/>
        </w:rPr>
        <w:t>Electronic Signature</w:t>
      </w:r>
      <w:r>
        <w:rPr>
          <w:rFonts w:ascii="Times New Roman" w:cs="Times New Roman" w:eastAsia="Times New Roman" w:hAnsi="Times New Roman"/>
          <w:sz w:val="17"/>
          <w:szCs w:val="17"/>
          <w:color w:val="auto"/>
        </w:rPr>
        <w:t>” means an electronic sound, symbol, or process attached to, or associated with, a contract or other record and adopted by a Person with the intent to sign, authenticate or accept such contract or other record.</w:t>
      </w:r>
    </w:p>
    <w:p>
      <w:pPr>
        <w:spacing w:after="0" w:line="177" w:lineRule="exact"/>
        <w:rPr>
          <w:rFonts w:ascii="Times New Roman" w:cs="Times New Roman" w:eastAsia="Times New Roman" w:hAnsi="Times New Roman"/>
          <w:sz w:val="17"/>
          <w:szCs w:val="17"/>
          <w:color w:val="auto"/>
        </w:rPr>
      </w:pPr>
    </w:p>
    <w:p>
      <w:pPr>
        <w:ind w:firstLine="1211"/>
        <w:spacing w:after="0" w:line="274" w:lineRule="auto"/>
        <w:tabs>
          <w:tab w:leader="none" w:pos="142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constitutes the entire agreement and understanding among the parties hereto and supersedes any and all prior agreements and understandings, oral or written, relating to the subject matter hereof.</w:t>
      </w:r>
    </w:p>
    <w:p>
      <w:pPr>
        <w:spacing w:after="0" w:line="158" w:lineRule="exact"/>
        <w:rPr>
          <w:rFonts w:ascii="Times New Roman" w:cs="Times New Roman" w:eastAsia="Times New Roman" w:hAnsi="Times New Roman"/>
          <w:sz w:val="17"/>
          <w:szCs w:val="17"/>
          <w:color w:val="auto"/>
        </w:rPr>
      </w:pPr>
    </w:p>
    <w:p>
      <w:pPr>
        <w:jc w:val="both"/>
        <w:ind w:firstLine="1211"/>
        <w:spacing w:after="0" w:line="261" w:lineRule="auto"/>
        <w:tabs>
          <w:tab w:leader="none" w:pos="1448"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69" w:lineRule="exact"/>
        <w:rPr>
          <w:rFonts w:ascii="Times New Roman" w:cs="Times New Roman" w:eastAsia="Times New Roman" w:hAnsi="Times New Roman"/>
          <w:sz w:val="17"/>
          <w:szCs w:val="17"/>
          <w:color w:val="auto"/>
        </w:rPr>
      </w:pPr>
    </w:p>
    <w:p>
      <w:pPr>
        <w:ind w:firstLine="1211"/>
        <w:spacing w:after="0" w:line="274" w:lineRule="auto"/>
        <w:tabs>
          <w:tab w:leader="none" w:pos="1461"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Successors/Assigns</w:t>
      </w:r>
      <w:r>
        <w:rPr>
          <w:rFonts w:ascii="Times New Roman" w:cs="Times New Roman" w:eastAsia="Times New Roman" w:hAnsi="Times New Roman"/>
          <w:sz w:val="17"/>
          <w:szCs w:val="17"/>
          <w:color w:val="auto"/>
        </w:rPr>
        <w:t>. This Agreement shall bind, and the rights hereunder shall inure to, the respective successors and assigns of the parties hereto, subject to the provisions of the Credit Agreement and the other Financing Documents.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[SIGNATURES APPEAR ON FOLLOWING PAGES]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2" w:name="page153"/>
    <w:bookmarkEnd w:id="152"/>
    <w:p>
      <w:pPr>
        <w:ind w:left="600"/>
        <w:spacing w:after="0"/>
        <w:rPr>
          <w:sz w:val="20"/>
          <w:szCs w:val="20"/>
          <w:color w:val="auto"/>
        </w:rPr>
      </w:pPr>
      <w:r>
        <w:rPr>
          <w:rFonts w:ascii="Times New Roman" w:cs="Times New Roman" w:eastAsia="Times New Roman" w:hAnsi="Times New Roman"/>
          <w:sz w:val="17"/>
          <w:szCs w:val="17"/>
          <w:color w:val="auto"/>
        </w:rPr>
        <w:t>IN WITNESS WHEREOF, intending to be legally bound, the undersigned have executed this Agreement as of the day and year first hereinabove set forth.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AGENT:</w:t>
            </w:r>
          </w:p>
        </w:tc>
        <w:tc>
          <w:tcPr>
            <w:tcW w:w="8100" w:type="dxa"/>
            <w:vAlign w:val="bottom"/>
            <w:gridSpan w:val="2"/>
          </w:tcPr>
          <w:p>
            <w:pPr>
              <w:ind w:left="2500"/>
              <w:spacing w:after="0"/>
              <w:rPr>
                <w:sz w:val="20"/>
                <w:szCs w:val="20"/>
                <w:color w:val="auto"/>
              </w:rPr>
            </w:pPr>
            <w:r>
              <w:rPr>
                <w:rFonts w:ascii="Times New Roman" w:cs="Times New Roman" w:eastAsia="Times New Roman" w:hAnsi="Times New Roman"/>
                <w:sz w:val="17"/>
                <w:szCs w:val="17"/>
                <w:b w:val="1"/>
                <w:bCs w:val="1"/>
                <w:color w:val="auto"/>
              </w:rPr>
              <w:t>MIDCAP FINANCIAL TRUST,</w:t>
            </w:r>
          </w:p>
        </w:tc>
      </w:tr>
      <w:tr>
        <w:trPr>
          <w:trHeight w:val="218"/>
        </w:trPr>
        <w:tc>
          <w:tcPr>
            <w:tcW w:w="3140" w:type="dxa"/>
            <w:vAlign w:val="bottom"/>
          </w:tcPr>
          <w:p>
            <w:pPr>
              <w:spacing w:after="0"/>
              <w:rPr>
                <w:sz w:val="18"/>
                <w:szCs w:val="18"/>
                <w:color w:val="auto"/>
              </w:rPr>
            </w:pPr>
          </w:p>
        </w:tc>
        <w:tc>
          <w:tcPr>
            <w:tcW w:w="8100" w:type="dxa"/>
            <w:vAlign w:val="bottom"/>
            <w:gridSpan w:val="2"/>
          </w:tcPr>
          <w:p>
            <w:pPr>
              <w:ind w:left="2500"/>
              <w:spacing w:after="0"/>
              <w:rPr>
                <w:sz w:val="20"/>
                <w:szCs w:val="20"/>
                <w:color w:val="auto"/>
              </w:rPr>
            </w:pPr>
            <w:r>
              <w:rPr>
                <w:rFonts w:ascii="Times New Roman" w:cs="Times New Roman" w:eastAsia="Times New Roman" w:hAnsi="Times New Roman"/>
                <w:sz w:val="17"/>
                <w:szCs w:val="17"/>
                <w:color w:val="auto"/>
              </w:rPr>
              <w:t>as Agent</w:t>
            </w:r>
          </w:p>
        </w:tc>
      </w:tr>
      <w:tr>
        <w:trPr>
          <w:trHeight w:val="403"/>
        </w:trPr>
        <w:tc>
          <w:tcPr>
            <w:tcW w:w="3140" w:type="dxa"/>
            <w:vAlign w:val="bottom"/>
          </w:tcPr>
          <w:p>
            <w:pPr>
              <w:spacing w:after="0"/>
              <w:rPr>
                <w:sz w:val="24"/>
                <w:szCs w:val="24"/>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L.P., its investment manager</w:t>
            </w:r>
          </w:p>
        </w:tc>
      </w:tr>
      <w:tr>
        <w:trPr>
          <w:trHeight w:val="403"/>
        </w:trPr>
        <w:tc>
          <w:tcPr>
            <w:tcW w:w="3140" w:type="dxa"/>
            <w:vAlign w:val="bottom"/>
          </w:tcPr>
          <w:p>
            <w:pPr>
              <w:spacing w:after="0"/>
              <w:rPr>
                <w:sz w:val="24"/>
                <w:szCs w:val="24"/>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GP, LLC, its general partner</w:t>
            </w:r>
          </w:p>
        </w:tc>
      </w:tr>
      <w:tr>
        <w:trPr>
          <w:trHeight w:val="403"/>
        </w:trPr>
        <w:tc>
          <w:tcPr>
            <w:tcW w:w="3140" w:type="dxa"/>
            <w:vAlign w:val="bottom"/>
          </w:tcPr>
          <w:p>
            <w:pPr>
              <w:spacing w:after="0"/>
              <w:rPr>
                <w:sz w:val="24"/>
                <w:szCs w:val="24"/>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Maurice Amsellem</w:t>
            </w:r>
          </w:p>
        </w:tc>
      </w:tr>
      <w:tr>
        <w:trPr>
          <w:trHeight w:val="178"/>
        </w:trPr>
        <w:tc>
          <w:tcPr>
            <w:tcW w:w="3140" w:type="dxa"/>
            <w:vAlign w:val="bottom"/>
          </w:tcPr>
          <w:p>
            <w:pPr>
              <w:spacing w:after="0"/>
              <w:rPr>
                <w:sz w:val="15"/>
                <w:szCs w:val="15"/>
                <w:color w:val="auto"/>
              </w:rPr>
            </w:pPr>
          </w:p>
        </w:tc>
        <w:tc>
          <w:tcPr>
            <w:tcW w:w="3060" w:type="dxa"/>
            <w:vAlign w:val="bottom"/>
          </w:tcPr>
          <w:p>
            <w:pPr>
              <w:ind w:left="250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Maurice Amsellem</w:t>
            </w:r>
          </w:p>
        </w:tc>
      </w:tr>
      <w:tr>
        <w:trPr>
          <w:trHeight w:val="218"/>
        </w:trPr>
        <w:tc>
          <w:tcPr>
            <w:tcW w:w="3140" w:type="dxa"/>
            <w:vAlign w:val="bottom"/>
          </w:tcPr>
          <w:p>
            <w:pPr>
              <w:spacing w:after="0"/>
              <w:rPr>
                <w:sz w:val="18"/>
                <w:szCs w:val="18"/>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[Signatures Continue on Following Page]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6"/>
        </w:trPr>
        <w:tc>
          <w:tcPr>
            <w:tcW w:w="3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8040" w:type="dxa"/>
            <w:vAlign w:val="bottom"/>
            <w:gridSpan w:val="2"/>
          </w:tcPr>
          <w:p>
            <w:pPr>
              <w:ind w:left="2440"/>
              <w:spacing w:after="0"/>
              <w:rPr>
                <w:sz w:val="20"/>
                <w:szCs w:val="20"/>
                <w:color w:val="auto"/>
              </w:rPr>
            </w:pPr>
            <w:r>
              <w:rPr>
                <w:rFonts w:ascii="Times New Roman" w:cs="Times New Roman" w:eastAsia="Times New Roman" w:hAnsi="Times New Roman"/>
                <w:sz w:val="17"/>
                <w:szCs w:val="17"/>
                <w:b w:val="1"/>
                <w:bCs w:val="1"/>
                <w:color w:val="auto"/>
              </w:rPr>
              <w:t>APOLLO ALSTER LENDING FUND (LUX) SCSp,</w:t>
            </w:r>
          </w:p>
        </w:tc>
      </w:tr>
      <w:tr>
        <w:trPr>
          <w:trHeight w:val="202"/>
        </w:trPr>
        <w:tc>
          <w:tcPr>
            <w:tcW w:w="3200" w:type="dxa"/>
            <w:vAlign w:val="bottom"/>
          </w:tcPr>
          <w:p>
            <w:pPr>
              <w:spacing w:after="0"/>
              <w:rPr>
                <w:sz w:val="17"/>
                <w:szCs w:val="17"/>
                <w:color w:val="auto"/>
              </w:rPr>
            </w:pPr>
          </w:p>
        </w:tc>
        <w:tc>
          <w:tcPr>
            <w:tcW w:w="8040" w:type="dxa"/>
            <w:vAlign w:val="bottom"/>
            <w:gridSpan w:val="2"/>
          </w:tcPr>
          <w:p>
            <w:pPr>
              <w:ind w:left="2440"/>
              <w:spacing w:after="0"/>
              <w:rPr>
                <w:sz w:val="20"/>
                <w:szCs w:val="20"/>
                <w:color w:val="auto"/>
              </w:rPr>
            </w:pPr>
            <w:r>
              <w:rPr>
                <w:rFonts w:ascii="Times New Roman" w:cs="Times New Roman" w:eastAsia="Times New Roman" w:hAnsi="Times New Roman"/>
                <w:sz w:val="17"/>
                <w:szCs w:val="17"/>
                <w:color w:val="auto"/>
              </w:rPr>
              <w:t>an alternative investment fund in the form of a Luxembourg special limited</w:t>
            </w:r>
          </w:p>
        </w:tc>
      </w:tr>
      <w:tr>
        <w:trPr>
          <w:trHeight w:val="202"/>
        </w:trPr>
        <w:tc>
          <w:tcPr>
            <w:tcW w:w="3200" w:type="dxa"/>
            <w:vAlign w:val="bottom"/>
          </w:tcPr>
          <w:p>
            <w:pPr>
              <w:spacing w:after="0"/>
              <w:rPr>
                <w:sz w:val="17"/>
                <w:szCs w:val="17"/>
                <w:color w:val="auto"/>
              </w:rPr>
            </w:pPr>
          </w:p>
        </w:tc>
        <w:tc>
          <w:tcPr>
            <w:tcW w:w="8040" w:type="dxa"/>
            <w:vAlign w:val="bottom"/>
            <w:gridSpan w:val="2"/>
          </w:tcPr>
          <w:p>
            <w:pPr>
              <w:ind w:left="2440"/>
              <w:spacing w:after="0"/>
              <w:rPr>
                <w:sz w:val="20"/>
                <w:szCs w:val="20"/>
                <w:color w:val="auto"/>
              </w:rPr>
            </w:pPr>
            <w:r>
              <w:rPr>
                <w:rFonts w:ascii="Times New Roman" w:cs="Times New Roman" w:eastAsia="Times New Roman" w:hAnsi="Times New Roman"/>
                <w:sz w:val="17"/>
                <w:szCs w:val="17"/>
                <w:color w:val="auto"/>
                <w:w w:val="99"/>
              </w:rPr>
              <w:t>partnership (societe en commandite speciale), acting through its managing general</w:t>
            </w:r>
          </w:p>
        </w:tc>
      </w:tr>
      <w:tr>
        <w:trPr>
          <w:trHeight w:val="202"/>
        </w:trPr>
        <w:tc>
          <w:tcPr>
            <w:tcW w:w="3200" w:type="dxa"/>
            <w:vAlign w:val="bottom"/>
          </w:tcPr>
          <w:p>
            <w:pPr>
              <w:spacing w:after="0"/>
              <w:rPr>
                <w:sz w:val="17"/>
                <w:szCs w:val="17"/>
                <w:color w:val="auto"/>
              </w:rPr>
            </w:pPr>
          </w:p>
        </w:tc>
        <w:tc>
          <w:tcPr>
            <w:tcW w:w="8040" w:type="dxa"/>
            <w:vAlign w:val="bottom"/>
            <w:gridSpan w:val="2"/>
          </w:tcPr>
          <w:p>
            <w:pPr>
              <w:ind w:left="2440"/>
              <w:spacing w:after="0"/>
              <w:rPr>
                <w:sz w:val="20"/>
                <w:szCs w:val="20"/>
                <w:color w:val="auto"/>
              </w:rPr>
            </w:pPr>
            <w:r>
              <w:rPr>
                <w:rFonts w:ascii="Times New Roman" w:cs="Times New Roman" w:eastAsia="Times New Roman" w:hAnsi="Times New Roman"/>
                <w:sz w:val="17"/>
                <w:szCs w:val="17"/>
                <w:color w:val="auto"/>
              </w:rPr>
              <w:t>partner Alster Lending GP (Lux) S.ar.l. and represented by its delegate portfolio</w:t>
            </w:r>
          </w:p>
        </w:tc>
      </w:tr>
      <w:tr>
        <w:trPr>
          <w:trHeight w:val="218"/>
        </w:trPr>
        <w:tc>
          <w:tcPr>
            <w:tcW w:w="3200" w:type="dxa"/>
            <w:vAlign w:val="bottom"/>
          </w:tcPr>
          <w:p>
            <w:pPr>
              <w:spacing w:after="0"/>
              <w:rPr>
                <w:sz w:val="18"/>
                <w:szCs w:val="18"/>
                <w:color w:val="auto"/>
              </w:rPr>
            </w:pPr>
          </w:p>
        </w:tc>
        <w:tc>
          <w:tcPr>
            <w:tcW w:w="8040" w:type="dxa"/>
            <w:vAlign w:val="bottom"/>
            <w:gridSpan w:val="2"/>
          </w:tcPr>
          <w:p>
            <w:pPr>
              <w:ind w:left="2440"/>
              <w:spacing w:after="0"/>
              <w:rPr>
                <w:sz w:val="20"/>
                <w:szCs w:val="20"/>
                <w:color w:val="auto"/>
              </w:rPr>
            </w:pPr>
            <w:r>
              <w:rPr>
                <w:rFonts w:ascii="Times New Roman" w:cs="Times New Roman" w:eastAsia="Times New Roman" w:hAnsi="Times New Roman"/>
                <w:sz w:val="17"/>
                <w:szCs w:val="17"/>
                <w:color w:val="auto"/>
              </w:rPr>
              <w:t>manager Apollo Alster Management, LLC</w:t>
            </w:r>
          </w:p>
        </w:tc>
      </w:tr>
      <w:tr>
        <w:trPr>
          <w:trHeight w:val="403"/>
        </w:trPr>
        <w:tc>
          <w:tcPr>
            <w:tcW w:w="320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Alster Management, LLC, acting through its sole member</w:t>
            </w:r>
          </w:p>
        </w:tc>
      </w:tr>
      <w:tr>
        <w:trPr>
          <w:trHeight w:val="403"/>
        </w:trPr>
        <w:tc>
          <w:tcPr>
            <w:tcW w:w="320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L.P., acting through its general partner</w:t>
            </w:r>
          </w:p>
        </w:tc>
      </w:tr>
      <w:tr>
        <w:trPr>
          <w:trHeight w:val="403"/>
        </w:trPr>
        <w:tc>
          <w:tcPr>
            <w:tcW w:w="320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GP, LLC</w:t>
            </w:r>
          </w:p>
        </w:tc>
      </w:tr>
      <w:tr>
        <w:trPr>
          <w:trHeight w:val="403"/>
        </w:trPr>
        <w:tc>
          <w:tcPr>
            <w:tcW w:w="320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William Kuesel</w:t>
            </w:r>
          </w:p>
        </w:tc>
      </w:tr>
      <w:tr>
        <w:trPr>
          <w:trHeight w:val="178"/>
        </w:trPr>
        <w:tc>
          <w:tcPr>
            <w:tcW w:w="3200" w:type="dxa"/>
            <w:vAlign w:val="bottom"/>
          </w:tcPr>
          <w:p>
            <w:pPr>
              <w:spacing w:after="0"/>
              <w:rPr>
                <w:sz w:val="15"/>
                <w:szCs w:val="15"/>
                <w:color w:val="auto"/>
              </w:rPr>
            </w:pPr>
          </w:p>
        </w:tc>
        <w:tc>
          <w:tcPr>
            <w:tcW w:w="3000" w:type="dxa"/>
            <w:vAlign w:val="bottom"/>
          </w:tcPr>
          <w:p>
            <w:pPr>
              <w:ind w:left="244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William Kuesel</w:t>
            </w:r>
          </w:p>
        </w:tc>
      </w:tr>
      <w:tr>
        <w:trPr>
          <w:trHeight w:val="218"/>
        </w:trPr>
        <w:tc>
          <w:tcPr>
            <w:tcW w:w="320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[Signatures Continue on Following Page]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22"/>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7"/>
                <w:szCs w:val="17"/>
                <w:b w:val="1"/>
                <w:bCs w:val="1"/>
                <w:color w:val="auto"/>
              </w:rPr>
              <w:t>MIDCAP FUNDING XIII TRUST</w:t>
            </w:r>
          </w:p>
        </w:tc>
      </w:tr>
      <w:tr>
        <w:trPr>
          <w:trHeight w:val="403"/>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L.P., its investment manager</w:t>
            </w:r>
          </w:p>
        </w:tc>
      </w:tr>
      <w:tr>
        <w:trPr>
          <w:trHeight w:val="403"/>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GP, LLC, its general partner</w:t>
            </w:r>
          </w:p>
        </w:tc>
      </w:tr>
      <w:tr>
        <w:trPr>
          <w:trHeight w:val="403"/>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Maurice Amsellem</w:t>
            </w:r>
          </w:p>
        </w:tc>
      </w:tr>
      <w:tr>
        <w:trPr>
          <w:trHeight w:val="178"/>
        </w:trPr>
        <w:tc>
          <w:tcPr>
            <w:tcW w:w="3160" w:type="dxa"/>
            <w:vAlign w:val="bottom"/>
          </w:tcPr>
          <w:p>
            <w:pPr>
              <w:spacing w:after="0"/>
              <w:rPr>
                <w:sz w:val="15"/>
                <w:szCs w:val="15"/>
                <w:color w:val="auto"/>
              </w:rPr>
            </w:pPr>
          </w:p>
        </w:tc>
        <w:tc>
          <w:tcPr>
            <w:tcW w:w="3040" w:type="dxa"/>
            <w:vAlign w:val="bottom"/>
          </w:tcPr>
          <w:p>
            <w:pPr>
              <w:ind w:left="248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Maurice Amsellem</w:t>
            </w:r>
          </w:p>
        </w:tc>
      </w:tr>
      <w:tr>
        <w:trPr>
          <w:trHeight w:val="218"/>
        </w:trPr>
        <w:tc>
          <w:tcPr>
            <w:tcW w:w="3160" w:type="dxa"/>
            <w:vAlign w:val="bottom"/>
          </w:tcPr>
          <w:p>
            <w:pPr>
              <w:spacing w:after="0"/>
              <w:rPr>
                <w:sz w:val="18"/>
                <w:szCs w:val="18"/>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Signatory</w:t>
            </w:r>
          </w:p>
        </w:tc>
      </w:tr>
      <w:tr>
        <w:trPr>
          <w:trHeight w:val="403"/>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7"/>
                <w:szCs w:val="17"/>
                <w:b w:val="1"/>
                <w:bCs w:val="1"/>
                <w:color w:val="auto"/>
              </w:rPr>
              <w:t>MIDCAP FINANCIAL TRUST</w:t>
            </w:r>
          </w:p>
        </w:tc>
      </w:tr>
      <w:tr>
        <w:trPr>
          <w:trHeight w:val="403"/>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L.P., its investment manager</w:t>
            </w:r>
          </w:p>
        </w:tc>
      </w:tr>
      <w:tr>
        <w:trPr>
          <w:trHeight w:val="403"/>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GP, LLC, its general partner</w:t>
            </w:r>
          </w:p>
        </w:tc>
      </w:tr>
      <w:tr>
        <w:trPr>
          <w:trHeight w:val="403"/>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Maurice Amsellem</w:t>
            </w:r>
          </w:p>
        </w:tc>
      </w:tr>
      <w:tr>
        <w:trPr>
          <w:trHeight w:val="178"/>
        </w:trPr>
        <w:tc>
          <w:tcPr>
            <w:tcW w:w="3160" w:type="dxa"/>
            <w:vAlign w:val="bottom"/>
          </w:tcPr>
          <w:p>
            <w:pPr>
              <w:spacing w:after="0"/>
              <w:rPr>
                <w:sz w:val="15"/>
                <w:szCs w:val="15"/>
                <w:color w:val="auto"/>
              </w:rPr>
            </w:pPr>
          </w:p>
        </w:tc>
        <w:tc>
          <w:tcPr>
            <w:tcW w:w="3040" w:type="dxa"/>
            <w:vAlign w:val="bottom"/>
          </w:tcPr>
          <w:p>
            <w:pPr>
              <w:ind w:left="248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Maurice Amsellem</w:t>
            </w:r>
          </w:p>
        </w:tc>
      </w:tr>
      <w:tr>
        <w:trPr>
          <w:trHeight w:val="218"/>
        </w:trPr>
        <w:tc>
          <w:tcPr>
            <w:tcW w:w="3160" w:type="dxa"/>
            <w:vAlign w:val="bottom"/>
          </w:tcPr>
          <w:p>
            <w:pPr>
              <w:spacing w:after="0"/>
              <w:rPr>
                <w:sz w:val="18"/>
                <w:szCs w:val="18"/>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Signatory</w:t>
            </w:r>
          </w:p>
        </w:tc>
      </w:tr>
      <w:tr>
        <w:trPr>
          <w:trHeight w:val="429"/>
        </w:trPr>
        <w:tc>
          <w:tcPr>
            <w:tcW w:w="3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7"/>
                <w:szCs w:val="17"/>
                <w:color w:val="auto"/>
              </w:rPr>
              <w:t>7</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color w:val="auto"/>
        </w:rPr>
        <w:t>BORROWERS:</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XTANT MEDICAL, INC.</w:t>
      </w:r>
    </w:p>
    <w:p>
      <w:pPr>
        <w:spacing w:after="0" w:line="212" w:lineRule="exact"/>
        <w:rPr>
          <w:sz w:val="20"/>
          <w:szCs w:val="20"/>
          <w:color w:val="auto"/>
        </w:rPr>
      </w:pPr>
    </w:p>
    <w:tbl>
      <w:tblPr>
        <w:tblLayout w:type="fixed"/>
        <w:tblInd w:w="56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E. Browne</w:t>
            </w:r>
          </w:p>
        </w:tc>
      </w:tr>
      <w:tr>
        <w:trPr>
          <w:trHeight w:val="178"/>
        </w:trPr>
        <w:tc>
          <w:tcPr>
            <w:tcW w:w="5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Browne</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BACTERIN INTERNATIONAL, INC.</w:t>
      </w:r>
    </w:p>
    <w:p>
      <w:pPr>
        <w:spacing w:after="0" w:line="200" w:lineRule="exact"/>
        <w:rPr>
          <w:sz w:val="20"/>
          <w:szCs w:val="20"/>
          <w:color w:val="auto"/>
        </w:rPr>
      </w:pPr>
    </w:p>
    <w:p>
      <w:pPr>
        <w:spacing w:after="0" w:line="214" w:lineRule="exact"/>
        <w:rPr>
          <w:sz w:val="20"/>
          <w:szCs w:val="20"/>
          <w:color w:val="auto"/>
        </w:rPr>
      </w:pPr>
    </w:p>
    <w:tbl>
      <w:tblPr>
        <w:tblLayout w:type="fixed"/>
        <w:tblInd w:w="56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E. Browne</w:t>
            </w:r>
          </w:p>
        </w:tc>
      </w:tr>
      <w:tr>
        <w:trPr>
          <w:trHeight w:val="178"/>
        </w:trPr>
        <w:tc>
          <w:tcPr>
            <w:tcW w:w="5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Browne</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3"/>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X-SPINE SYSTEMS, INC.</w:t>
            </w:r>
          </w:p>
        </w:tc>
      </w:tr>
      <w:tr>
        <w:trPr>
          <w:trHeight w:val="40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E. Browne</w:t>
            </w:r>
          </w:p>
        </w:tc>
      </w:tr>
      <w:tr>
        <w:trPr>
          <w:trHeight w:val="178"/>
        </w:trPr>
        <w:tc>
          <w:tcPr>
            <w:tcW w:w="5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Browne</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3"/>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SURGALIGN SPV, INC.</w:t>
            </w:r>
          </w:p>
        </w:tc>
      </w:tr>
      <w:tr>
        <w:trPr>
          <w:trHeight w:val="40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E. Browne</w:t>
            </w:r>
          </w:p>
        </w:tc>
      </w:tr>
      <w:tr>
        <w:trPr>
          <w:trHeight w:val="178"/>
        </w:trPr>
        <w:tc>
          <w:tcPr>
            <w:tcW w:w="5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Browne</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rPr>
          <w:sz w:val="20"/>
          <w:szCs w:val="20"/>
          <w:color w:val="auto"/>
        </w:rPr>
      </w:pPr>
      <w:r>
        <w:rPr>
          <w:rFonts w:ascii="Times New Roman" w:cs="Times New Roman" w:eastAsia="Times New Roman" w:hAnsi="Times New Roman"/>
          <w:sz w:val="17"/>
          <w:szCs w:val="17"/>
          <w:b w:val="1"/>
          <w:bCs w:val="1"/>
          <w:color w:val="auto"/>
        </w:rPr>
        <w:t>GUARANTOR:</w:t>
      </w:r>
    </w:p>
    <w:p>
      <w:pPr>
        <w:spacing w:after="0" w:line="188"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7"/>
          <w:szCs w:val="17"/>
          <w:b w:val="1"/>
          <w:bCs w:val="1"/>
          <w:color w:val="auto"/>
        </w:rPr>
        <w:t>XTANT MEDICAL HOLDINGS,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E. Browne</w:t>
            </w:r>
          </w:p>
        </w:tc>
      </w:tr>
      <w:tr>
        <w:trPr>
          <w:trHeight w:val="178"/>
        </w:trPr>
        <w:tc>
          <w:tcPr>
            <w:tcW w:w="6200" w:type="dxa"/>
            <w:vAlign w:val="bottom"/>
          </w:tcPr>
          <w:p>
            <w:pPr>
              <w:ind w:left="564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Browne</w:t>
            </w:r>
          </w:p>
        </w:tc>
      </w:tr>
      <w:tr>
        <w:trPr>
          <w:trHeight w:val="218"/>
        </w:trPr>
        <w:tc>
          <w:tcPr>
            <w:tcW w:w="620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29"/>
        </w:trPr>
        <w:tc>
          <w:tcPr>
            <w:tcW w:w="6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rPr>
              <w:t>8</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4"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2.1 - Amortization</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Commencing on the latest to occur of (a) April 1, 2025 (the “</w:t>
      </w:r>
      <w:r>
        <w:rPr>
          <w:rFonts w:ascii="Times New Roman" w:cs="Times New Roman" w:eastAsia="Times New Roman" w:hAnsi="Times New Roman"/>
          <w:sz w:val="17"/>
          <w:szCs w:val="17"/>
          <w:b w:val="1"/>
          <w:bCs w:val="1"/>
          <w:color w:val="auto"/>
        </w:rPr>
        <w:t>Initial Amortization Start Date</w:t>
      </w:r>
      <w:r>
        <w:rPr>
          <w:rFonts w:ascii="Times New Roman" w:cs="Times New Roman" w:eastAsia="Times New Roman" w:hAnsi="Times New Roman"/>
          <w:sz w:val="17"/>
          <w:szCs w:val="17"/>
          <w:color w:val="auto"/>
        </w:rPr>
        <w:t>”), or (b) if the IO Extension Conditions have been satisfied with respect to extending the Initial Amortization Start Date, April 1, 2026 (the “</w:t>
      </w:r>
      <w:r>
        <w:rPr>
          <w:rFonts w:ascii="Times New Roman" w:cs="Times New Roman" w:eastAsia="Times New Roman" w:hAnsi="Times New Roman"/>
          <w:sz w:val="17"/>
          <w:szCs w:val="17"/>
          <w:b w:val="1"/>
          <w:bCs w:val="1"/>
          <w:color w:val="auto"/>
        </w:rPr>
        <w:t>First Extended Amortization Start Date</w:t>
      </w:r>
      <w:r>
        <w:rPr>
          <w:rFonts w:ascii="Times New Roman" w:cs="Times New Roman" w:eastAsia="Times New Roman" w:hAnsi="Times New Roman"/>
          <w:sz w:val="17"/>
          <w:szCs w:val="17"/>
          <w:color w:val="auto"/>
        </w:rPr>
        <w:t>”), or (c) if the amortization has been deferred to the First Extended Amortization Start Date and the IO Extension Conditions have been satisfied with respect to extending the First Extended Amortization Start Date, April 1, 2027 (the “</w:t>
      </w:r>
      <w:r>
        <w:rPr>
          <w:rFonts w:ascii="Times New Roman" w:cs="Times New Roman" w:eastAsia="Times New Roman" w:hAnsi="Times New Roman"/>
          <w:sz w:val="17"/>
          <w:szCs w:val="17"/>
          <w:b w:val="1"/>
          <w:bCs w:val="1"/>
          <w:color w:val="auto"/>
        </w:rPr>
        <w:t>Second Extended Amortization Start Date</w:t>
      </w:r>
      <w:r>
        <w:rPr>
          <w:rFonts w:ascii="Times New Roman" w:cs="Times New Roman" w:eastAsia="Times New Roman" w:hAnsi="Times New Roman"/>
          <w:sz w:val="17"/>
          <w:szCs w:val="17"/>
          <w:color w:val="auto"/>
        </w:rPr>
        <w:t xml:space="preserve">”), and, in any case, continuing on the first day of each calendar month thereafter, Borrower shall pay to Agent as a principal payment on the Term Loans an amount equal to the total principal amount of the Term Loan(s) outstanding as of the Initial Amortization Start Date (or, if commencement of amortization payments has been extended pursuant to this Schedule 2.1 to the First Extended Amortization Start Date, as of the First Extended Amortization Start Date, or if commencement of the amortization payments has been extended pursuant to this Schedule 2.1 to the Second Extended Amortization Start Date, as of the Second Extended Amortization Start Date)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the number of full calendar months remaining (including the month in which the first amortization payment is made) before the occurrence of the Maturity Date. Notwithstanding anything to the contrary contained in the foregoing, the entire remaining outstanding principal balance under the Term Loans shall mature and be due and payable upon the Termination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hereof of this Schedule 2.1, the following terms shall have the following meanings: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IO Extension Conditions</w:t>
      </w:r>
      <w:r>
        <w:rPr>
          <w:rFonts w:ascii="Times New Roman" w:cs="Times New Roman" w:eastAsia="Times New Roman" w:hAnsi="Times New Roman"/>
          <w:sz w:val="17"/>
          <w:szCs w:val="17"/>
          <w:color w:val="auto"/>
        </w:rPr>
        <w:t>” means satisfaction of each of the following conditions: (a) Borrower Representative has provided written notice to Agent at least fifteen</w:t>
      </w:r>
    </w:p>
    <w:p>
      <w:pPr>
        <w:spacing w:after="0" w:line="26" w:lineRule="exact"/>
        <w:rPr>
          <w:sz w:val="20"/>
          <w:szCs w:val="20"/>
          <w:color w:val="auto"/>
        </w:rPr>
      </w:pPr>
    </w:p>
    <w:p>
      <w:pPr>
        <w:jc w:val="both"/>
        <w:ind w:firstLine="1"/>
        <w:spacing w:after="0" w:line="248" w:lineRule="auto"/>
        <w:tabs>
          <w:tab w:leader="none" w:pos="337"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the Initial Amortization Start Date or First Extended Amortization Start Date, as applicable, that it is electing to extend the applicable amortization start date and certifying that the condition set forth below in clause (b) has been satisfied, (b) Credit Parties have delivered with respect to extending the Initial Amortization Start Date the quarterly Compliance Certificate to Agent pursuant to Section 4.1 for the Defined Period ending December 31, 2024, and with respect to extending the First Extended Amortization Start Date, the quarterly Compliance Certificate to Agent pursuant to Section 4.1 for the Defined Period ending December 31, 2025, in each case, demonstrating to Agent’s satisfaction that the Borrowers are in compliance with each financial covenant described in Article 6 hereof, in each case for the Defined Period ending on the last day of the quarter for which such Compliance Certificate is delivered, and (c) no Default or Event of Default has occurred and is continuing on the date of such amortization extension (i.e., the Initial Amortization Start Date or First Extended Amortization Start Date, as applicable).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95"/>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EXHIBIT B</w:t>
            </w:r>
          </w:p>
        </w:tc>
        <w:tc>
          <w:tcPr>
            <w:tcW w:w="5180" w:type="dxa"/>
            <w:vAlign w:val="bottom"/>
            <w:gridSpan w:val="2"/>
          </w:tcPr>
          <w:p>
            <w:pPr>
              <w:spacing w:after="0"/>
              <w:rPr>
                <w:sz w:val="17"/>
                <w:szCs w:val="17"/>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w w:val="97"/>
              </w:rPr>
              <w:t>Orthobiologics Products</w:t>
            </w:r>
          </w:p>
        </w:tc>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Spinal Implant Products</w:t>
            </w:r>
          </w:p>
        </w:tc>
      </w:tr>
      <w:tr>
        <w:trPr>
          <w:trHeight w:val="20"/>
        </w:trPr>
        <w:tc>
          <w:tcPr>
            <w:tcW w:w="16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3Demin</w:t>
            </w: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Aranax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Amnio</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Axle</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Atrix-C</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Butrex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Atrix-C Union</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Calix A</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BacFast HD</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Calix C</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BioAdapt</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Calix P</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BiomaX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Calix T</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Bone Graft Delivery</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Certex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Cancellous Chips</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Cervalign</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Cancellous Crushed</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Cofix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CollaGenX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Coflex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Elemax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Contact ALP</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FibreX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Cortera</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H-Graft</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Fixcet</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Matriform</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Fortex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nanOss</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Fortilink-A with TETRAfuse</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NanOss Strata</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Fortilink-A with TiPlus</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OsteoFactor</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Fortilink-C with TETRAfuse</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OsteoFactor Pro</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Fortilink-C with TiPlus</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OsteoMax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Fortilink-TC with TiPlus</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OsteoSelect</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Fortilink-TS with TETRAfuse</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OsteoSponge</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Fortilink-TS with TiPlus InTice C</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OsteoVive</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Irix-A</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OsteoVive Plus</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Irix-C</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OsteoWrap</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MaxFuse</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SimpliMix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Silex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Sports Medicine (Tendon)</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Spider</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Traditional Allografts (Structural Grafts)</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Streamline MIS</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Trivium</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Streamline OCT</w:t>
            </w:r>
          </w:p>
        </w:tc>
      </w:tr>
      <w:tr>
        <w:trPr>
          <w:trHeight w:val="202"/>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Streamline</w:t>
            </w:r>
          </w:p>
        </w:tc>
      </w:tr>
      <w:tr>
        <w:trPr>
          <w:trHeight w:val="202"/>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T-Plus</w:t>
            </w:r>
          </w:p>
        </w:tc>
      </w:tr>
      <w:tr>
        <w:trPr>
          <w:trHeight w:val="202"/>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X90</w:t>
            </w:r>
          </w:p>
        </w:tc>
      </w:tr>
      <w:tr>
        <w:trPr>
          <w:trHeight w:val="202"/>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Xpress</w:t>
            </w:r>
          </w:p>
        </w:tc>
      </w:tr>
      <w:tr>
        <w:trPr>
          <w:trHeight w:val="202"/>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Xspan</w:t>
            </w:r>
          </w:p>
        </w:tc>
      </w:tr>
      <w:tr>
        <w:trPr>
          <w:trHeight w:val="218"/>
        </w:trPr>
        <w:tc>
          <w:tcPr>
            <w:tcW w:w="1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Zyfix</w:t>
            </w:r>
          </w:p>
        </w:tc>
      </w:tr>
      <w:tr>
        <w:trPr>
          <w:trHeight w:val="404"/>
        </w:trPr>
        <w:tc>
          <w:tcPr>
            <w:tcW w:w="1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7"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160" w:type="dxa"/>
            <w:vAlign w:val="bottom"/>
            <w:gridSpan w:val="4"/>
          </w:tcPr>
          <w:p>
            <w:pPr>
              <w:jc w:val="center"/>
              <w:ind w:right="3280"/>
              <w:spacing w:after="0"/>
              <w:rPr>
                <w:sz w:val="20"/>
                <w:szCs w:val="20"/>
                <w:color w:val="auto"/>
              </w:rPr>
            </w:pPr>
            <w:r>
              <w:rPr>
                <w:rFonts w:ascii="Times New Roman" w:cs="Times New Roman" w:eastAsia="Times New Roman" w:hAnsi="Times New Roman"/>
                <w:sz w:val="17"/>
                <w:szCs w:val="17"/>
                <w:b w:val="1"/>
                <w:bCs w:val="1"/>
                <w:color w:val="auto"/>
                <w:w w:val="98"/>
              </w:rPr>
              <w:t>EXHIBIT C</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2960" w:type="dxa"/>
            <w:vAlign w:val="bottom"/>
          </w:tcPr>
          <w:p>
            <w:pPr>
              <w:spacing w:after="0"/>
              <w:rPr>
                <w:sz w:val="24"/>
                <w:szCs w:val="24"/>
                <w:color w:val="auto"/>
              </w:rPr>
            </w:pPr>
          </w:p>
        </w:tc>
        <w:tc>
          <w:tcPr>
            <w:tcW w:w="6380" w:type="dxa"/>
            <w:vAlign w:val="bottom"/>
            <w:gridSpan w:val="5"/>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w w:val="99"/>
              </w:rPr>
              <w:t>Schedule 6.1 – Minimum Net Revenue</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3"/>
        </w:trPr>
        <w:tc>
          <w:tcPr>
            <w:tcW w:w="2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98"/>
              </w:rPr>
              <w:t>Minimum Net Revenue</w:t>
            </w:r>
          </w:p>
        </w:tc>
      </w:tr>
      <w:tr>
        <w:trPr>
          <w:trHeight w:val="222"/>
        </w:trPr>
        <w:tc>
          <w:tcPr>
            <w:tcW w:w="2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Defined Period Ending</w:t>
            </w:r>
          </w:p>
        </w:tc>
        <w:tc>
          <w:tcPr>
            <w:tcW w:w="2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195"/>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2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March 31, 2026</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30, 2026</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69,000,000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September 30, 2026</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2026</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76,000,000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March 31, 2027</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30, 2027</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78,000,000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September 30, 2027</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2027</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80,000,000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March 31, 2028</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30, 2028</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82,000,000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September 30, 2028</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2028</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84,000,000</w:t>
            </w:r>
          </w:p>
        </w:tc>
      </w:tr>
      <w:tr>
        <w:trPr>
          <w:trHeight w:val="403"/>
        </w:trPr>
        <w:tc>
          <w:tcPr>
            <w:tcW w:w="29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center"/>
              <w:ind w:left="2136"/>
              <w:spacing w:after="0"/>
              <w:rPr>
                <w:sz w:val="20"/>
                <w:szCs w:val="20"/>
                <w:color w:val="auto"/>
              </w:rPr>
            </w:pPr>
            <w:r>
              <w:rPr>
                <w:rFonts w:ascii="Times New Roman" w:cs="Times New Roman" w:eastAsia="Times New Roman" w:hAnsi="Times New Roman"/>
                <w:sz w:val="17"/>
                <w:szCs w:val="17"/>
                <w:color w:val="auto"/>
                <w:w w:val="93"/>
              </w:rPr>
              <w:t>11</w:t>
            </w:r>
          </w:p>
        </w:tc>
        <w:tc>
          <w:tcPr>
            <w:tcW w:w="2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8"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7"/>
          <w:szCs w:val="17"/>
          <w:b w:val="1"/>
          <w:bCs w:val="1"/>
          <w:color w:val="auto"/>
        </w:rPr>
        <w:t>Exhibit 10.43</w:t>
      </w:r>
    </w:p>
    <w:p>
      <w:pPr>
        <w:spacing w:after="0" w:line="208"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AMENDMENT NO. 4 TO AMENDED AND RESTATED CREDIT, SECURITY AND GUARANTY AGREEMENT (REVOLVING LOAN)</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This AMENDMENT NO. 4 TO AMENDED AND RESTATED CREDIT, SECURITY AND GUARANTY AGREEMENT (REVOLVING LOAN)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is made as of March 26, 2026, by and among </w:t>
      </w:r>
      <w:r>
        <w:rPr>
          <w:rFonts w:ascii="Times New Roman" w:cs="Times New Roman" w:eastAsia="Times New Roman" w:hAnsi="Times New Roman"/>
          <w:sz w:val="17"/>
          <w:szCs w:val="17"/>
          <w:b w:val="1"/>
          <w:bCs w:val="1"/>
          <w:color w:val="auto"/>
        </w:rPr>
        <w:t>XTANT MEDICAL, INC.</w:t>
      </w:r>
      <w:r>
        <w:rPr>
          <w:rFonts w:ascii="Times New Roman" w:cs="Times New Roman" w:eastAsia="Times New Roman" w:hAnsi="Times New Roman"/>
          <w:sz w:val="17"/>
          <w:szCs w:val="17"/>
          <w:color w:val="auto"/>
        </w:rPr>
        <w:t>, a Delaware corporation (“</w:t>
      </w:r>
      <w:r>
        <w:rPr>
          <w:rFonts w:ascii="Times New Roman" w:cs="Times New Roman" w:eastAsia="Times New Roman" w:hAnsi="Times New Roman"/>
          <w:sz w:val="17"/>
          <w:szCs w:val="17"/>
          <w:b w:val="1"/>
          <w:bCs w:val="1"/>
          <w:color w:val="auto"/>
        </w:rPr>
        <w:t>Xtant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BACTERIN INTERNATIONAL,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INC.</w:t>
      </w:r>
      <w:r>
        <w:rPr>
          <w:rFonts w:ascii="Times New Roman" w:cs="Times New Roman" w:eastAsia="Times New Roman" w:hAnsi="Times New Roman"/>
          <w:sz w:val="17"/>
          <w:szCs w:val="17"/>
          <w:color w:val="auto"/>
        </w:rPr>
        <w:t>, a Nevada corporation,</w:t>
      </w:r>
      <w:r>
        <w:rPr>
          <w:rFonts w:ascii="Times New Roman" w:cs="Times New Roman" w:eastAsia="Times New Roman" w:hAnsi="Times New Roman"/>
          <w:sz w:val="17"/>
          <w:szCs w:val="17"/>
          <w:b w:val="1"/>
          <w:bCs w:val="1"/>
          <w:color w:val="auto"/>
        </w:rPr>
        <w:t xml:space="preserve"> X-SPINE SYSTEMS, INC.</w:t>
      </w:r>
      <w:r>
        <w:rPr>
          <w:rFonts w:ascii="Times New Roman" w:cs="Times New Roman" w:eastAsia="Times New Roman" w:hAnsi="Times New Roman"/>
          <w:sz w:val="17"/>
          <w:szCs w:val="17"/>
          <w:color w:val="auto"/>
        </w:rPr>
        <w:t>, an Ohio corporation,</w:t>
      </w:r>
      <w:r>
        <w:rPr>
          <w:rFonts w:ascii="Times New Roman" w:cs="Times New Roman" w:eastAsia="Times New Roman" w:hAnsi="Times New Roman"/>
          <w:sz w:val="17"/>
          <w:szCs w:val="17"/>
          <w:b w:val="1"/>
          <w:bCs w:val="1"/>
          <w:color w:val="auto"/>
        </w:rPr>
        <w:t xml:space="preserve"> SURGALIGN SPV, INC.</w:t>
      </w:r>
      <w:r>
        <w:rPr>
          <w:rFonts w:ascii="Times New Roman" w:cs="Times New Roman" w:eastAsia="Times New Roman" w:hAnsi="Times New Roman"/>
          <w:sz w:val="17"/>
          <w:szCs w:val="17"/>
          <w:color w:val="auto"/>
        </w:rPr>
        <w:t>, a Delaware corporation, and any additional borrower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hereafter be added to this Agreement (each individually as a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and collectively with any entities that become party hereto as Borrower and each of their successors and permitted assigns, the “</w:t>
      </w:r>
      <w:r>
        <w:rPr>
          <w:rFonts w:ascii="Times New Roman" w:cs="Times New Roman" w:eastAsia="Times New Roman" w:hAnsi="Times New Roman"/>
          <w:sz w:val="17"/>
          <w:szCs w:val="17"/>
          <w:b w:val="1"/>
          <w:bCs w:val="1"/>
          <w:color w:val="auto"/>
        </w:rPr>
        <w:t>Borrowers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XTANT MEDICAL HOLDINGS, INC.</w:t>
      </w:r>
      <w:r>
        <w:rPr>
          <w:rFonts w:ascii="Times New Roman" w:cs="Times New Roman" w:eastAsia="Times New Roman" w:hAnsi="Times New Roman"/>
          <w:sz w:val="17"/>
          <w:szCs w:val="17"/>
          <w:color w:val="auto"/>
        </w:rPr>
        <w:t>, a Delaware corporation (“</w:t>
      </w:r>
      <w:r>
        <w:rPr>
          <w:rFonts w:ascii="Times New Roman" w:cs="Times New Roman" w:eastAsia="Times New Roman" w:hAnsi="Times New Roman"/>
          <w:sz w:val="17"/>
          <w:szCs w:val="17"/>
          <w:b w:val="1"/>
          <w:bCs w:val="1"/>
          <w:color w:val="auto"/>
        </w:rPr>
        <w:t>Holdings</w:t>
      </w:r>
      <w:r>
        <w:rPr>
          <w:rFonts w:ascii="Times New Roman" w:cs="Times New Roman" w:eastAsia="Times New Roman" w:hAnsi="Times New Roman"/>
          <w:sz w:val="17"/>
          <w:szCs w:val="17"/>
          <w:color w:val="auto"/>
        </w:rPr>
        <w:t xml:space="preserve">”), as a Guarantor, </w:t>
      </w:r>
      <w:r>
        <w:rPr>
          <w:rFonts w:ascii="Times New Roman" w:cs="Times New Roman" w:eastAsia="Times New Roman" w:hAnsi="Times New Roman"/>
          <w:sz w:val="17"/>
          <w:szCs w:val="17"/>
          <w:b w:val="1"/>
          <w:bCs w:val="1"/>
          <w:color w:val="auto"/>
        </w:rPr>
        <w:t>MIDCAP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FUNDING IV TRUST</w:t>
      </w:r>
      <w:r>
        <w:rPr>
          <w:rFonts w:ascii="Times New Roman" w:cs="Times New Roman" w:eastAsia="Times New Roman" w:hAnsi="Times New Roman"/>
          <w:sz w:val="17"/>
          <w:szCs w:val="17"/>
          <w:color w:val="auto"/>
        </w:rPr>
        <w:t>, a Delaware statutory trust, as Agent (in such capacity, together with its successors and assigns,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and the other financial institutions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other entities from time to time parties to the Credit Agreement referenced below, each as a Lender.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 Agent, Lenders, and the Credit Parties have entered into that certain Amended and Restated Credit, Security and Guaranty Agreement (Revolving Loan), dated as of March 7, 2024 (as amended by that certain Amendment No. 1 to Amended and Restated Credit, Security and Guaranty Agreement (Revolving Loan), dated as of May 14, 2024, that certain Amendment No. 2 to Amended and Restated Credit, Security and Guaranty Agreement (Revolving Loan), dated as of April 9, 2025, that certain Limited Consent and Amendment No. 3 to Amended and Restated Credit, Security and Guaranty Agreement (Revolving Loan) and Amendment No. 1 to Pledge Agreement, dated as of July 7, 2025 and as further amended, restated, supplemented or otherwise modified at any time prior to the date hereof, the “</w:t>
      </w:r>
      <w:r>
        <w:rPr>
          <w:rFonts w:ascii="Times New Roman" w:cs="Times New Roman" w:eastAsia="Times New Roman" w:hAnsi="Times New Roman"/>
          <w:sz w:val="17"/>
          <w:szCs w:val="17"/>
          <w:b w:val="1"/>
          <w:bCs w:val="1"/>
          <w:color w:val="auto"/>
        </w:rPr>
        <w:t>Existing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A&amp;R Credit Agreement</w:t>
      </w:r>
      <w:r>
        <w:rPr>
          <w:rFonts w:ascii="Times New Roman" w:cs="Times New Roman" w:eastAsia="Times New Roman" w:hAnsi="Times New Roman"/>
          <w:sz w:val="17"/>
          <w:szCs w:val="17"/>
          <w:color w:val="auto"/>
        </w:rPr>
        <w:t>” and as amended hereby and as it may be further amended, modified, supplemented and restated from time to time, the “</w:t>
      </w:r>
      <w:r>
        <w:rPr>
          <w:rFonts w:ascii="Times New Roman" w:cs="Times New Roman" w:eastAsia="Times New Roman" w:hAnsi="Times New Roman"/>
          <w:sz w:val="17"/>
          <w:szCs w:val="17"/>
          <w:b w:val="1"/>
          <w:bCs w:val="1"/>
          <w:color w:val="auto"/>
        </w:rPr>
        <w:t>Credit Agreement</w:t>
      </w:r>
      <w:r>
        <w:rPr>
          <w:rFonts w:ascii="Times New Roman" w:cs="Times New Roman" w:eastAsia="Times New Roman" w:hAnsi="Times New Roman"/>
          <w:sz w:val="17"/>
          <w:szCs w:val="17"/>
          <w:color w:val="auto"/>
        </w:rPr>
        <w:t>”), pursuant to which the Lenders have agreed to make certain advances of money and to extend certain financial accommodations to Borrowers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amounts and manner set forth in the Credit Agreement.</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 The Credit Parties have requested, and Agent and Lenders have agreed, on and subject to the terms and conditions set forth in this Agreement, to amend certain provisions of the Existing A&amp;R Credit Agreement, all in accordance with the terms and subject to the conditions set forth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NOW, THEREFORE, in consideration of the foregoing, the terms and conditions set forth in this Agreement, and other good and valuable consideration, the receipt and sufficiency of which are hereby acknowledged, Agent, Lenders and the Credit Parties hereby agree as follows:</w:t>
      </w:r>
    </w:p>
    <w:p>
      <w:pPr>
        <w:spacing w:after="0" w:line="155" w:lineRule="exact"/>
        <w:rPr>
          <w:sz w:val="20"/>
          <w:szCs w:val="20"/>
          <w:color w:val="auto"/>
        </w:rPr>
      </w:pPr>
    </w:p>
    <w:p>
      <w:pPr>
        <w:jc w:val="both"/>
        <w:ind w:firstLine="606"/>
        <w:spacing w:after="0" w:line="258" w:lineRule="auto"/>
        <w:tabs>
          <w:tab w:leader="none" w:pos="77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Recitals</w:t>
      </w:r>
      <w:r>
        <w:rPr>
          <w:rFonts w:ascii="Times New Roman" w:cs="Times New Roman" w:eastAsia="Times New Roman" w:hAnsi="Times New Roman"/>
          <w:sz w:val="17"/>
          <w:szCs w:val="17"/>
          <w:color w:val="auto"/>
        </w:rPr>
        <w:t>. This Agreement shall constitute a Financing Document and the Recitals and each reference to the Credit Agreement, unless otherwise expressly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w:t>
      </w:r>
    </w:p>
    <w:p>
      <w:pPr>
        <w:spacing w:after="0" w:line="168" w:lineRule="exact"/>
        <w:rPr>
          <w:rFonts w:ascii="Times New Roman" w:cs="Times New Roman" w:eastAsia="Times New Roman" w:hAnsi="Times New Roman"/>
          <w:sz w:val="17"/>
          <w:szCs w:val="17"/>
          <w:color w:val="auto"/>
        </w:rPr>
      </w:pPr>
    </w:p>
    <w:p>
      <w:pPr>
        <w:ind w:firstLine="606"/>
        <w:spacing w:after="0" w:line="279" w:lineRule="auto"/>
        <w:tabs>
          <w:tab w:leader="none" w:pos="77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Amendments to Existing A&amp;R Credit Agreement</w:t>
      </w:r>
      <w:r>
        <w:rPr>
          <w:rFonts w:ascii="Times New Roman" w:cs="Times New Roman" w:eastAsia="Times New Roman" w:hAnsi="Times New Roman"/>
          <w:sz w:val="17"/>
          <w:szCs w:val="17"/>
          <w:color w:val="auto"/>
        </w:rPr>
        <w:t>. Subject to the terms and conditions of this Agreement, including, without limitation, the conditions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effectiveness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below, the Existing A&amp;R Credit Agreement is hereby amended as follows:</w:t>
      </w:r>
    </w:p>
    <w:p>
      <w:pPr>
        <w:spacing w:after="0" w:line="154" w:lineRule="exact"/>
        <w:rPr>
          <w:rFonts w:ascii="Times New Roman" w:cs="Times New Roman" w:eastAsia="Times New Roman" w:hAnsi="Times New Roman"/>
          <w:sz w:val="17"/>
          <w:szCs w:val="17"/>
          <w:color w:val="auto"/>
        </w:rPr>
      </w:pPr>
    </w:p>
    <w:p>
      <w:pPr>
        <w:ind w:left="1440" w:hanging="229"/>
        <w:spacing w:after="0"/>
        <w:tabs>
          <w:tab w:leader="none" w:pos="14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 of the Existing Credit Agreement is hereby amended by adding the following new definitions in the appropriate alphabetical order</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276225</wp:posOffset>
            </wp:positionV>
            <wp:extent cx="71412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0" w:name="page161"/>
    <w:bookmarkEnd w:id="160"/>
    <w:p>
      <w:pPr>
        <w:jc w:val="both"/>
        <w:ind w:left="60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Biologics Products</w:t>
      </w:r>
      <w:r>
        <w:rPr>
          <w:rFonts w:ascii="Times New Roman" w:cs="Times New Roman" w:eastAsia="Times New Roman" w:hAnsi="Times New Roman"/>
          <w:sz w:val="17"/>
          <w:szCs w:val="17"/>
          <w:color w:val="auto"/>
        </w:rPr>
        <w:t xml:space="preserve">” means, from time to time, any biologics products currently manufactured, sold, developed, tested or marketed by any Borrower or any of its Subsidiaries, including without limitation, those products identified as “Orthobiologics Products” on </w:t>
      </w:r>
      <w:r>
        <w:rPr>
          <w:rFonts w:ascii="Times New Roman" w:cs="Times New Roman" w:eastAsia="Times New Roman" w:hAnsi="Times New Roman"/>
          <w:sz w:val="17"/>
          <w:szCs w:val="17"/>
          <w:u w:val="single" w:color="auto"/>
          <w:color w:val="auto"/>
        </w:rPr>
        <w:t>Schedule 4.17</w:t>
      </w:r>
      <w:r>
        <w:rPr>
          <w:rFonts w:ascii="Times New Roman" w:cs="Times New Roman" w:eastAsia="Times New Roman" w:hAnsi="Times New Roman"/>
          <w:sz w:val="17"/>
          <w:szCs w:val="17"/>
          <w:color w:val="auto"/>
        </w:rPr>
        <w:t xml:space="preserve"> (as updated from time to time in accordance with Section 4.15).</w:t>
      </w:r>
    </w:p>
    <w:p>
      <w:pPr>
        <w:spacing w:after="0" w:line="1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 The definition of “Net Revenue” in Section 1.1 of the Existing Credit Agreement is amended and restated in its entirety as follows:</w:t>
      </w:r>
    </w:p>
    <w:p>
      <w:pPr>
        <w:spacing w:after="0" w:line="204" w:lineRule="exact"/>
        <w:rPr>
          <w:sz w:val="20"/>
          <w:szCs w:val="20"/>
          <w:color w:val="auto"/>
        </w:rPr>
      </w:pPr>
    </w:p>
    <w:p>
      <w:pPr>
        <w:jc w:val="both"/>
        <w:ind w:left="60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Revenue</w:t>
      </w:r>
      <w:r>
        <w:rPr>
          <w:rFonts w:ascii="Times New Roman" w:cs="Times New Roman" w:eastAsia="Times New Roman" w:hAnsi="Times New Roman"/>
          <w:sz w:val="16"/>
          <w:szCs w:val="16"/>
          <w:color w:val="auto"/>
        </w:rPr>
        <w:t>” means, for any period, (a) the consolidated gross revenues of Borrowers and their Subsidiaries (other than Restricted Foreign Subsidiaries) generated solely through the commercial sale of Biologics Products by Borrowers and such Subsidiaries during such period, less, without duplication, (b)(i) trade, quantity and cash discounts allowed by Borrowers or such Subsidiaries, (ii) discounts, refunds, rebates, charge backs, retroactive price adjustments and any other allowances which effectively reduce net selling price, (iii) product returns and allowances, (iv) allowances for shipping or other distribution expenses, (iv) set-offs and counterclaims, and (v) any other similar and customary deductions used by Borrower in determining net revenues, all, in respect of</w:t>
      </w:r>
    </w:p>
    <w:p>
      <w:pPr>
        <w:spacing w:after="0" w:line="1" w:lineRule="exact"/>
        <w:rPr>
          <w:sz w:val="20"/>
          <w:szCs w:val="20"/>
          <w:color w:val="auto"/>
        </w:rPr>
      </w:pPr>
    </w:p>
    <w:p>
      <w:pPr>
        <w:jc w:val="both"/>
        <w:ind w:left="600" w:firstLine="6"/>
        <w:spacing w:after="0" w:line="251" w:lineRule="auto"/>
        <w:tabs>
          <w:tab w:leader="none" w:pos="82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(b), as determined in accordance with GAAP (as applicable) and in the Ordinary Course of Business. For the avoidance of doubt, in no event shall any Net Revenue attributable to (1) any entity or assets acquired pursuant to or in connection with a Permitted Acquisition or (2) any Restricted Foreign Subsidiary be counted for purposes of determining Borrower’s compliance with the financial covenant set forth in this Section 6.1.</w:t>
      </w:r>
    </w:p>
    <w:p>
      <w:pPr>
        <w:spacing w:after="0" w:line="177" w:lineRule="exact"/>
        <w:rPr>
          <w:rFonts w:ascii="Times New Roman" w:cs="Times New Roman" w:eastAsia="Times New Roman" w:hAnsi="Times New Roman"/>
          <w:sz w:val="17"/>
          <w:szCs w:val="17"/>
          <w:color w:val="auto"/>
        </w:rPr>
      </w:pPr>
    </w:p>
    <w:p>
      <w:pPr>
        <w:ind w:left="1440" w:hanging="229"/>
        <w:spacing w:after="0"/>
        <w:tabs>
          <w:tab w:leader="none" w:pos="144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6.1 of the Existing Credit Agreement is hereby amended and restated in its entirety as follows:</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Minimum Net Revenue</w:t>
      </w:r>
      <w:r>
        <w:rPr>
          <w:rFonts w:ascii="Times New Roman" w:cs="Times New Roman" w:eastAsia="Times New Roman" w:hAnsi="Times New Roman"/>
          <w:sz w:val="17"/>
          <w:szCs w:val="17"/>
          <w:color w:val="auto"/>
        </w:rPr>
        <w:t>. Credit Parties shall not permit its consolidated Net Revenue for any Defined Period (other than the Defined Period ending December 31, 2025), as tested quarterly on the last day of the applicable Defined Period, to be less than the Applicable Minimum Net Revenue Threshold for such Defined Period.”</w:t>
      </w:r>
    </w:p>
    <w:p>
      <w:pPr>
        <w:spacing w:after="0" w:line="169" w:lineRule="exact"/>
        <w:rPr>
          <w:sz w:val="20"/>
          <w:szCs w:val="20"/>
          <w:color w:val="auto"/>
        </w:rPr>
      </w:pPr>
    </w:p>
    <w:p>
      <w:pPr>
        <w:ind w:firstLine="1211"/>
        <w:spacing w:after="0" w:line="274" w:lineRule="auto"/>
        <w:tabs>
          <w:tab w:leader="none" w:pos="1458"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with respect to the listing of Products on Schedule 4.17 to the Existing Credit Agreement, Schedule 4.17 attached to the Existing Credit Agreement is supplemented with the Products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1440" w:hanging="229"/>
        <w:spacing w:after="0"/>
        <w:tabs>
          <w:tab w:leader="none" w:pos="144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Schedule 6.1 attached to the Existing Credit Agreement is hereby replaced by the Schedule 6.1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jc w:val="both"/>
        <w:ind w:firstLine="606"/>
        <w:spacing w:after="0" w:line="252" w:lineRule="auto"/>
        <w:tabs>
          <w:tab w:leader="none" w:pos="77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Representations and Warranties; Reaffirmation of Security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Credit Party hereby confirms that all of the representations and warranties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 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1" w:name="page162"/>
    <w:bookmarkEnd w:id="161"/>
    <w:p>
      <w:pPr>
        <w:ind w:firstLine="606"/>
        <w:spacing w:after="0" w:line="279" w:lineRule="auto"/>
        <w:tabs>
          <w:tab w:leader="none" w:pos="78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Conditions to Effectiveness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become effective as of the date on which each of the following conditions have been satisfied,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Agent in its sole discretion:</w:t>
      </w:r>
    </w:p>
    <w:p>
      <w:pPr>
        <w:spacing w:after="0" w:line="154" w:lineRule="exact"/>
        <w:rPr>
          <w:rFonts w:ascii="Times New Roman" w:cs="Times New Roman" w:eastAsia="Times New Roman" w:hAnsi="Times New Roman"/>
          <w:sz w:val="17"/>
          <w:szCs w:val="17"/>
          <w:color w:val="auto"/>
        </w:rPr>
      </w:pPr>
    </w:p>
    <w:p>
      <w:pPr>
        <w:ind w:firstLine="1211"/>
        <w:spacing w:after="0" w:line="274" w:lineRule="auto"/>
        <w:tabs>
          <w:tab w:leader="none" w:pos="1472"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have received (including by way of facsimile or other electronic transmission) a duly authorized, executed and delivered counterpart of the signature page to this Agreement from each Credit Party, the Agent and the Lenders;</w:t>
      </w:r>
    </w:p>
    <w:p>
      <w:pPr>
        <w:spacing w:after="0" w:line="158" w:lineRule="exact"/>
        <w:rPr>
          <w:rFonts w:ascii="Times New Roman" w:cs="Times New Roman" w:eastAsia="Times New Roman" w:hAnsi="Times New Roman"/>
          <w:sz w:val="17"/>
          <w:szCs w:val="17"/>
          <w:color w:val="auto"/>
        </w:rPr>
      </w:pPr>
    </w:p>
    <w:p>
      <w:pPr>
        <w:ind w:left="1460" w:hanging="249"/>
        <w:spacing w:after="0"/>
        <w:tabs>
          <w:tab w:leader="none" w:pos="146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have received a duly executed copy of Amendment No. 4 to Amended and Restated Credit, Security and Guaranty Agreement</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Loan);</w:t>
      </w:r>
    </w:p>
    <w:p>
      <w:pPr>
        <w:spacing w:after="0" w:line="191" w:lineRule="exact"/>
        <w:rPr>
          <w:rFonts w:ascii="Times New Roman" w:cs="Times New Roman" w:eastAsia="Times New Roman" w:hAnsi="Times New Roman"/>
          <w:sz w:val="17"/>
          <w:szCs w:val="17"/>
          <w:color w:val="auto"/>
        </w:rPr>
      </w:pPr>
    </w:p>
    <w:p>
      <w:pPr>
        <w:jc w:val="both"/>
        <w:ind w:firstLine="1211"/>
        <w:spacing w:after="0" w:line="277" w:lineRule="auto"/>
        <w:tabs>
          <w:tab w:leader="none" w:pos="1447"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set forth in the Credit Agreement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Borrower’s delivery of its signature hereto shall be deemed to be its certification thereof); and</w:t>
      </w:r>
    </w:p>
    <w:p>
      <w:pPr>
        <w:spacing w:after="0" w:line="159" w:lineRule="exact"/>
        <w:rPr>
          <w:rFonts w:ascii="Times New Roman" w:cs="Times New Roman" w:eastAsia="Times New Roman" w:hAnsi="Times New Roman"/>
          <w:sz w:val="16"/>
          <w:szCs w:val="16"/>
          <w:color w:val="auto"/>
        </w:rPr>
      </w:pPr>
    </w:p>
    <w:p>
      <w:pPr>
        <w:ind w:left="1440" w:hanging="229"/>
        <w:spacing w:after="0"/>
        <w:tabs>
          <w:tab w:leader="none" w:pos="144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and after giving effect to this Agreement, no Default or Event of Default exists under any of the Financing Documents.</w:t>
      </w:r>
    </w:p>
    <w:p>
      <w:pPr>
        <w:spacing w:after="0" w:line="203" w:lineRule="exact"/>
        <w:rPr>
          <w:rFonts w:ascii="Times New Roman" w:cs="Times New Roman" w:eastAsia="Times New Roman" w:hAnsi="Times New Roman"/>
          <w:sz w:val="17"/>
          <w:szCs w:val="17"/>
          <w:color w:val="auto"/>
        </w:rPr>
      </w:pPr>
    </w:p>
    <w:p>
      <w:pPr>
        <w:ind w:firstLine="606"/>
        <w:spacing w:after="0" w:line="279" w:lineRule="auto"/>
        <w:tabs>
          <w:tab w:leader="none" w:pos="77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Costs and Fees.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shall be responsible for the payment of all reasonable, documented and invoiced out-of-pocket costs and fees of Agent’s counsel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incurred in connection with the preparation, negotiation, execution and delivery of this Agreement and any related Financing Documents.</w:t>
      </w:r>
    </w:p>
    <w:p>
      <w:pPr>
        <w:spacing w:after="0" w:line="150" w:lineRule="exact"/>
        <w:rPr>
          <w:rFonts w:ascii="Times New Roman" w:cs="Times New Roman" w:eastAsia="Times New Roman" w:hAnsi="Times New Roman"/>
          <w:sz w:val="17"/>
          <w:szCs w:val="17"/>
          <w:color w:val="auto"/>
        </w:rPr>
      </w:pPr>
    </w:p>
    <w:p>
      <w:pPr>
        <w:jc w:val="both"/>
        <w:ind w:firstLine="606"/>
        <w:spacing w:after="0" w:line="250" w:lineRule="auto"/>
        <w:tabs>
          <w:tab w:leader="none" w:pos="79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Release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consideration of the agreements of Agent and Lenders contained herein and for other good and valuable consideration, the receipt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sufficiency of which is hereby acknowledged, Credit Party,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 w:cs="Times New Roman" w:eastAsia="Times New Roman" w:hAnsi="Times New Roman"/>
          <w:sz w:val="17"/>
          <w:szCs w:val="17"/>
          <w:b w:val="1"/>
          <w:bCs w:val="1"/>
          <w:color w:val="auto"/>
        </w:rPr>
        <w:t>Releasing Parties</w:t>
      </w:r>
      <w:r>
        <w:rPr>
          <w:rFonts w:ascii="Times New Roman" w:cs="Times New Roman" w:eastAsia="Times New Roman" w:hAnsi="Times New Roman"/>
          <w:sz w:val="17"/>
          <w:szCs w:val="17"/>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cs="Times New Roman" w:eastAsia="Times New Roman" w:hAnsi="Times New Roman"/>
          <w:sz w:val="17"/>
          <w:szCs w:val="17"/>
          <w:b w:val="1"/>
          <w:bCs w:val="1"/>
          <w:color w:val="auto"/>
        </w:rPr>
        <w:t>Released Parties</w:t>
      </w:r>
      <w:r>
        <w:rPr>
          <w:rFonts w:ascii="Times New Roman" w:cs="Times New Roman" w:eastAsia="Times New Roman" w:hAnsi="Times New Roman"/>
          <w:sz w:val="17"/>
          <w:szCs w:val="17"/>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Each Credit Party acknowledges that the foregoing release is a material inducement to Agent’s and each Lender’s decision to enter into this Agreement and agree to the modifications contemplated hereunder, and has been relied upon by Agent and Lenders in connection therewith.</w:t>
      </w:r>
    </w:p>
    <w:p>
      <w:pPr>
        <w:spacing w:after="0" w:line="180" w:lineRule="exact"/>
        <w:rPr>
          <w:rFonts w:ascii="Times New Roman" w:cs="Times New Roman" w:eastAsia="Times New Roman" w:hAnsi="Times New Roman"/>
          <w:sz w:val="17"/>
          <w:szCs w:val="17"/>
          <w:color w:val="auto"/>
        </w:rPr>
      </w:pPr>
    </w:p>
    <w:p>
      <w:pPr>
        <w:jc w:val="both"/>
        <w:ind w:firstLine="606"/>
        <w:spacing w:after="0" w:line="254" w:lineRule="auto"/>
        <w:tabs>
          <w:tab w:leader="none" w:pos="77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Waiver or Novation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execution, delivery and effectiveness of this Agreement shall not, except as expressly provided in this Agreement, operate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2" w:name="page163"/>
    <w:bookmarkEnd w:id="162"/>
    <w:p>
      <w:pPr>
        <w:jc w:val="both"/>
        <w:ind w:firstLine="606"/>
        <w:spacing w:after="0" w:line="255" w:lineRule="auto"/>
        <w:tabs>
          <w:tab w:leader="none" w:pos="773"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Affirmation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specifically amended pursuant to the terms hereof, each Credit Party hereby acknowledges and agrees that the Credit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71" w:lineRule="exact"/>
        <w:rPr>
          <w:rFonts w:ascii="Times New Roman" w:cs="Times New Roman" w:eastAsia="Times New Roman" w:hAnsi="Times New Roman"/>
          <w:sz w:val="17"/>
          <w:szCs w:val="17"/>
          <w:color w:val="auto"/>
        </w:rPr>
      </w:pPr>
    </w:p>
    <w:p>
      <w:pPr>
        <w:ind w:left="780" w:hanging="174"/>
        <w:spacing w:after="0"/>
        <w:tabs>
          <w:tab w:leader="none" w:pos="7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b w:val="1"/>
          <w:bCs w:val="1"/>
          <w:color w:val="auto"/>
        </w:rPr>
        <w:t>.</w:t>
      </w:r>
    </w:p>
    <w:p>
      <w:pPr>
        <w:spacing w:after="0" w:line="211" w:lineRule="exact"/>
        <w:rPr>
          <w:rFonts w:ascii="Times New Roman" w:cs="Times New Roman" w:eastAsia="Times New Roman" w:hAnsi="Times New Roman"/>
          <w:sz w:val="17"/>
          <w:szCs w:val="17"/>
          <w:color w:val="auto"/>
        </w:rPr>
      </w:pPr>
    </w:p>
    <w:p>
      <w:pPr>
        <w:jc w:val="both"/>
        <w:ind w:firstLine="1211"/>
        <w:spacing w:after="0" w:line="256" w:lineRule="auto"/>
        <w:tabs>
          <w:tab w:leader="none" w:pos="1451"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Reference to the Effect on the Credit Agreement</w:t>
      </w:r>
      <w:r>
        <w:rPr>
          <w:rFonts w:ascii="Times New Roman" w:cs="Times New Roman" w:eastAsia="Times New Roman" w:hAnsi="Times New Roman"/>
          <w:sz w:val="17"/>
          <w:szCs w:val="17"/>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spacing w:after="0" w:line="174" w:lineRule="exact"/>
        <w:rPr>
          <w:rFonts w:ascii="Times New Roman" w:cs="Times New Roman" w:eastAsia="Times New Roman" w:hAnsi="Times New Roman"/>
          <w:sz w:val="17"/>
          <w:szCs w:val="17"/>
          <w:color w:val="auto"/>
        </w:rPr>
      </w:pPr>
    </w:p>
    <w:p>
      <w:pPr>
        <w:jc w:val="both"/>
        <w:ind w:firstLine="1211"/>
        <w:spacing w:after="0" w:line="261" w:lineRule="auto"/>
        <w:tabs>
          <w:tab w:leader="none" w:pos="1448"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spacing w:after="0" w:line="169" w:lineRule="exact"/>
        <w:rPr>
          <w:rFonts w:ascii="Times New Roman" w:cs="Times New Roman" w:eastAsia="Times New Roman" w:hAnsi="Times New Roman"/>
          <w:sz w:val="17"/>
          <w:szCs w:val="17"/>
          <w:color w:val="auto"/>
        </w:rPr>
      </w:pPr>
    </w:p>
    <w:p>
      <w:pPr>
        <w:jc w:val="both"/>
        <w:ind w:firstLine="1211"/>
        <w:spacing w:after="0" w:line="261" w:lineRule="auto"/>
        <w:tabs>
          <w:tab w:leader="none" w:pos="146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of Credit Agreement Provisions</w:t>
      </w:r>
      <w:r>
        <w:rPr>
          <w:rFonts w:ascii="Times New Roman" w:cs="Times New Roman" w:eastAsia="Times New Roman" w:hAnsi="Times New Roman"/>
          <w:sz w:val="17"/>
          <w:szCs w:val="17"/>
          <w:color w:val="auto"/>
        </w:rPr>
        <w:t xml:space="preserve">. The provisions contained in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 xml:space="preserve"> (Indemnification), </w:t>
      </w:r>
      <w:r>
        <w:rPr>
          <w:rFonts w:ascii="Times New Roman" w:cs="Times New Roman" w:eastAsia="Times New Roman" w:hAnsi="Times New Roman"/>
          <w:sz w:val="17"/>
          <w:szCs w:val="17"/>
          <w:u w:val="single" w:color="auto"/>
          <w:color w:val="auto"/>
        </w:rPr>
        <w:t>Section 13.8(b)</w:t>
      </w:r>
      <w:r>
        <w:rPr>
          <w:rFonts w:ascii="Times New Roman" w:cs="Times New Roman" w:eastAsia="Times New Roman" w:hAnsi="Times New Roman"/>
          <w:sz w:val="17"/>
          <w:szCs w:val="17"/>
          <w:color w:val="auto"/>
        </w:rPr>
        <w:t xml:space="preserve"> (Submission to Jurisdiction) and </w:t>
      </w:r>
      <w:r>
        <w:rPr>
          <w:rFonts w:ascii="Times New Roman" w:cs="Times New Roman" w:eastAsia="Times New Roman" w:hAnsi="Times New Roman"/>
          <w:sz w:val="17"/>
          <w:szCs w:val="17"/>
          <w:u w:val="single" w:color="auto"/>
          <w:color w:val="auto"/>
        </w:rPr>
        <w:t>Section 13.9</w:t>
      </w:r>
      <w:r>
        <w:rPr>
          <w:rFonts w:ascii="Times New Roman" w:cs="Times New Roman" w:eastAsia="Times New Roman" w:hAnsi="Times New Roman"/>
          <w:sz w:val="17"/>
          <w:szCs w:val="17"/>
          <w:color w:val="auto"/>
        </w:rPr>
        <w:t xml:space="preserve"> (Waiver of Jury Trial) of the Credit Agreement are incorporated herein by reference to the same extent as if reproduced herein in their entirety.</w:t>
      </w:r>
    </w:p>
    <w:p>
      <w:pPr>
        <w:spacing w:after="0" w:line="169" w:lineRule="exact"/>
        <w:rPr>
          <w:rFonts w:ascii="Times New Roman" w:cs="Times New Roman" w:eastAsia="Times New Roman" w:hAnsi="Times New Roman"/>
          <w:sz w:val="17"/>
          <w:szCs w:val="17"/>
          <w:color w:val="auto"/>
        </w:rPr>
      </w:pPr>
    </w:p>
    <w:p>
      <w:pPr>
        <w:ind w:left="1440" w:hanging="229"/>
        <w:spacing w:after="0"/>
        <w:tabs>
          <w:tab w:leader="none" w:pos="144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Section headings in this Agreement are included for convenience of reference only and shall not constitute a part of this Agreement for</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any other purpose.</w:t>
      </w:r>
    </w:p>
    <w:p>
      <w:pPr>
        <w:spacing w:after="0" w:line="191" w:lineRule="exact"/>
        <w:rPr>
          <w:rFonts w:ascii="Times New Roman" w:cs="Times New Roman" w:eastAsia="Times New Roman" w:hAnsi="Times New Roman"/>
          <w:sz w:val="16"/>
          <w:szCs w:val="16"/>
          <w:color w:val="auto"/>
        </w:rPr>
      </w:pPr>
    </w:p>
    <w:p>
      <w:pPr>
        <w:jc w:val="both"/>
        <w:ind w:firstLine="1211"/>
        <w:spacing w:after="0" w:line="251" w:lineRule="auto"/>
        <w:tabs>
          <w:tab w:leader="none" w:pos="1439"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signed in any number of counterparts, each of which shall be deemed an original and all of which when taken together shall constitute one and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17"/>
          <w:szCs w:val="17"/>
          <w:b w:val="1"/>
          <w:bCs w:val="1"/>
          <w:color w:val="auto"/>
        </w:rPr>
        <w:t>Electronic Signature</w:t>
      </w:r>
      <w:r>
        <w:rPr>
          <w:rFonts w:ascii="Times New Roman" w:cs="Times New Roman" w:eastAsia="Times New Roman" w:hAnsi="Times New Roman"/>
          <w:sz w:val="17"/>
          <w:szCs w:val="17"/>
          <w:color w:val="auto"/>
        </w:rPr>
        <w:t>” means an electronic sound, symbol, or process attached to, or associated with, a contract or other record and adopted by a Person with the intent to sign, authenticate or accept such contract or other record.</w:t>
      </w:r>
    </w:p>
    <w:p>
      <w:pPr>
        <w:spacing w:after="0" w:line="177" w:lineRule="exact"/>
        <w:rPr>
          <w:rFonts w:ascii="Times New Roman" w:cs="Times New Roman" w:eastAsia="Times New Roman" w:hAnsi="Times New Roman"/>
          <w:sz w:val="17"/>
          <w:szCs w:val="17"/>
          <w:color w:val="auto"/>
        </w:rPr>
      </w:pPr>
    </w:p>
    <w:p>
      <w:pPr>
        <w:ind w:firstLine="1211"/>
        <w:spacing w:after="0" w:line="274" w:lineRule="auto"/>
        <w:tabs>
          <w:tab w:leader="none" w:pos="142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constitutes the entire agreement and understanding among the parties hereto and supersedes any and all prior agreements and understandings, oral or written, relating to the subject matter hereof.</w:t>
      </w:r>
    </w:p>
    <w:p>
      <w:pPr>
        <w:spacing w:after="0" w:line="158" w:lineRule="exact"/>
        <w:rPr>
          <w:rFonts w:ascii="Times New Roman" w:cs="Times New Roman" w:eastAsia="Times New Roman" w:hAnsi="Times New Roman"/>
          <w:sz w:val="17"/>
          <w:szCs w:val="17"/>
          <w:color w:val="auto"/>
        </w:rPr>
      </w:pPr>
    </w:p>
    <w:p>
      <w:pPr>
        <w:jc w:val="both"/>
        <w:ind w:firstLine="1211"/>
        <w:spacing w:after="0" w:line="261" w:lineRule="auto"/>
        <w:tabs>
          <w:tab w:leader="none" w:pos="1448"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69" w:lineRule="exact"/>
        <w:rPr>
          <w:rFonts w:ascii="Times New Roman" w:cs="Times New Roman" w:eastAsia="Times New Roman" w:hAnsi="Times New Roman"/>
          <w:sz w:val="17"/>
          <w:szCs w:val="17"/>
          <w:color w:val="auto"/>
        </w:rPr>
      </w:pPr>
    </w:p>
    <w:p>
      <w:pPr>
        <w:ind w:firstLine="1211"/>
        <w:spacing w:after="0" w:line="274" w:lineRule="auto"/>
        <w:tabs>
          <w:tab w:leader="none" w:pos="1461"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Successors/Assigns</w:t>
      </w:r>
      <w:r>
        <w:rPr>
          <w:rFonts w:ascii="Times New Roman" w:cs="Times New Roman" w:eastAsia="Times New Roman" w:hAnsi="Times New Roman"/>
          <w:sz w:val="17"/>
          <w:szCs w:val="17"/>
          <w:color w:val="auto"/>
        </w:rPr>
        <w:t>. This Agreement shall bind, and the rights hereunder shall inure to, the respective successors and assigns of the parties hereto, subject to the provisions of the Credit Agreement and the other Financing Documents.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[SIGNATURES APPEAR ON FOLLOWING PAGES]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3" w:name="page164"/>
    <w:bookmarkEnd w:id="163"/>
    <w:p>
      <w:pPr>
        <w:ind w:left="600"/>
        <w:spacing w:after="0"/>
        <w:rPr>
          <w:sz w:val="20"/>
          <w:szCs w:val="20"/>
          <w:color w:val="auto"/>
        </w:rPr>
      </w:pPr>
      <w:r>
        <w:rPr>
          <w:rFonts w:ascii="Times New Roman" w:cs="Times New Roman" w:eastAsia="Times New Roman" w:hAnsi="Times New Roman"/>
          <w:sz w:val="17"/>
          <w:szCs w:val="17"/>
          <w:color w:val="auto"/>
        </w:rPr>
        <w:t>IN WITNESS WHEREOF, intending to be legally bound, the undersigned have executed this Agreement as of the day and year first hereinabove set forth.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AGENT:</w:t>
            </w:r>
          </w:p>
        </w:tc>
        <w:tc>
          <w:tcPr>
            <w:tcW w:w="8100" w:type="dxa"/>
            <w:vAlign w:val="bottom"/>
            <w:gridSpan w:val="2"/>
          </w:tcPr>
          <w:p>
            <w:pPr>
              <w:ind w:left="2500"/>
              <w:spacing w:after="0"/>
              <w:rPr>
                <w:sz w:val="20"/>
                <w:szCs w:val="20"/>
                <w:color w:val="auto"/>
              </w:rPr>
            </w:pPr>
            <w:r>
              <w:rPr>
                <w:rFonts w:ascii="Times New Roman" w:cs="Times New Roman" w:eastAsia="Times New Roman" w:hAnsi="Times New Roman"/>
                <w:sz w:val="17"/>
                <w:szCs w:val="17"/>
                <w:b w:val="1"/>
                <w:bCs w:val="1"/>
                <w:color w:val="auto"/>
              </w:rPr>
              <w:t>MIDCAP FUNDING IV TRUST,</w:t>
            </w:r>
          </w:p>
        </w:tc>
      </w:tr>
      <w:tr>
        <w:trPr>
          <w:trHeight w:val="218"/>
        </w:trPr>
        <w:tc>
          <w:tcPr>
            <w:tcW w:w="3140" w:type="dxa"/>
            <w:vAlign w:val="bottom"/>
          </w:tcPr>
          <w:p>
            <w:pPr>
              <w:spacing w:after="0"/>
              <w:rPr>
                <w:sz w:val="18"/>
                <w:szCs w:val="18"/>
                <w:color w:val="auto"/>
              </w:rPr>
            </w:pPr>
          </w:p>
        </w:tc>
        <w:tc>
          <w:tcPr>
            <w:tcW w:w="8100" w:type="dxa"/>
            <w:vAlign w:val="bottom"/>
            <w:gridSpan w:val="2"/>
          </w:tcPr>
          <w:p>
            <w:pPr>
              <w:ind w:left="2500"/>
              <w:spacing w:after="0"/>
              <w:rPr>
                <w:sz w:val="20"/>
                <w:szCs w:val="20"/>
                <w:color w:val="auto"/>
              </w:rPr>
            </w:pPr>
            <w:r>
              <w:rPr>
                <w:rFonts w:ascii="Times New Roman" w:cs="Times New Roman" w:eastAsia="Times New Roman" w:hAnsi="Times New Roman"/>
                <w:sz w:val="17"/>
                <w:szCs w:val="17"/>
                <w:color w:val="auto"/>
              </w:rPr>
              <w:t>as Agent</w:t>
            </w:r>
          </w:p>
        </w:tc>
      </w:tr>
      <w:tr>
        <w:trPr>
          <w:trHeight w:val="403"/>
        </w:trPr>
        <w:tc>
          <w:tcPr>
            <w:tcW w:w="3140" w:type="dxa"/>
            <w:vAlign w:val="bottom"/>
          </w:tcPr>
          <w:p>
            <w:pPr>
              <w:spacing w:after="0"/>
              <w:rPr>
                <w:sz w:val="24"/>
                <w:szCs w:val="24"/>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L.P., its investment manager</w:t>
            </w:r>
          </w:p>
        </w:tc>
      </w:tr>
      <w:tr>
        <w:trPr>
          <w:trHeight w:val="403"/>
        </w:trPr>
        <w:tc>
          <w:tcPr>
            <w:tcW w:w="3140" w:type="dxa"/>
            <w:vAlign w:val="bottom"/>
          </w:tcPr>
          <w:p>
            <w:pPr>
              <w:spacing w:after="0"/>
              <w:rPr>
                <w:sz w:val="24"/>
                <w:szCs w:val="24"/>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GP, LLC, its general partner</w:t>
            </w:r>
          </w:p>
        </w:tc>
      </w:tr>
      <w:tr>
        <w:trPr>
          <w:trHeight w:val="403"/>
        </w:trPr>
        <w:tc>
          <w:tcPr>
            <w:tcW w:w="3140" w:type="dxa"/>
            <w:vAlign w:val="bottom"/>
          </w:tcPr>
          <w:p>
            <w:pPr>
              <w:spacing w:after="0"/>
              <w:rPr>
                <w:sz w:val="24"/>
                <w:szCs w:val="24"/>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Maurice Amsellem</w:t>
            </w:r>
          </w:p>
        </w:tc>
      </w:tr>
      <w:tr>
        <w:trPr>
          <w:trHeight w:val="178"/>
        </w:trPr>
        <w:tc>
          <w:tcPr>
            <w:tcW w:w="3140" w:type="dxa"/>
            <w:vAlign w:val="bottom"/>
          </w:tcPr>
          <w:p>
            <w:pPr>
              <w:spacing w:after="0"/>
              <w:rPr>
                <w:sz w:val="15"/>
                <w:szCs w:val="15"/>
                <w:color w:val="auto"/>
              </w:rPr>
            </w:pPr>
          </w:p>
        </w:tc>
        <w:tc>
          <w:tcPr>
            <w:tcW w:w="3060" w:type="dxa"/>
            <w:vAlign w:val="bottom"/>
          </w:tcPr>
          <w:p>
            <w:pPr>
              <w:ind w:left="250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Maurice Amsellem</w:t>
            </w:r>
          </w:p>
        </w:tc>
      </w:tr>
      <w:tr>
        <w:trPr>
          <w:trHeight w:val="218"/>
        </w:trPr>
        <w:tc>
          <w:tcPr>
            <w:tcW w:w="3140" w:type="dxa"/>
            <w:vAlign w:val="bottom"/>
          </w:tcPr>
          <w:p>
            <w:pPr>
              <w:spacing w:after="0"/>
              <w:rPr>
                <w:sz w:val="18"/>
                <w:szCs w:val="18"/>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[Signatures Continue on Following Page]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2"/>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7"/>
                <w:szCs w:val="17"/>
                <w:b w:val="1"/>
                <w:bCs w:val="1"/>
                <w:color w:val="auto"/>
              </w:rPr>
              <w:t>MIDCAP FUNDING IV TRUST</w:t>
            </w:r>
          </w:p>
        </w:tc>
      </w:tr>
      <w:tr>
        <w:trPr>
          <w:trHeight w:val="403"/>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L.P., its investment manager</w:t>
            </w:r>
          </w:p>
        </w:tc>
      </w:tr>
      <w:tr>
        <w:trPr>
          <w:trHeight w:val="403"/>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Apollo Capital Management GP, LLC, its general partner</w:t>
            </w:r>
          </w:p>
        </w:tc>
      </w:tr>
      <w:tr>
        <w:trPr>
          <w:trHeight w:val="403"/>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Maurice Amsellem</w:t>
            </w:r>
          </w:p>
        </w:tc>
      </w:tr>
      <w:tr>
        <w:trPr>
          <w:trHeight w:val="178"/>
        </w:trPr>
        <w:tc>
          <w:tcPr>
            <w:tcW w:w="3160" w:type="dxa"/>
            <w:vAlign w:val="bottom"/>
          </w:tcPr>
          <w:p>
            <w:pPr>
              <w:spacing w:after="0"/>
              <w:rPr>
                <w:sz w:val="15"/>
                <w:szCs w:val="15"/>
                <w:color w:val="auto"/>
              </w:rPr>
            </w:pPr>
          </w:p>
        </w:tc>
        <w:tc>
          <w:tcPr>
            <w:tcW w:w="3040" w:type="dxa"/>
            <w:vAlign w:val="bottom"/>
          </w:tcPr>
          <w:p>
            <w:pPr>
              <w:ind w:left="248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Maurice Amsellem</w:t>
            </w:r>
          </w:p>
        </w:tc>
      </w:tr>
      <w:tr>
        <w:trPr>
          <w:trHeight w:val="218"/>
        </w:trPr>
        <w:tc>
          <w:tcPr>
            <w:tcW w:w="3160" w:type="dxa"/>
            <w:vAlign w:val="bottom"/>
          </w:tcPr>
          <w:p>
            <w:pPr>
              <w:spacing w:after="0"/>
              <w:rPr>
                <w:sz w:val="18"/>
                <w:szCs w:val="18"/>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Signatory</w:t>
            </w:r>
          </w:p>
        </w:tc>
      </w:tr>
      <w:tr>
        <w:trPr>
          <w:trHeight w:val="429"/>
        </w:trPr>
        <w:tc>
          <w:tcPr>
            <w:tcW w:w="3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7"/>
                <w:szCs w:val="17"/>
                <w:color w:val="auto"/>
              </w:rPr>
              <w:t>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4" w:right="33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BORROWERS:</w:t>
            </w: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7"/>
                <w:szCs w:val="17"/>
                <w:b w:val="1"/>
                <w:bCs w:val="1"/>
                <w:color w:val="auto"/>
              </w:rPr>
              <w:t>XTANT MEDICAL, INC.</w:t>
            </w:r>
          </w:p>
        </w:tc>
      </w:tr>
      <w:tr>
        <w:trPr>
          <w:trHeight w:val="403"/>
        </w:trPr>
        <w:tc>
          <w:tcPr>
            <w:tcW w:w="3380" w:type="dxa"/>
            <w:vAlign w:val="bottom"/>
          </w:tcPr>
          <w:p>
            <w:pPr>
              <w:spacing w:after="0"/>
              <w:rPr>
                <w:sz w:val="24"/>
                <w:szCs w:val="24"/>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E. Browne</w:t>
            </w:r>
          </w:p>
        </w:tc>
      </w:tr>
      <w:tr>
        <w:trPr>
          <w:trHeight w:val="178"/>
        </w:trPr>
        <w:tc>
          <w:tcPr>
            <w:tcW w:w="3380" w:type="dxa"/>
            <w:vAlign w:val="bottom"/>
          </w:tcPr>
          <w:p>
            <w:pPr>
              <w:spacing w:after="0"/>
              <w:rPr>
                <w:sz w:val="15"/>
                <w:szCs w:val="15"/>
                <w:color w:val="auto"/>
              </w:rPr>
            </w:pPr>
          </w:p>
        </w:tc>
        <w:tc>
          <w:tcPr>
            <w:tcW w:w="2820" w:type="dxa"/>
            <w:vAlign w:val="bottom"/>
          </w:tcPr>
          <w:p>
            <w:pPr>
              <w:ind w:left="226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Browne</w:t>
            </w:r>
          </w:p>
        </w:tc>
      </w:tr>
      <w:tr>
        <w:trPr>
          <w:trHeight w:val="218"/>
        </w:trPr>
        <w:tc>
          <w:tcPr>
            <w:tcW w:w="3380" w:type="dxa"/>
            <w:vAlign w:val="bottom"/>
          </w:tcPr>
          <w:p>
            <w:pPr>
              <w:spacing w:after="0"/>
              <w:rPr>
                <w:sz w:val="18"/>
                <w:szCs w:val="18"/>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3"/>
        </w:trPr>
        <w:tc>
          <w:tcPr>
            <w:tcW w:w="3380" w:type="dxa"/>
            <w:vAlign w:val="bottom"/>
          </w:tcPr>
          <w:p>
            <w:pPr>
              <w:spacing w:after="0"/>
              <w:rPr>
                <w:sz w:val="24"/>
                <w:szCs w:val="24"/>
                <w:color w:val="auto"/>
              </w:rPr>
            </w:pP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7"/>
                <w:szCs w:val="17"/>
                <w:b w:val="1"/>
                <w:bCs w:val="1"/>
                <w:color w:val="auto"/>
              </w:rPr>
              <w:t>BACTERIN INTERNATIONAL, INC.</w:t>
            </w:r>
          </w:p>
        </w:tc>
      </w:tr>
      <w:tr>
        <w:trPr>
          <w:trHeight w:val="403"/>
        </w:trPr>
        <w:tc>
          <w:tcPr>
            <w:tcW w:w="3380" w:type="dxa"/>
            <w:vAlign w:val="bottom"/>
          </w:tcPr>
          <w:p>
            <w:pPr>
              <w:spacing w:after="0"/>
              <w:rPr>
                <w:sz w:val="24"/>
                <w:szCs w:val="24"/>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E. Browne</w:t>
            </w:r>
          </w:p>
        </w:tc>
      </w:tr>
      <w:tr>
        <w:trPr>
          <w:trHeight w:val="178"/>
        </w:trPr>
        <w:tc>
          <w:tcPr>
            <w:tcW w:w="3380" w:type="dxa"/>
            <w:vAlign w:val="bottom"/>
          </w:tcPr>
          <w:p>
            <w:pPr>
              <w:spacing w:after="0"/>
              <w:rPr>
                <w:sz w:val="15"/>
                <w:szCs w:val="15"/>
                <w:color w:val="auto"/>
              </w:rPr>
            </w:pPr>
          </w:p>
        </w:tc>
        <w:tc>
          <w:tcPr>
            <w:tcW w:w="2820" w:type="dxa"/>
            <w:vAlign w:val="bottom"/>
          </w:tcPr>
          <w:p>
            <w:pPr>
              <w:ind w:left="226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Browne</w:t>
            </w:r>
          </w:p>
        </w:tc>
      </w:tr>
      <w:tr>
        <w:trPr>
          <w:trHeight w:val="218"/>
        </w:trPr>
        <w:tc>
          <w:tcPr>
            <w:tcW w:w="3380" w:type="dxa"/>
            <w:vAlign w:val="bottom"/>
          </w:tcPr>
          <w:p>
            <w:pPr>
              <w:spacing w:after="0"/>
              <w:rPr>
                <w:sz w:val="18"/>
                <w:szCs w:val="18"/>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3"/>
        </w:trPr>
        <w:tc>
          <w:tcPr>
            <w:tcW w:w="3380" w:type="dxa"/>
            <w:vAlign w:val="bottom"/>
          </w:tcPr>
          <w:p>
            <w:pPr>
              <w:spacing w:after="0"/>
              <w:rPr>
                <w:sz w:val="24"/>
                <w:szCs w:val="24"/>
                <w:color w:val="auto"/>
              </w:rPr>
            </w:pP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7"/>
                <w:szCs w:val="17"/>
                <w:b w:val="1"/>
                <w:bCs w:val="1"/>
                <w:color w:val="auto"/>
              </w:rPr>
              <w:t>X-SPINE SYSTEMS, INC.</w:t>
            </w:r>
          </w:p>
        </w:tc>
      </w:tr>
      <w:tr>
        <w:trPr>
          <w:trHeight w:val="403"/>
        </w:trPr>
        <w:tc>
          <w:tcPr>
            <w:tcW w:w="3380" w:type="dxa"/>
            <w:vAlign w:val="bottom"/>
          </w:tcPr>
          <w:p>
            <w:pPr>
              <w:spacing w:after="0"/>
              <w:rPr>
                <w:sz w:val="24"/>
                <w:szCs w:val="24"/>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E. Browne</w:t>
            </w:r>
          </w:p>
        </w:tc>
      </w:tr>
      <w:tr>
        <w:trPr>
          <w:trHeight w:val="178"/>
        </w:trPr>
        <w:tc>
          <w:tcPr>
            <w:tcW w:w="3380" w:type="dxa"/>
            <w:vAlign w:val="bottom"/>
          </w:tcPr>
          <w:p>
            <w:pPr>
              <w:spacing w:after="0"/>
              <w:rPr>
                <w:sz w:val="15"/>
                <w:szCs w:val="15"/>
                <w:color w:val="auto"/>
              </w:rPr>
            </w:pPr>
          </w:p>
        </w:tc>
        <w:tc>
          <w:tcPr>
            <w:tcW w:w="2820" w:type="dxa"/>
            <w:vAlign w:val="bottom"/>
          </w:tcPr>
          <w:p>
            <w:pPr>
              <w:ind w:left="226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Browne</w:t>
            </w:r>
          </w:p>
        </w:tc>
      </w:tr>
      <w:tr>
        <w:trPr>
          <w:trHeight w:val="218"/>
        </w:trPr>
        <w:tc>
          <w:tcPr>
            <w:tcW w:w="3380" w:type="dxa"/>
            <w:vAlign w:val="bottom"/>
          </w:tcPr>
          <w:p>
            <w:pPr>
              <w:spacing w:after="0"/>
              <w:rPr>
                <w:sz w:val="18"/>
                <w:szCs w:val="18"/>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3"/>
        </w:trPr>
        <w:tc>
          <w:tcPr>
            <w:tcW w:w="3380" w:type="dxa"/>
            <w:vAlign w:val="bottom"/>
          </w:tcPr>
          <w:p>
            <w:pPr>
              <w:spacing w:after="0"/>
              <w:rPr>
                <w:sz w:val="24"/>
                <w:szCs w:val="24"/>
                <w:color w:val="auto"/>
              </w:rPr>
            </w:pP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7"/>
                <w:szCs w:val="17"/>
                <w:b w:val="1"/>
                <w:bCs w:val="1"/>
                <w:color w:val="auto"/>
              </w:rPr>
              <w:t>SURGALIGN SPV, INC.</w:t>
            </w:r>
          </w:p>
        </w:tc>
      </w:tr>
      <w:tr>
        <w:trPr>
          <w:trHeight w:val="403"/>
        </w:trPr>
        <w:tc>
          <w:tcPr>
            <w:tcW w:w="3380" w:type="dxa"/>
            <w:vAlign w:val="bottom"/>
          </w:tcPr>
          <w:p>
            <w:pPr>
              <w:spacing w:after="0"/>
              <w:rPr>
                <w:sz w:val="24"/>
                <w:szCs w:val="24"/>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E. Browne</w:t>
            </w:r>
          </w:p>
        </w:tc>
      </w:tr>
      <w:tr>
        <w:trPr>
          <w:trHeight w:val="178"/>
        </w:trPr>
        <w:tc>
          <w:tcPr>
            <w:tcW w:w="3380" w:type="dxa"/>
            <w:vAlign w:val="bottom"/>
          </w:tcPr>
          <w:p>
            <w:pPr>
              <w:spacing w:after="0"/>
              <w:rPr>
                <w:sz w:val="15"/>
                <w:szCs w:val="15"/>
                <w:color w:val="auto"/>
              </w:rPr>
            </w:pPr>
          </w:p>
        </w:tc>
        <w:tc>
          <w:tcPr>
            <w:tcW w:w="2820" w:type="dxa"/>
            <w:vAlign w:val="bottom"/>
          </w:tcPr>
          <w:p>
            <w:pPr>
              <w:ind w:left="226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Browne</w:t>
            </w:r>
          </w:p>
        </w:tc>
      </w:tr>
      <w:tr>
        <w:trPr>
          <w:trHeight w:val="218"/>
        </w:trPr>
        <w:tc>
          <w:tcPr>
            <w:tcW w:w="3380" w:type="dxa"/>
            <w:vAlign w:val="bottom"/>
          </w:tcPr>
          <w:p>
            <w:pPr>
              <w:spacing w:after="0"/>
              <w:rPr>
                <w:sz w:val="18"/>
                <w:szCs w:val="18"/>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3"/>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GUARANTOR:</w:t>
            </w: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7"/>
                <w:szCs w:val="17"/>
                <w:b w:val="1"/>
                <w:bCs w:val="1"/>
                <w:color w:val="auto"/>
              </w:rPr>
              <w:t>XTANT MEDICAL HOLDINGS, INC.</w:t>
            </w:r>
          </w:p>
        </w:tc>
      </w:tr>
      <w:tr>
        <w:trPr>
          <w:trHeight w:val="403"/>
        </w:trPr>
        <w:tc>
          <w:tcPr>
            <w:tcW w:w="3380" w:type="dxa"/>
            <w:vAlign w:val="bottom"/>
          </w:tcPr>
          <w:p>
            <w:pPr>
              <w:spacing w:after="0"/>
              <w:rPr>
                <w:sz w:val="24"/>
                <w:szCs w:val="24"/>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E. Browne</w:t>
            </w:r>
          </w:p>
        </w:tc>
      </w:tr>
      <w:tr>
        <w:trPr>
          <w:trHeight w:val="178"/>
        </w:trPr>
        <w:tc>
          <w:tcPr>
            <w:tcW w:w="3380" w:type="dxa"/>
            <w:vAlign w:val="bottom"/>
          </w:tcPr>
          <w:p>
            <w:pPr>
              <w:spacing w:after="0"/>
              <w:rPr>
                <w:sz w:val="15"/>
                <w:szCs w:val="15"/>
                <w:color w:val="auto"/>
              </w:rPr>
            </w:pPr>
          </w:p>
        </w:tc>
        <w:tc>
          <w:tcPr>
            <w:tcW w:w="2820" w:type="dxa"/>
            <w:vAlign w:val="bottom"/>
          </w:tcPr>
          <w:p>
            <w:pPr>
              <w:ind w:left="226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Browne</w:t>
            </w:r>
          </w:p>
        </w:tc>
      </w:tr>
      <w:tr>
        <w:trPr>
          <w:trHeight w:val="218"/>
        </w:trPr>
        <w:tc>
          <w:tcPr>
            <w:tcW w:w="3380" w:type="dxa"/>
            <w:vAlign w:val="bottom"/>
          </w:tcPr>
          <w:p>
            <w:pPr>
              <w:spacing w:after="0"/>
              <w:rPr>
                <w:sz w:val="18"/>
                <w:szCs w:val="18"/>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29"/>
        </w:trPr>
        <w:tc>
          <w:tcPr>
            <w:tcW w:w="3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7"/>
                <w:szCs w:val="17"/>
                <w:color w:val="auto"/>
              </w:rPr>
              <w:t>7</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4" w:right="3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EXHIBIT A</w:t>
            </w:r>
          </w:p>
        </w:tc>
        <w:tc>
          <w:tcPr>
            <w:tcW w:w="5180" w:type="dxa"/>
            <w:vAlign w:val="bottom"/>
            <w:gridSpan w:val="2"/>
          </w:tcPr>
          <w:p>
            <w:pPr>
              <w:spacing w:after="0"/>
              <w:rPr>
                <w:sz w:val="17"/>
                <w:szCs w:val="17"/>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w w:val="97"/>
              </w:rPr>
              <w:t>Orthobiologics Products</w:t>
            </w:r>
          </w:p>
        </w:tc>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Spinal Implant Products</w:t>
            </w:r>
          </w:p>
        </w:tc>
      </w:tr>
      <w:tr>
        <w:trPr>
          <w:trHeight w:val="20"/>
        </w:trPr>
        <w:tc>
          <w:tcPr>
            <w:tcW w:w="16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3Demin</w:t>
            </w: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Aranax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Amnio</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Axle</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Atrix-C</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Butrex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Atrix-C Union</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Calix A</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BacFast HD</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Calix C</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BioAdapt</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Calix P</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BiomaX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Calix T</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Bone Graft Delivery</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Certex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Cancellous Chips</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Cervalign</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Cancellous Crushed</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Cofix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CollaGenX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Coflex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Elemax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Contact ALP</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FibreX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Cortera</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H-Graft</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Fixcet</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Matriform</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Fortex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nanOss</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Fortilink-A with TETRAfuse</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NanOss Strata</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Fortilink-A with TiPlus</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OsteoFactor</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Fortilink-C with TETRAfuse</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OsteoFactor Pro</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Fortilink-C with TiPlus</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OsteoMax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Fortilink-TC with TiPlus</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OsteoSelect</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Fortilink-TS with TETRAfuse</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OsteoSponge</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Fortilink-TS with TiPlus InTice C</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OsteoVive</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Irix-A</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OsteoVive Plus</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Irix-C</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OsteoWrap</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MaxFuse</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SimpliMix</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Silex</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Sports Medicine (Tendon)</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Spider</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Traditional Allografts (Structural Grafts)</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Streamline MIS</w:t>
            </w:r>
          </w:p>
        </w:tc>
      </w:tr>
      <w:tr>
        <w:trPr>
          <w:trHeight w:val="202"/>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Trivium</w:t>
            </w: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Streamline OCT</w:t>
            </w:r>
          </w:p>
        </w:tc>
      </w:tr>
      <w:tr>
        <w:trPr>
          <w:trHeight w:val="202"/>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Streamline</w:t>
            </w:r>
          </w:p>
        </w:tc>
      </w:tr>
      <w:tr>
        <w:trPr>
          <w:trHeight w:val="202"/>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T-Plus</w:t>
            </w:r>
          </w:p>
        </w:tc>
      </w:tr>
      <w:tr>
        <w:trPr>
          <w:trHeight w:val="202"/>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X90</w:t>
            </w:r>
          </w:p>
        </w:tc>
      </w:tr>
      <w:tr>
        <w:trPr>
          <w:trHeight w:val="202"/>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Xpress</w:t>
            </w:r>
          </w:p>
        </w:tc>
      </w:tr>
      <w:tr>
        <w:trPr>
          <w:trHeight w:val="202"/>
        </w:trPr>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Xspan</w:t>
            </w:r>
          </w:p>
        </w:tc>
      </w:tr>
      <w:tr>
        <w:trPr>
          <w:trHeight w:val="218"/>
        </w:trPr>
        <w:tc>
          <w:tcPr>
            <w:tcW w:w="1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Zyfix</w:t>
            </w:r>
          </w:p>
        </w:tc>
      </w:tr>
      <w:tr>
        <w:trPr>
          <w:trHeight w:val="404"/>
        </w:trPr>
        <w:tc>
          <w:tcPr>
            <w:tcW w:w="1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7" w:right="33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EXHIBIT B</w:t>
            </w:r>
          </w:p>
        </w:tc>
        <w:tc>
          <w:tcPr>
            <w:tcW w:w="3280" w:type="dxa"/>
            <w:vAlign w:val="bottom"/>
            <w:gridSpan w:val="3"/>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1"/>
        </w:trPr>
        <w:tc>
          <w:tcPr>
            <w:tcW w:w="2960" w:type="dxa"/>
            <w:vAlign w:val="bottom"/>
          </w:tcPr>
          <w:p>
            <w:pPr>
              <w:spacing w:after="0"/>
              <w:rPr>
                <w:sz w:val="24"/>
                <w:szCs w:val="24"/>
                <w:color w:val="auto"/>
              </w:rPr>
            </w:pPr>
          </w:p>
        </w:tc>
        <w:tc>
          <w:tcPr>
            <w:tcW w:w="6380" w:type="dxa"/>
            <w:vAlign w:val="bottom"/>
            <w:gridSpan w:val="5"/>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w w:val="99"/>
              </w:rPr>
              <w:t>Schedule 6.1 – Minimum Net Revenue</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3"/>
        </w:trPr>
        <w:tc>
          <w:tcPr>
            <w:tcW w:w="2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98"/>
              </w:rPr>
              <w:t>Minimum Net Revenue</w:t>
            </w:r>
          </w:p>
        </w:tc>
      </w:tr>
      <w:tr>
        <w:trPr>
          <w:trHeight w:val="222"/>
        </w:trPr>
        <w:tc>
          <w:tcPr>
            <w:tcW w:w="2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Defined Period Ending</w:t>
            </w:r>
          </w:p>
        </w:tc>
        <w:tc>
          <w:tcPr>
            <w:tcW w:w="2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195"/>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2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March 31, 2026</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30, 2026</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69,000,000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September 30, 2026</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2026</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76,000,000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March 31, 2027</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30, 2027</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78,000,000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September 30, 2027</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2027</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80,000,000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March 31, 2028</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30, 2028</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82,000,000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September 30, 2028</w:t>
            </w:r>
          </w:p>
        </w:tc>
        <w:tc>
          <w:tcPr>
            <w:tcW w:w="63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83,000,000</w:t>
            </w:r>
          </w:p>
        </w:tc>
      </w:tr>
      <w:tr>
        <w:trPr>
          <w:trHeight w:val="20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2028</w:t>
            </w:r>
          </w:p>
        </w:tc>
        <w:tc>
          <w:tcPr>
            <w:tcW w:w="63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84,000,000</w:t>
            </w:r>
          </w:p>
        </w:tc>
      </w:tr>
      <w:tr>
        <w:trPr>
          <w:trHeight w:val="403"/>
        </w:trPr>
        <w:tc>
          <w:tcPr>
            <w:tcW w:w="29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center"/>
              <w:ind w:left="2136"/>
              <w:spacing w:after="0"/>
              <w:rPr>
                <w:sz w:val="20"/>
                <w:szCs w:val="20"/>
                <w:color w:val="auto"/>
              </w:rPr>
            </w:pPr>
            <w:r>
              <w:rPr>
                <w:rFonts w:ascii="Times New Roman" w:cs="Times New Roman" w:eastAsia="Times New Roman" w:hAnsi="Times New Roman"/>
                <w:sz w:val="17"/>
                <w:szCs w:val="17"/>
                <w:color w:val="auto"/>
                <w:w w:val="93"/>
              </w:rPr>
              <w:t>9</w:t>
            </w:r>
          </w:p>
        </w:tc>
        <w:tc>
          <w:tcPr>
            <w:tcW w:w="2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8" w:right="3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0" w:type="dxa"/>
            <w:vAlign w:val="bottom"/>
            <w:gridSpan w:val="2"/>
          </w:tcPr>
          <w:p>
            <w:pPr>
              <w:ind w:left="4320"/>
              <w:spacing w:after="0"/>
              <w:rPr>
                <w:sz w:val="20"/>
                <w:szCs w:val="20"/>
                <w:color w:val="auto"/>
              </w:rPr>
            </w:pPr>
            <w:r>
              <w:rPr>
                <w:rFonts w:ascii="Times New Roman" w:cs="Times New Roman" w:eastAsia="Times New Roman" w:hAnsi="Times New Roman"/>
                <w:sz w:val="17"/>
                <w:szCs w:val="17"/>
                <w:b w:val="1"/>
                <w:bCs w:val="1"/>
                <w:color w:val="auto"/>
                <w:w w:val="97"/>
              </w:rPr>
              <w:t>Exhibit 21.1</w:t>
            </w:r>
          </w:p>
        </w:tc>
      </w:tr>
      <w:tr>
        <w:trPr>
          <w:trHeight w:val="36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220" w:type="dxa"/>
            <w:vAlign w:val="bottom"/>
            <w:gridSpan w:val="6"/>
          </w:tcPr>
          <w:p>
            <w:pPr>
              <w:ind w:left="1140"/>
              <w:spacing w:after="0"/>
              <w:rPr>
                <w:sz w:val="20"/>
                <w:szCs w:val="20"/>
                <w:color w:val="auto"/>
              </w:rPr>
            </w:pPr>
            <w:r>
              <w:rPr>
                <w:rFonts w:ascii="Times New Roman" w:cs="Times New Roman" w:eastAsia="Times New Roman" w:hAnsi="Times New Roman"/>
                <w:sz w:val="17"/>
                <w:szCs w:val="17"/>
                <w:b w:val="1"/>
                <w:bCs w:val="1"/>
                <w:color w:val="auto"/>
              </w:rPr>
              <w:t>Subsidiaries</w:t>
            </w:r>
          </w:p>
        </w:tc>
      </w:tr>
      <w:tr>
        <w:trPr>
          <w:trHeight w:val="433"/>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11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State or Other Jurisdiction of Incorporation or Organization</w:t>
            </w:r>
          </w:p>
        </w:tc>
      </w:tr>
      <w:tr>
        <w:trPr>
          <w:trHeight w:val="174"/>
        </w:trPr>
        <w:tc>
          <w:tcPr>
            <w:tcW w:w="20" w:type="dxa"/>
            <w:vAlign w:val="bottom"/>
          </w:tcPr>
          <w:p>
            <w:pPr>
              <w:spacing w:after="0"/>
              <w:rPr>
                <w:sz w:val="15"/>
                <w:szCs w:val="15"/>
                <w:color w:val="auto"/>
              </w:rPr>
            </w:pPr>
          </w:p>
        </w:tc>
        <w:tc>
          <w:tcPr>
            <w:tcW w:w="402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7"/>
                <w:szCs w:val="17"/>
                <w:color w:val="auto"/>
              </w:rPr>
              <w:t>Bacterin International, Inc.</w:t>
            </w:r>
          </w:p>
        </w:tc>
        <w:tc>
          <w:tcPr>
            <w:tcW w:w="1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180" w:type="dxa"/>
            <w:vAlign w:val="bottom"/>
            <w:tcBorders>
              <w:top w:val="single" w:sz="8" w:color="auto"/>
            </w:tcBorders>
          </w:tcPr>
          <w:p>
            <w:pPr>
              <w:jc w:val="center"/>
              <w:ind w:right="236"/>
              <w:spacing w:after="0" w:line="175" w:lineRule="exact"/>
              <w:rPr>
                <w:sz w:val="20"/>
                <w:szCs w:val="20"/>
                <w:color w:val="auto"/>
              </w:rPr>
            </w:pPr>
            <w:r>
              <w:rPr>
                <w:rFonts w:ascii="Times New Roman" w:cs="Times New Roman" w:eastAsia="Times New Roman" w:hAnsi="Times New Roman"/>
                <w:sz w:val="17"/>
                <w:szCs w:val="17"/>
                <w:b w:val="1"/>
                <w:bCs w:val="1"/>
                <w:color w:val="auto"/>
                <w:w w:val="98"/>
              </w:rPr>
              <w:t>Nevada</w:t>
            </w:r>
          </w:p>
        </w:tc>
        <w:tc>
          <w:tcPr>
            <w:tcW w:w="20" w:type="dxa"/>
            <w:vAlign w:val="bottom"/>
          </w:tcPr>
          <w:p>
            <w:pPr>
              <w:spacing w:after="0"/>
              <w:rPr>
                <w:sz w:val="15"/>
                <w:szCs w:val="15"/>
                <w:color w:val="auto"/>
              </w:rPr>
            </w:pPr>
          </w:p>
        </w:tc>
      </w:tr>
      <w:tr>
        <w:trPr>
          <w:trHeight w:val="20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Surgalign SPV, Inc.</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Delaware</w:t>
            </w:r>
          </w:p>
        </w:tc>
      </w:tr>
      <w:tr>
        <w:trPr>
          <w:trHeight w:val="20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X-spine Systems, Inc.</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4"/>
              </w:rPr>
              <w:t>Ohio</w:t>
            </w:r>
          </w:p>
        </w:tc>
      </w:tr>
      <w:tr>
        <w:trPr>
          <w:trHeight w:val="20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Xtant Medical, Inc.</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Delaware</w:t>
            </w:r>
          </w:p>
        </w:tc>
      </w:tr>
      <w:tr>
        <w:trPr>
          <w:trHeight w:val="20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RTI Surgical Holdings Luxembourg SARL</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Luxembourg</w:t>
            </w:r>
          </w:p>
        </w:tc>
      </w:tr>
      <w:tr>
        <w:trPr>
          <w:trHeight w:val="20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RTI Surgical – Singapore Pte. Ltd.</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Singapore</w:t>
            </w:r>
          </w:p>
        </w:tc>
      </w:tr>
      <w:tr>
        <w:trPr>
          <w:trHeight w:val="207"/>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Fourth Dimension Spine GmbH</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Germany</w:t>
            </w:r>
          </w:p>
        </w:tc>
      </w:tr>
      <w:tr>
        <w:trPr>
          <w:trHeight w:val="240"/>
        </w:trPr>
        <w:tc>
          <w:tcPr>
            <w:tcW w:w="404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RTI Surgical GmbH</w:t>
            </w:r>
            <w:r>
              <w:rPr>
                <w:rFonts w:ascii="Times New Roman" w:cs="Times New Roman" w:eastAsia="Times New Roman" w:hAnsi="Times New Roman"/>
                <w:sz w:val="27"/>
                <w:szCs w:val="27"/>
                <w:color w:val="auto"/>
                <w:vertAlign w:val="superscript"/>
              </w:rPr>
              <w:t>(1)</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Germany</w:t>
            </w:r>
          </w:p>
        </w:tc>
      </w:tr>
      <w:tr>
        <w:trPr>
          <w:trHeight w:val="37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Pioneer Surgical Technology B.V.</w:t>
            </w:r>
            <w:r>
              <w:rPr>
                <w:rFonts w:ascii="Times New Roman" w:cs="Times New Roman" w:eastAsia="Times New Roman" w:hAnsi="Times New Roman"/>
                <w:sz w:val="28"/>
                <w:szCs w:val="28"/>
                <w:color w:val="auto"/>
                <w:vertAlign w:val="superscript"/>
              </w:rPr>
              <w:t>(1)</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Netherlands</w:t>
            </w:r>
          </w:p>
        </w:tc>
      </w:tr>
    </w:tbl>
    <w:p>
      <w:pPr>
        <w:spacing w:after="0" w:line="70" w:lineRule="exact"/>
        <w:rPr>
          <w:sz w:val="20"/>
          <w:szCs w:val="20"/>
          <w:color w:val="auto"/>
        </w:rPr>
      </w:pPr>
    </w:p>
    <w:p>
      <w:pPr>
        <w:ind w:left="900" w:hanging="597"/>
        <w:spacing w:after="0" w:line="194" w:lineRule="auto"/>
        <w:tabs>
          <w:tab w:leader="none" w:pos="900" w:val="left"/>
        </w:tabs>
        <w:numPr>
          <w:ilvl w:val="0"/>
          <w:numId w:val="1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RTI Surgical GmbH and Pioneer Surgical Technology B.V. are wholly owned subsidiaries of RTI Surgical Holdings Luxembourg SARL and, therefore, are indirectly owned by Xtant Medical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71412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issued our report dated March 31, 2026, with respect to the consolidated financial statements included in the Annual report of Xtant Medical Holdings, Inc. on Form 10-K for the year ended December 31, 2025. We consent to the incorporation by reference of said report in the Registration Statements of Xtant Medical Holdings, Inc. on Forms S-3 (File No. 333-267817, 333-273169, 333-278413, and 333-281910), Forms S-1 (File No. 333-287192) and on Forms S-8 (File No. 333-226588, 333-234595, 333-249762, 333-268052, 333-273528, and 333-291429).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Minneapolis, Minnesota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8"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EXCHANGE ACT RULES 13a-14(a)/15d-14(a),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E. Browne, certify that:</w:t>
      </w:r>
    </w:p>
    <w:p>
      <w:pPr>
        <w:spacing w:after="0" w:line="208" w:lineRule="exact"/>
        <w:rPr>
          <w:sz w:val="20"/>
          <w:szCs w:val="20"/>
          <w:color w:val="auto"/>
        </w:rPr>
      </w:pPr>
    </w:p>
    <w:p>
      <w:pPr>
        <w:ind w:left="300" w:hanging="299"/>
        <w:spacing w:after="0"/>
        <w:tabs>
          <w:tab w:leader="none" w:pos="3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Xtant Medical Holdings, Inc.;</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March 31,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Sean E. Browne</w:t>
            </w:r>
          </w:p>
        </w:tc>
      </w:tr>
      <w:tr>
        <w:trPr>
          <w:trHeight w:val="178"/>
        </w:trPr>
        <w:tc>
          <w:tcPr>
            <w:tcW w:w="3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Sean E. Browne</w:t>
            </w:r>
          </w:p>
        </w:tc>
      </w:tr>
      <w:tr>
        <w:trPr>
          <w:trHeight w:val="202"/>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18"/>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04"/>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8"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EXCHANGE ACT RULES 13a-14(a)/15d-14(a),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Scott C. Neils, certify that:</w:t>
      </w:r>
    </w:p>
    <w:p>
      <w:pPr>
        <w:spacing w:after="0" w:line="208" w:lineRule="exact"/>
        <w:rPr>
          <w:sz w:val="20"/>
          <w:szCs w:val="20"/>
          <w:color w:val="auto"/>
        </w:rPr>
      </w:pPr>
    </w:p>
    <w:p>
      <w:pPr>
        <w:ind w:left="300" w:hanging="299"/>
        <w:spacing w:after="0"/>
        <w:tabs>
          <w:tab w:leader="none" w:pos="3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Xtant Medical Holdings, Inc.;</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March 31,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Scott C. Neils</w:t>
            </w:r>
          </w:p>
        </w:tc>
      </w:tr>
      <w:tr>
        <w:trPr>
          <w:trHeight w:val="178"/>
        </w:trPr>
        <w:tc>
          <w:tcPr>
            <w:tcW w:w="3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Scott C. Neils</w:t>
            </w:r>
          </w:p>
        </w:tc>
      </w:tr>
      <w:tr>
        <w:trPr>
          <w:trHeight w:val="202"/>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8"/>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04"/>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72" w:name="page173"/>
    <w:bookmarkEnd w:id="172"/>
    <w:p>
      <w:pPr>
        <w:ind w:left="10380"/>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19" w:lineRule="exact"/>
        <w:rPr>
          <w:sz w:val="20"/>
          <w:szCs w:val="20"/>
          <w:color w:val="auto"/>
        </w:rPr>
      </w:pPr>
    </w:p>
    <w:p>
      <w:pPr>
        <w:jc w:val="center"/>
        <w:ind w:left="340" w:right="140"/>
        <w:spacing w:after="0" w:line="279"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18 U.S.C. SECTION 1350, AS ADOPTED PURSUANT TO SECTION 906 OF THE SARBANES-OXLEY ACT OF 2002</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on Form 10-K for the year ended December 31, 2025 of Xtant Medical Holdings, Inc. (the “Company”), as filed with the Securities and Exchange Commission on the date hereof (the “Report”), I, Sean E. Browne, President and Chief Executive Officer of the Company, certify, pursuant to 18 U.S.C. Section 1350, as adopted pursuant to Section 906 of the Sarbanes-Oxley Act of 2002, that, to the best of my knowledge and belief:</w:t>
      </w:r>
    </w:p>
    <w:p>
      <w:pPr>
        <w:spacing w:after="0" w:line="169" w:lineRule="exact"/>
        <w:rPr>
          <w:sz w:val="20"/>
          <w:szCs w:val="20"/>
          <w:color w:val="auto"/>
        </w:rPr>
      </w:pPr>
    </w:p>
    <w:p>
      <w:pPr>
        <w:ind w:left="900" w:hanging="294"/>
        <w:spacing w:after="0"/>
        <w:tabs>
          <w:tab w:leader="none" w:pos="9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Sean E. Browne</w:t>
            </w:r>
          </w:p>
        </w:tc>
      </w:tr>
      <w:tr>
        <w:trPr>
          <w:trHeight w:val="178"/>
        </w:trPr>
        <w:tc>
          <w:tcPr>
            <w:tcW w:w="5620" w:type="dxa"/>
            <w:vAlign w:val="bottom"/>
          </w:tcPr>
          <w:p>
            <w:pPr>
              <w:spacing w:after="0"/>
              <w:rPr>
                <w:sz w:val="15"/>
                <w:szCs w:val="15"/>
                <w:color w:val="auto"/>
              </w:rPr>
            </w:pPr>
          </w:p>
        </w:tc>
        <w:tc>
          <w:tcPr>
            <w:tcW w:w="562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Sean E. Browne</w:t>
            </w:r>
          </w:p>
        </w:tc>
      </w:tr>
      <w:tr>
        <w:trPr>
          <w:trHeight w:val="202"/>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18"/>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04"/>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73" w:name="page174"/>
    <w:bookmarkEnd w:id="173"/>
    <w:p>
      <w:pPr>
        <w:ind w:left="1038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19" w:lineRule="exact"/>
        <w:rPr>
          <w:sz w:val="20"/>
          <w:szCs w:val="20"/>
          <w:color w:val="auto"/>
        </w:rPr>
      </w:pPr>
    </w:p>
    <w:p>
      <w:pPr>
        <w:jc w:val="center"/>
        <w:ind w:left="340" w:right="160"/>
        <w:spacing w:after="0" w:line="279"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18 U.S.C. SECTION 1350, AS ADOPTED PURSUANT TO SECTION 906 OF THE SARBANES-OXLEY ACT OF 2002</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on Form 10-K for the year ended December 31, 2025 of Xtant Medical Holdings, Inc. (the “Company”), as filed with the Securities and Exchange Commission on the date hereof (the “Report”), I, Scott C. Neils, Chief Financial Officer of the Company, certify, pursuant to 18 U.S.C. Section 1350, as adopted pursuant to Section 906 of the Sarbanes-Oxley Act of 2002, that, to the best of my knowledge and belief:</w:t>
      </w:r>
    </w:p>
    <w:p>
      <w:pPr>
        <w:spacing w:after="0" w:line="169" w:lineRule="exact"/>
        <w:rPr>
          <w:sz w:val="20"/>
          <w:szCs w:val="20"/>
          <w:color w:val="auto"/>
        </w:rPr>
      </w:pPr>
    </w:p>
    <w:p>
      <w:pPr>
        <w:ind w:left="900" w:hanging="294"/>
        <w:spacing w:after="0"/>
        <w:tabs>
          <w:tab w:leader="none" w:pos="9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Scott C. Neils</w:t>
            </w:r>
          </w:p>
        </w:tc>
      </w:tr>
      <w:tr>
        <w:trPr>
          <w:trHeight w:val="178"/>
        </w:trPr>
        <w:tc>
          <w:tcPr>
            <w:tcW w:w="5620" w:type="dxa"/>
            <w:vAlign w:val="bottom"/>
          </w:tcPr>
          <w:p>
            <w:pPr>
              <w:spacing w:after="0"/>
              <w:rPr>
                <w:sz w:val="15"/>
                <w:szCs w:val="15"/>
                <w:color w:val="auto"/>
              </w:rPr>
            </w:pPr>
          </w:p>
        </w:tc>
        <w:tc>
          <w:tcPr>
            <w:tcW w:w="562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Scott C. Neils</w:t>
            </w:r>
          </w:p>
        </w:tc>
      </w:tr>
      <w:tr>
        <w:trPr>
          <w:trHeight w:val="202"/>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8"/>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04"/>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lvl w:ilvl="1">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1)"/>
      <w:numFmt w:val="decimal"/>
      <w:start w:val="1"/>
    </w:lvl>
    <w:lvl w:ilvl="1">
      <w:lvlJc w:val="left"/>
      <w:lvlText w:val="%2)"/>
      <w:numFmt w:val="lowerRoman"/>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1)"/>
      <w:numFmt w:val="decimal"/>
      <w:start w:val="1"/>
    </w:lvl>
  </w:abstractNum>
  <w:abstractNum w:abstractNumId="40">
    <w:nsid w:val="A0382C5"/>
    <w:multiLevelType w:val="hybridMultilevel"/>
    <w:lvl w:ilvl="0">
      <w:lvlJc w:val="left"/>
      <w:lvlText w:val="(%1)"/>
      <w:numFmt w:val="decimal"/>
      <w:start w:val="9"/>
    </w:lvl>
  </w:abstractNum>
  <w:abstractNum w:abstractNumId="41">
    <w:nsid w:val="8F2B15E"/>
    <w:multiLevelType w:val="hybridMultilevel"/>
    <w:lvl w:ilvl="0">
      <w:lvlJc w:val="left"/>
      <w:lvlText w:val="(%1)"/>
      <w:numFmt w:val="lowerRoman"/>
      <w:start w:val="2"/>
    </w:lvl>
  </w:abstractNum>
  <w:abstractNum w:abstractNumId="42">
    <w:nsid w:val="1A32234B"/>
    <w:multiLevelType w:val="hybridMultilevel"/>
    <w:lvl w:ilvl="0">
      <w:lvlJc w:val="left"/>
      <w:lvlText w:val="(%1)"/>
      <w:numFmt w:val="decimal"/>
      <w:start w:val="12"/>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1)"/>
      <w:numFmt w:val="decimal"/>
      <w:start w:val="4"/>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1)"/>
      <w:numFmt w:val="decimal"/>
      <w:start w:val="1"/>
    </w:lvl>
  </w:abstractNum>
  <w:abstractNum w:abstractNumId="61">
    <w:nsid w:val="14E17E33"/>
    <w:multiLevelType w:val="hybridMultilevel"/>
    <w:lvl w:ilvl="0">
      <w:lvlJc w:val="left"/>
      <w:lvlText w:val="(%1)"/>
      <w:numFmt w:val="decimal"/>
      <w:start w:val="2"/>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1."/>
      <w:numFmt w:val="decimal"/>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lvl w:ilvl="1">
      <w:lvlJc w:val="left"/>
      <w:lvlText w:val="*"/>
      <w:numFmt w:val="bullet"/>
      <w:start w:val="1"/>
    </w:lvl>
  </w:abstractNum>
  <w:abstractNum w:abstractNumId="71">
    <w:nsid w:val="43F18422"/>
    <w:multiLevelType w:val="hybridMultilevel"/>
    <w:lvl w:ilvl="0">
      <w:lvlJc w:val="left"/>
      <w:lvlText w:val="%1."/>
      <w:numFmt w:val="decimal"/>
      <w:start w:val="1"/>
    </w:lvl>
  </w:abstractNum>
  <w:abstractNum w:abstractNumId="72">
    <w:nsid w:val="60EF0119"/>
    <w:multiLevelType w:val="hybridMultilevel"/>
    <w:lvl w:ilvl="0">
      <w:lvlJc w:val="left"/>
      <w:lvlText w:val="(%1)"/>
      <w:numFmt w:val="lowerLetter"/>
      <w:start w:val="1"/>
    </w:lvl>
  </w:abstractNum>
  <w:abstractNum w:abstractNumId="73">
    <w:nsid w:val="26F324BA"/>
    <w:multiLevelType w:val="hybridMultilevel"/>
    <w:lvl w:ilvl="0">
      <w:lvlJc w:val="left"/>
      <w:lvlText w:val="(%1)"/>
      <w:numFmt w:val="lowerLetter"/>
      <w:start w:val="3"/>
    </w:lvl>
    <w:lvl w:ilvl="1">
      <w:lvlJc w:val="left"/>
      <w:lvlText w:val="(%2)"/>
      <w:numFmt w:val="lowerRoman"/>
      <w:start w:val="1"/>
    </w:lvl>
  </w:abstractNum>
  <w:abstractNum w:abstractNumId="74">
    <w:nsid w:val="7F01579B"/>
    <w:multiLevelType w:val="hybridMultilevel"/>
    <w:lvl w:ilvl="0">
      <w:lvlJc w:val="left"/>
      <w:lvlText w:val="(%1)"/>
      <w:numFmt w:val="decimal"/>
      <w:start w:val="1"/>
    </w:lvl>
  </w:abstractNum>
  <w:abstractNum w:abstractNumId="75">
    <w:nsid w:val="49DA307D"/>
    <w:multiLevelType w:val="hybridMultilevel"/>
    <w:lvl w:ilvl="0">
      <w:lvlJc w:val="left"/>
      <w:lvlText w:val="(%1)"/>
      <w:numFmt w:val="decimal"/>
      <w:start w:val="30"/>
    </w:lvl>
  </w:abstractNum>
  <w:abstractNum w:abstractNumId="76">
    <w:nsid w:val="7055A5F5"/>
    <w:multiLevelType w:val="hybridMultilevel"/>
    <w:lvl w:ilvl="0">
      <w:lvlJc w:val="left"/>
      <w:lvlText w:val="%1."/>
      <w:numFmt w:val="decimal"/>
      <w:start w:val="4"/>
    </w:lvl>
    <w:lvl w:ilvl="1">
      <w:lvlJc w:val="left"/>
      <w:lvlText w:val="%2."/>
      <w:numFmt w:val="lowerLetter"/>
      <w:start w:val="1"/>
    </w:lvl>
  </w:abstractNum>
  <w:abstractNum w:abstractNumId="77">
    <w:nsid w:val="5FB8370B"/>
    <w:multiLevelType w:val="hybridMultilevel"/>
    <w:lvl w:ilvl="0">
      <w:lvlJc w:val="left"/>
      <w:lvlText w:val="%1."/>
      <w:numFmt w:val="decimal"/>
      <w:start w:val="5"/>
    </w:lvl>
  </w:abstractNum>
  <w:abstractNum w:abstractNumId="78">
    <w:nsid w:val="50801EE1"/>
    <w:multiLevelType w:val="hybridMultilevel"/>
    <w:lvl w:ilvl="0">
      <w:lvlJc w:val="left"/>
      <w:lvlText w:val="(%1)"/>
      <w:numFmt w:val="lowerLetter"/>
      <w:start w:val="2"/>
    </w:lvl>
  </w:abstractNum>
  <w:abstractNum w:abstractNumId="79">
    <w:nsid w:val="488AC1A"/>
    <w:multiLevelType w:val="hybridMultilevel"/>
    <w:lvl w:ilvl="0">
      <w:lvlJc w:val="left"/>
      <w:lvlText w:val="%1."/>
      <w:numFmt w:val="decimal"/>
      <w:start w:val="7"/>
    </w:lvl>
    <w:lvl w:ilvl="1">
      <w:lvlJc w:val="left"/>
      <w:lvlText w:val="(%2)"/>
      <w:numFmt w:val="lowerLetter"/>
      <w:start w:val="1"/>
    </w:lvl>
  </w:abstractNum>
  <w:abstractNum w:abstractNumId="80">
    <w:nsid w:val="5FB8011C"/>
    <w:multiLevelType w:val="hybridMultilevel"/>
    <w:lvl w:ilvl="0">
      <w:lvlJc w:val="left"/>
      <w:lvlText w:val="%1"/>
      <w:numFmt w:val="decimal"/>
      <w:start w:val="1"/>
    </w:lvl>
    <w:lvl w:ilvl="1">
      <w:lvlJc w:val="left"/>
      <w:lvlText w:val="(%2)"/>
      <w:numFmt w:val="lowerLetter"/>
      <w:start w:val="4"/>
    </w:lvl>
  </w:abstractNum>
  <w:abstractNum w:abstractNumId="81">
    <w:nsid w:val="6AA78F7F"/>
    <w:multiLevelType w:val="hybridMultilevel"/>
    <w:lvl w:ilvl="0">
      <w:lvlJc w:val="left"/>
      <w:lvlText w:val="%1."/>
      <w:numFmt w:val="decimal"/>
      <w:start w:val="8"/>
    </w:lvl>
    <w:lvl w:ilvl="1">
      <w:lvlJc w:val="left"/>
      <w:lvlText w:val="%2"/>
      <w:numFmt w:val="lowerLetter"/>
      <w:start w:val="1"/>
    </w:lvl>
  </w:abstractNum>
  <w:abstractNum w:abstractNumId="82">
    <w:nsid w:val="7672BD23"/>
    <w:multiLevelType w:val="hybridMultilevel"/>
    <w:lvl w:ilvl="0">
      <w:lvlJc w:val="left"/>
      <w:lvlText w:val="%1."/>
      <w:numFmt w:val="decimal"/>
      <w:start w:val="10"/>
    </w:lvl>
  </w:abstractNum>
  <w:abstractNum w:abstractNumId="83">
    <w:nsid w:val="6FC75AF8"/>
    <w:multiLevelType w:val="hybridMultilevel"/>
    <w:lvl w:ilvl="0">
      <w:lvlJc w:val="left"/>
      <w:lvlText w:val="%1."/>
      <w:numFmt w:val="decimal"/>
      <w:start w:val="11"/>
    </w:lvl>
  </w:abstractNum>
  <w:abstractNum w:abstractNumId="84">
    <w:nsid w:val="6A5F7029"/>
    <w:multiLevelType w:val="hybridMultilevel"/>
    <w:lvl w:ilvl="0">
      <w:lvlJc w:val="left"/>
      <w:lvlText w:val="(%1)"/>
      <w:numFmt w:val="lowerLetter"/>
      <w:start w:val="1"/>
    </w:lvl>
  </w:abstractNum>
  <w:abstractNum w:abstractNumId="85">
    <w:nsid w:val="7D5E18F8"/>
    <w:multiLevelType w:val="hybridMultilevel"/>
    <w:lvl w:ilvl="0">
      <w:lvlJc w:val="left"/>
      <w:lvlText w:val="(%1)"/>
      <w:numFmt w:val="lowerLetter"/>
      <w:start w:val="6"/>
    </w:lvl>
  </w:abstractNum>
  <w:abstractNum w:abstractNumId="86">
    <w:nsid w:val="5F3534A4"/>
    <w:multiLevelType w:val="hybridMultilevel"/>
    <w:lvl w:ilvl="0">
      <w:lvlJc w:val="left"/>
      <w:lvlText w:val="%1."/>
      <w:numFmt w:val="decimal"/>
      <w:start w:val="1"/>
    </w:lvl>
  </w:abstractNum>
  <w:abstractNum w:abstractNumId="87">
    <w:nsid w:val="73A1821B"/>
    <w:multiLevelType w:val="hybridMultilevel"/>
    <w:lvl w:ilvl="0">
      <w:lvlJc w:val="left"/>
      <w:lvlText w:val="%1."/>
      <w:numFmt w:val="lowerLetter"/>
      <w:start w:val="1"/>
    </w:lvl>
  </w:abstractNum>
  <w:abstractNum w:abstractNumId="88">
    <w:nsid w:val="7DE67713"/>
    <w:multiLevelType w:val="hybridMultilevel"/>
    <w:lvl w:ilvl="0">
      <w:lvlJc w:val="left"/>
      <w:lvlText w:val="%1."/>
      <w:numFmt w:val="decimal"/>
      <w:start w:val="5"/>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5"/>
    </w:lvl>
  </w:abstractNum>
  <w:abstractNum w:abstractNumId="91">
    <w:nsid w:val="14FCE74E"/>
    <w:multiLevelType w:val="hybridMultilevel"/>
    <w:lvl w:ilvl="0">
      <w:lvlJc w:val="left"/>
      <w:lvlText w:val="%1."/>
      <w:numFmt w:val="decimal"/>
      <w:start w:val="8"/>
    </w:lvl>
  </w:abstractNum>
  <w:abstractNum w:abstractNumId="92">
    <w:nsid w:val="6A3DD3E8"/>
    <w:multiLevelType w:val="hybridMultilevel"/>
    <w:lvl w:ilvl="0">
      <w:lvlJc w:val="left"/>
      <w:lvlText w:val="%1."/>
      <w:numFmt w:val="decimal"/>
      <w:start w:val="15"/>
    </w:lvl>
  </w:abstractNum>
  <w:abstractNum w:abstractNumId="93">
    <w:nsid w:val="71C91298"/>
    <w:multiLevelType w:val="hybridMultilevel"/>
    <w:lvl w:ilvl="0">
      <w:lvlJc w:val="left"/>
      <w:lvlText w:val="%1"/>
      <w:numFmt w:val="decimal"/>
      <w:start w:val="1"/>
    </w:lvl>
    <w:lvl w:ilvl="1">
      <w:lvlJc w:val="left"/>
      <w:lvlText w:val="%2."/>
      <w:numFmt w:val="decimal"/>
      <w:start w:val="19"/>
    </w:lvl>
  </w:abstractNum>
  <w:abstractNum w:abstractNumId="94">
    <w:nsid w:val="9DAF632"/>
    <w:multiLevelType w:val="hybridMultilevel"/>
    <w:lvl w:ilvl="0">
      <w:lvlJc w:val="left"/>
      <w:lvlText w:val="(%1)"/>
      <w:numFmt w:val="decimal"/>
      <w:start w:val="3"/>
    </w:lvl>
    <w:lvl w:ilvl="1">
      <w:lvlJc w:val="left"/>
      <w:lvlText w:val="%2."/>
      <w:numFmt w:val="decimal"/>
      <w:start w:val="24"/>
    </w:lvl>
  </w:abstractNum>
  <w:abstractNum w:abstractNumId="95">
    <w:nsid w:val="53299938"/>
    <w:multiLevelType w:val="hybridMultilevel"/>
    <w:lvl w:ilvl="0">
      <w:lvlJc w:val="left"/>
      <w:lvlText w:val="%1."/>
      <w:numFmt w:val="decimal"/>
      <w:start w:val="28"/>
    </w:lvl>
  </w:abstractNum>
  <w:abstractNum w:abstractNumId="96">
    <w:nsid w:val="1FBFE8E0"/>
    <w:multiLevelType w:val="hybridMultilevel"/>
    <w:lvl w:ilvl="0">
      <w:lvlJc w:val="left"/>
      <w:lvlText w:val="%1."/>
      <w:numFmt w:val="decimal"/>
      <w:start w:val="2"/>
    </w:lvl>
  </w:abstractNum>
  <w:abstractNum w:abstractNumId="97">
    <w:nsid w:val="5092CA79"/>
    <w:multiLevelType w:val="hybridMultilevel"/>
    <w:lvl w:ilvl="0">
      <w:lvlJc w:val="left"/>
      <w:lvlText w:val="%1."/>
      <w:numFmt w:val="decimal"/>
      <w:start w:val="1"/>
    </w:lvl>
    <w:lvl w:ilvl="1">
      <w:lvlJc w:val="left"/>
      <w:lvlText w:val="(%2)"/>
      <w:numFmt w:val="lowerLetter"/>
      <w:start w:val="1"/>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decimal"/>
      <w:start w:val="1"/>
    </w:lvl>
    <w:lvl w:ilvl="1">
      <w:lvlJc w:val="left"/>
      <w:lvlText w:val="(%2)"/>
      <w:numFmt w:val="lowerLetter"/>
      <w:start w:val="4"/>
    </w:lvl>
  </w:abstractNum>
  <w:abstractNum w:abstractNumId="100">
    <w:nsid w:val="288F1A34"/>
    <w:multiLevelType w:val="hybridMultilevel"/>
    <w:lvl w:ilvl="0">
      <w:lvlJc w:val="left"/>
      <w:lvlText w:val="%1."/>
      <w:numFmt w:val="decimal"/>
      <w:start w:val="3"/>
    </w:lvl>
    <w:lvl w:ilvl="1">
      <w:lvlJc w:val="left"/>
      <w:lvlText w:val="%2"/>
      <w:numFmt w:val="lowerLetter"/>
      <w:start w:val="1"/>
    </w:lvl>
  </w:abstractNum>
  <w:abstractNum w:abstractNumId="101">
    <w:nsid w:val="2A155DBC"/>
    <w:multiLevelType w:val="hybridMultilevel"/>
    <w:lvl w:ilvl="0">
      <w:lvlJc w:val="left"/>
      <w:lvlText w:val="%1."/>
      <w:numFmt w:val="decimal"/>
      <w:start w:val="4"/>
    </w:lvl>
    <w:lvl w:ilvl="1">
      <w:lvlJc w:val="left"/>
      <w:lvlText w:val="(%2)"/>
      <w:numFmt w:val="lowerLetter"/>
      <w:start w:val="1"/>
    </w:lvl>
  </w:abstractNum>
  <w:abstractNum w:abstractNumId="102">
    <w:nsid w:val="1D9F6E5F"/>
    <w:multiLevelType w:val="hybridMultilevel"/>
    <w:lvl w:ilvl="0">
      <w:lvlJc w:val="left"/>
      <w:lvlText w:val="%1."/>
      <w:numFmt w:val="decimal"/>
      <w:start w:val="8"/>
    </w:lvl>
    <w:lvl w:ilvl="1">
      <w:lvlJc w:val="left"/>
      <w:lvlText w:val="(%2)"/>
      <w:numFmt w:val="lowerLetter"/>
      <w:start w:val="1"/>
    </w:lvl>
  </w:abstractNum>
  <w:abstractNum w:abstractNumId="103">
    <w:nsid w:val="97E1B4E"/>
    <w:multiLevelType w:val="hybridMultilevel"/>
    <w:lvl w:ilvl="0">
      <w:lvlJc w:val="left"/>
      <w:lvlText w:val="(%1)"/>
      <w:numFmt w:val="decimal"/>
      <w:start w:val="15"/>
    </w:lvl>
  </w:abstractNum>
  <w:abstractNum w:abstractNumId="104">
    <w:nsid w:val="51088277"/>
    <w:multiLevelType w:val="hybridMultilevel"/>
    <w:lvl w:ilvl="0">
      <w:lvlJc w:val="left"/>
      <w:lvlText w:val="%1."/>
      <w:numFmt w:val="decimal"/>
      <w:start w:val="1"/>
    </w:lvl>
    <w:lvl w:ilvl="1">
      <w:lvlJc w:val="left"/>
      <w:lvlText w:val="(%2)"/>
      <w:numFmt w:val="lowerLetter"/>
      <w:start w:val="1"/>
    </w:lvl>
  </w:abstractNum>
  <w:abstractNum w:abstractNumId="105">
    <w:nsid w:val="1CA0C5FA"/>
    <w:multiLevelType w:val="hybridMultilevel"/>
    <w:lvl w:ilvl="0">
      <w:lvlJc w:val="left"/>
      <w:lvlText w:val="(%1)"/>
      <w:numFmt w:val="lowerLetter"/>
      <w:start w:val="1"/>
    </w:lvl>
    <w:lvl w:ilvl="1">
      <w:lvlJc w:val="left"/>
      <w:lvlText w:val="(%2)"/>
      <w:numFmt w:val="lowerLetter"/>
      <w:start w:val="3"/>
    </w:lvl>
  </w:abstractNum>
  <w:abstractNum w:abstractNumId="106">
    <w:nsid w:val="53584BCB"/>
    <w:multiLevelType w:val="hybridMultilevel"/>
    <w:lvl w:ilvl="0">
      <w:lvlJc w:val="left"/>
      <w:lvlText w:val="%1"/>
      <w:numFmt w:val="decimal"/>
      <w:start w:val="1"/>
    </w:lvl>
    <w:lvl w:ilvl="1">
      <w:lvlJc w:val="left"/>
      <w:lvlText w:val="(%2)"/>
      <w:numFmt w:val="lowerLetter"/>
      <w:start w:val="4"/>
    </w:lvl>
  </w:abstractNum>
  <w:abstractNum w:abstractNumId="107">
    <w:nsid w:val="415E286C"/>
    <w:multiLevelType w:val="hybridMultilevel"/>
    <w:lvl w:ilvl="0">
      <w:lvlJc w:val="left"/>
      <w:lvlText w:val="%1."/>
      <w:numFmt w:val="decimal"/>
      <w:start w:val="3"/>
    </w:lvl>
    <w:lvl w:ilvl="1">
      <w:lvlJc w:val="left"/>
      <w:lvlText w:val="%2"/>
      <w:numFmt w:val="lowerLetter"/>
      <w:start w:val="1"/>
    </w:lvl>
  </w:abstractNum>
  <w:abstractNum w:abstractNumId="108">
    <w:nsid w:val="7C58FD05"/>
    <w:multiLevelType w:val="hybridMultilevel"/>
    <w:lvl w:ilvl="0">
      <w:lvlJc w:val="left"/>
      <w:lvlText w:val="%1."/>
      <w:numFmt w:val="decimal"/>
      <w:start w:val="4"/>
    </w:lvl>
    <w:lvl w:ilvl="1">
      <w:lvlJc w:val="left"/>
      <w:lvlText w:val="(%2)"/>
      <w:numFmt w:val="lowerLetter"/>
      <w:start w:val="1"/>
    </w:lvl>
  </w:abstractNum>
  <w:abstractNum w:abstractNumId="109">
    <w:nsid w:val="23D86AAC"/>
    <w:multiLevelType w:val="hybridMultilevel"/>
    <w:lvl w:ilvl="0">
      <w:lvlJc w:val="left"/>
      <w:lvlText w:val="%1."/>
      <w:numFmt w:val="decimal"/>
      <w:start w:val="8"/>
    </w:lvl>
    <w:lvl w:ilvl="1">
      <w:lvlJc w:val="left"/>
      <w:lvlText w:val="(%2)"/>
      <w:numFmt w:val="lowerLetter"/>
      <w:start w:val="1"/>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53"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75" Type="http://schemas.openxmlformats.org/officeDocument/2006/relationships/image" Target="media/image114.pn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183" Type="http://schemas.openxmlformats.org/officeDocument/2006/relationships/image" Target="media/image119.png"/><Relationship Id="rId184" Type="http://schemas.openxmlformats.org/officeDocument/2006/relationships/image" Target="media/image120.png"/><Relationship Id="rId185" Type="http://schemas.openxmlformats.org/officeDocument/2006/relationships/image" Target="media/image121.png"/><Relationship Id="rId186" Type="http://schemas.openxmlformats.org/officeDocument/2006/relationships/image" Target="media/image122.png"/><Relationship Id="rId187" Type="http://schemas.openxmlformats.org/officeDocument/2006/relationships/image" Target="media/image123.png"/><Relationship Id="rId188" Type="http://schemas.openxmlformats.org/officeDocument/2006/relationships/image" Target="media/image124.png"/><Relationship Id="rId189" Type="http://schemas.openxmlformats.org/officeDocument/2006/relationships/image" Target="media/image125.png"/><Relationship Id="rId190" Type="http://schemas.openxmlformats.org/officeDocument/2006/relationships/image" Target="media/image126.png"/><Relationship Id="rId191" Type="http://schemas.openxmlformats.org/officeDocument/2006/relationships/image" Target="media/image127.png"/><Relationship Id="rId192" Type="http://schemas.openxmlformats.org/officeDocument/2006/relationships/image" Target="media/image128.png"/><Relationship Id="rId193" Type="http://schemas.openxmlformats.org/officeDocument/2006/relationships/image" Target="media/image129.png"/><Relationship Id="rId194" Type="http://schemas.openxmlformats.org/officeDocument/2006/relationships/image" Target="media/image130.png"/><Relationship Id="rId195" Type="http://schemas.openxmlformats.org/officeDocument/2006/relationships/image" Target="media/image131.png"/><Relationship Id="rId196" Type="http://schemas.openxmlformats.org/officeDocument/2006/relationships/image" Target="media/image132.png"/><Relationship Id="rId197" Type="http://schemas.openxmlformats.org/officeDocument/2006/relationships/image" Target="media/image133.png"/><Relationship Id="rId198" Type="http://schemas.openxmlformats.org/officeDocument/2006/relationships/image" Target="media/image134.png"/><Relationship Id="rId199"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02" Type="http://schemas.openxmlformats.org/officeDocument/2006/relationships/image" Target="media/image138.png"/><Relationship Id="rId203" Type="http://schemas.openxmlformats.org/officeDocument/2006/relationships/image" Target="media/image139.png"/><Relationship Id="rId204" Type="http://schemas.openxmlformats.org/officeDocument/2006/relationships/image" Target="media/image140.png"/><Relationship Id="rId205" Type="http://schemas.openxmlformats.org/officeDocument/2006/relationships/image" Target="media/image141.png"/><Relationship Id="rId206"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213" Type="http://schemas.openxmlformats.org/officeDocument/2006/relationships/image" Target="media/image149.png"/><Relationship Id="rId214"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17" Type="http://schemas.openxmlformats.org/officeDocument/2006/relationships/image" Target="media/image153.png"/><Relationship Id="rId218" Type="http://schemas.openxmlformats.org/officeDocument/2006/relationships/image" Target="media/image154.png"/><Relationship Id="rId219" Type="http://schemas.openxmlformats.org/officeDocument/2006/relationships/image" Target="media/image155.png"/><Relationship Id="rId220" Type="http://schemas.openxmlformats.org/officeDocument/2006/relationships/image" Target="media/image156.png"/><Relationship Id="rId221"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118" Type="http://schemas.openxmlformats.org/officeDocument/2006/relationships/hyperlink" Target="https://www.sec.gov/Archives/edgar/data/1453593/000149315223006396/ex2-1.htm" TargetMode="External"/><Relationship Id="rId119" Type="http://schemas.openxmlformats.org/officeDocument/2006/relationships/hyperlink" Target="https://www.sec.gov/Archives/edgar/data/1453593/000149315223021783/ex2-1.htm" TargetMode="External"/><Relationship Id="rId120" Type="http://schemas.openxmlformats.org/officeDocument/2006/relationships/hyperlink" Target="https://www.sec.gov/Archives/edgar/data/1453593/000149315223024228/ex2-1.htm" TargetMode="External"/><Relationship Id="rId121" Type="http://schemas.openxmlformats.org/officeDocument/2006/relationships/hyperlink" Target="https://www.sec.gov/Archives/edgar/data/1453593/000149315224012145/ex2-4.htm" TargetMode="External"/><Relationship Id="rId122" Type="http://schemas.openxmlformats.org/officeDocument/2006/relationships/hyperlink" Target="https://www.sec.gov/Archives/edgar/data/1453593/000149315224012145/ex2-5.htm" TargetMode="External"/><Relationship Id="rId123" Type="http://schemas.openxmlformats.org/officeDocument/2006/relationships/hyperlink" Target="https://www.sec.gov/Archives/edgar/data/1453593/000164117225018092/ex2-1.htm" TargetMode="External"/><Relationship Id="rId124" Type="http://schemas.openxmlformats.org/officeDocument/2006/relationships/hyperlink" Target="https://www.sec.gov/Archives/edgar/data/1453593/000149315225025963/ex2-3.htm" TargetMode="External"/><Relationship Id="rId125" Type="http://schemas.openxmlformats.org/officeDocument/2006/relationships/hyperlink" Target="https://www.sec.gov/Archives/edgar/data/1453593/000164117225018092/ex2-2.htm" TargetMode="External"/><Relationship Id="rId126" Type="http://schemas.openxmlformats.org/officeDocument/2006/relationships/hyperlink" Target="https://www.sec.gov/Archives/edgar/data/1453593/000149315225025963/ex2-4.htm" TargetMode="External"/><Relationship Id="rId127" Type="http://schemas.openxmlformats.org/officeDocument/2006/relationships/hyperlink" Target="https://www.sec.gov/Archives/edgar/data/1453593/000149315223041077/ex3-1.htm" TargetMode="External"/><Relationship Id="rId128" Type="http://schemas.openxmlformats.org/officeDocument/2006/relationships/hyperlink" Target="https://www.sec.gov/Archives/edgar/data/1453593/000149315223018330/ex3-1.htm" TargetMode="External"/><Relationship Id="rId129" Type="http://schemas.openxmlformats.org/officeDocument/2006/relationships/hyperlink" Target="https://www.sec.gov/Archives/edgar/data/1453593/000149315222006240/ex4-2.htm" TargetMode="External"/><Relationship Id="rId130" Type="http://schemas.openxmlformats.org/officeDocument/2006/relationships/hyperlink" Target="https://www.sec.gov/Archives/edgar/data/1453593/000149315221008120/ex4-4.htm" TargetMode="External"/><Relationship Id="rId131" Type="http://schemas.openxmlformats.org/officeDocument/2006/relationships/hyperlink" Target="https://www.sec.gov/Archives/edgar/data/1453593/000149315222024444/ex10-2.htm" TargetMode="External"/><Relationship Id="rId132" Type="http://schemas.openxmlformats.org/officeDocument/2006/relationships/hyperlink" Target="https://www.sec.gov/Archives/edgar/data/1453593/000149315222023900/ex4-1.htm" TargetMode="External"/><Relationship Id="rId133" Type="http://schemas.openxmlformats.org/officeDocument/2006/relationships/hyperlink" Target="https://www.sec.gov/Archives/edgar/data/1453593/000149315223023987/ex4-9.htm" TargetMode="External"/><Relationship Id="rId134" Type="http://schemas.openxmlformats.org/officeDocument/2006/relationships/hyperlink" Target="https://www.sec.gov/Archives/edgar/data/1453593/000149315224034847/ex4-11.htm" TargetMode="External"/><Relationship Id="rId135" Type="http://schemas.openxmlformats.org/officeDocument/2006/relationships/hyperlink" Target="https://www.sec.gov/Archives/edgar/data/1453593/000164117225003711/ex10-1.htm" TargetMode="External"/><Relationship Id="rId136" Type="http://schemas.openxmlformats.org/officeDocument/2006/relationships/hyperlink" Target="https://www.sec.gov/Archives/edgar/data/1453593/000149315224030663/ex4-1.htm" TargetMode="External"/><Relationship Id="rId137" Type="http://schemas.openxmlformats.org/officeDocument/2006/relationships/hyperlink" Target="https://www.sec.gov/Archives/edgar/data/1453593/000114420415065520/v420794_ex10-8.htm" TargetMode="External"/><Relationship Id="rId138" Type="http://schemas.openxmlformats.org/officeDocument/2006/relationships/hyperlink" Target="https://www.sec.gov/Archives/edgar/data/1453593/000149315218010957/ex10-1.htm" TargetMode="External"/><Relationship Id="rId139" Type="http://schemas.openxmlformats.org/officeDocument/2006/relationships/hyperlink" Target="https://www.sec.gov/Archives/edgar/data/1453593/000149315220020040/ex10-1.htm" TargetMode="External"/><Relationship Id="rId140" Type="http://schemas.openxmlformats.org/officeDocument/2006/relationships/hyperlink" Target="https://www.sec.gov/Archives/edgar/data/1453593/000149315222029849/ex10-1.htm" TargetMode="External"/><Relationship Id="rId141" Type="http://schemas.openxmlformats.org/officeDocument/2006/relationships/hyperlink" Target="https://www.sec.gov/Archives/edgar/data/1453593/000149315218010957/ex10-2.htm" TargetMode="External"/><Relationship Id="rId142" Type="http://schemas.openxmlformats.org/officeDocument/2006/relationships/hyperlink" Target="https://www.sec.gov/Archives/edgar/data/1453593/000149315218010957/ex10-3.htm" TargetMode="External"/><Relationship Id="rId143" Type="http://schemas.openxmlformats.org/officeDocument/2006/relationships/hyperlink" Target="https://www.sec.gov/Archives/edgar/data/1453593/000149315219016584/ex10-2.htm" TargetMode="External"/><Relationship Id="rId144" Type="http://schemas.openxmlformats.org/officeDocument/2006/relationships/hyperlink" Target="https://www.sec.gov/Archives/edgar/data/1453593/000149315223025769/ex10-1.htm" TargetMode="External"/><Relationship Id="rId145" Type="http://schemas.openxmlformats.org/officeDocument/2006/relationships/hyperlink" Target="https://www.sec.gov/Archives/edgar/data/1453593/000149315225021389/ex10-1.htm" TargetMode="External"/><Relationship Id="rId146" Type="http://schemas.openxmlformats.org/officeDocument/2006/relationships/hyperlink" Target="https://www.sec.gov/Archives/edgar/data/1453593/000149315223025769/ex10-2.htm" TargetMode="External"/><Relationship Id="rId147" Type="http://schemas.openxmlformats.org/officeDocument/2006/relationships/hyperlink" Target="https://www.sec.gov/Archives/edgar/data/1453593/000149315223025769/ex10-3.htm" TargetMode="External"/><Relationship Id="rId148" Type="http://schemas.openxmlformats.org/officeDocument/2006/relationships/hyperlink" Target="https://www.sec.gov/Archives/edgar/data/1453593/000149315223025769/ex10-4.htm" TargetMode="External"/><Relationship Id="rId149" Type="http://schemas.openxmlformats.org/officeDocument/2006/relationships/hyperlink" Target="https://www.sec.gov/Archives/edgar/data/1453593/000149315223025769/ex10-5.htm" TargetMode="External"/><Relationship Id="rId150" Type="http://schemas.openxmlformats.org/officeDocument/2006/relationships/hyperlink" Target="https://www.sec.gov/Archives/edgar/data/1453593/000149315224012145/ex10-13.htm" TargetMode="External"/><Relationship Id="rId151" Type="http://schemas.openxmlformats.org/officeDocument/2006/relationships/hyperlink" Target="https://www.sec.gov/Archives/edgar/data/1453593/000149315224019887/ex10-1.htm" TargetMode="External"/><Relationship Id="rId152" Type="http://schemas.openxmlformats.org/officeDocument/2006/relationships/hyperlink" Target="https://www.sec.gov/Archives/edgar/data/1453593/000149315224012145/ex10-14.htm" TargetMode="External"/><Relationship Id="rId154" Type="http://schemas.openxmlformats.org/officeDocument/2006/relationships/hyperlink" Target="https://www.sec.gov/Archives/edgar/data/1453593/000149315219015114/ex10-1.htm" TargetMode="External"/><Relationship Id="rId155" Type="http://schemas.openxmlformats.org/officeDocument/2006/relationships/hyperlink" Target="https://www.sec.gov/Archives/edgar/data/1453593/000149315224030663/ex10-2.htm" TargetMode="External"/><Relationship Id="rId156" Type="http://schemas.openxmlformats.org/officeDocument/2006/relationships/hyperlink" Target="https://www.sec.gov/Archives/edgar/data/1453593/000149315222011719/ex10-1.htm" TargetMode="External"/><Relationship Id="rId157" Type="http://schemas.openxmlformats.org/officeDocument/2006/relationships/hyperlink" Target="https://www.sec.gov/Archives/edgar/data/1453593/000149315223000906/ex10-1.htm" TargetMode="External"/><Relationship Id="rId158" Type="http://schemas.openxmlformats.org/officeDocument/2006/relationships/hyperlink" Target="https://www.sec.gov/Archives/edgar/data/1453593/000149315222024444/ex10-3.htm" TargetMode="External"/><Relationship Id="rId159" Type="http://schemas.openxmlformats.org/officeDocument/2006/relationships/hyperlink" Target="https://www.sec.gov/Archives/edgar/data/1453593/000149315222023900/ex10-1.htm" TargetMode="External"/><Relationship Id="rId160" Type="http://schemas.openxmlformats.org/officeDocument/2006/relationships/hyperlink" Target="https://www.sec.gov/Archives/edgar/data/1453593/000149315223023229/ex10-1.htm" TargetMode="External"/><Relationship Id="rId161" Type="http://schemas.openxmlformats.org/officeDocument/2006/relationships/hyperlink" Target="https://www.sec.gov/Archives/edgar/data/1453593/000149315224030667/ex10-1.htm" TargetMode="External"/><Relationship Id="rId162" Type="http://schemas.openxmlformats.org/officeDocument/2006/relationships/hyperlink" Target="https://www.sec.gov/Archives/edgar/data/1453593/000149315224009247/ex10-1.htm" TargetMode="External"/><Relationship Id="rId163" Type="http://schemas.openxmlformats.org/officeDocument/2006/relationships/hyperlink" Target="https://www.sec.gov/Archives/edgar/data/1453593/000149315224009247/ex10-2.htm" TargetMode="External"/><Relationship Id="rId164" Type="http://schemas.openxmlformats.org/officeDocument/2006/relationships/hyperlink" Target="https://www.sec.gov/Archives/edgar/data/1453593/000149315224019887/ex10-4.htm" TargetMode="External"/><Relationship Id="rId167" Type="http://schemas.openxmlformats.org/officeDocument/2006/relationships/hyperlink" Target="https://www.sec.gov/Archives/edgar/data/1453593/000149315224019887/ex10-5.htm" TargetMode="External"/><Relationship Id="rId168" Type="http://schemas.openxmlformats.org/officeDocument/2006/relationships/hyperlink" Target="https://www.sec.gov/Archives/edgar/data/1453593/000164117225003711/ex10-2.htm" TargetMode="External"/><Relationship Id="rId169" Type="http://schemas.openxmlformats.org/officeDocument/2006/relationships/hyperlink" Target="https://www.sec.gov/Archives/edgar/data/1453593/000164117225003711/ex10-3.htm" TargetMode="External"/><Relationship Id="rId170" Type="http://schemas.openxmlformats.org/officeDocument/2006/relationships/hyperlink" Target="https://www.sec.gov/Archives/edgar/data/1453593/000164117225018092/ex10-1.htm" TargetMode="External"/><Relationship Id="rId171" Type="http://schemas.openxmlformats.org/officeDocument/2006/relationships/hyperlink" Target="https://www.sec.gov/Archives/edgar/data/1453593/000164117225018092/ex10-2.htm" TargetMode="External"/><Relationship Id="rId172" Type="http://schemas.openxmlformats.org/officeDocument/2006/relationships/hyperlink" Target="https://www.sec.gov/Archives/edgar/data/1453593/000149315223006881/ex10-30.htm" TargetMode="External"/><Relationship Id="rId173" Type="http://schemas.openxmlformats.org/officeDocument/2006/relationships/hyperlink" Target="https://www.sec.gov/Archives/edgar/data/1453593/000149315223006881/ex10-31.htm" TargetMode="External"/><Relationship Id="rId174" Type="http://schemas.openxmlformats.org/officeDocument/2006/relationships/hyperlink" Target="https://www.sec.gov/Archives/edgar/data/1453593/000149315223006881/ex10-32.htm" TargetMode="External"/><Relationship Id="rId176" Type="http://schemas.openxmlformats.org/officeDocument/2006/relationships/hyperlink" Target="https://www.sec.gov/Archives/edgar/data/1453593/000149315223006881/ex10-34.htm" TargetMode="External"/><Relationship Id="rId177" Type="http://schemas.openxmlformats.org/officeDocument/2006/relationships/hyperlink" Target="https://www.sec.gov/Archives/edgar/data/1453593/000149315225009391/ex19-1.htm" TargetMode="External"/><Relationship Id="rId178" Type="http://schemas.openxmlformats.org/officeDocument/2006/relationships/hyperlink" Target="https://www.sec.gov/Archives/edgar/data/1453593/000149315224012145/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2026-03-31T06:29:09Z</dcterms:created>
  <dcterms:modified xsi:type="dcterms:W3CDTF">2026-03-31T06:29:09Z</dcterms:modified>
</cp:coreProperties>
</file>