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320040</wp:posOffset>
            </wp:positionV>
            <wp:extent cx="164592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001-34951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20-5313323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Belgrade, Montana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59714</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XTNT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31, 2026, Xtant Medical Holdings, Inc. (the “Company”) announced its financial results for the three months and year ended December 31, 2025. The full text of the press release issued in connection with the announcement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report (including Exhibit 99.1) shall not be deemed “filed” for purposes of Section 18 of the Securities Exchange Act of 1934, as amended (the “Exchange Act”), or otherwise subject to the liabilities of that section, nor shall it be deemed incorporated by reference in any registration statement or other document filed by the Company under the Securities Act of 1933, as amended (the “Securities Act”), or the Exchange Act, except as expressly provided by specific reference in such a filing.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supplement its consolidated financial statements prepared in accordance with United States generally accepted accounting principles (“GAAP”), the Company uses certain non-GAAP financial measures, such as non-GAAP adjusted EBITDA, which are included in the press release furnished as Exhibit 99.1 to this report. The Company defines non-GAAP adjusted EBITDA as net income (loss) from operations before depreciation and amortization expense; interest expense, net; and tax benefit (expense), and as further adjusted to add back in or exclude, non-cash compensation, divestiture/acquisition-related expenses, gain on divestiture, acquisition-related fair value adjustments, unrealized foreign currency translation gain or loss, and separation-related expenses, in each case as applicable.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non-GAAP adjusted EBITDA in making operating decisions because it believes this measure provides meaningful supplemental information regarding its core operational performance. Additionally, this measure gives the Company a better understanding of how it should invest in sales and marketing and research and development activities and how it should allocate resources to both ongoing and prospective business initiatives. The Company also uses non-GAAP adjusted EBITDA to help make budgeting and spending decisions, for example, among sales and marketing expenses, general and administrative expenses, and research and development expenses. Additionally, the Company believes its use of non-GAAP adjusted EBITDA facilitates management’s internal comparisons to historical operating results by factoring out potential differences caused by charges not related to its regular, ongoing business, including, without limitation, non-cash charges and certain large and unpredictable charges and gains.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above, the Company excludes the effect of the following items from its non-GAAP adjusted EBITDA for the following reasons: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Non-cash compensation</w:t>
      </w:r>
      <w:r>
        <w:rPr>
          <w:rFonts w:ascii="Times New Roman" w:cs="Times New Roman" w:eastAsia="Times New Roman" w:hAnsi="Times New Roman"/>
          <w:sz w:val="18"/>
          <w:szCs w:val="18"/>
          <w:color w:val="auto"/>
        </w:rPr>
        <w:t>. The Company excludes non-cash compensation, which is a non-cash charge related to equity awards granted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Although non-cash compensation is a recurring charge to the Company’s operations, management has excluded it because it relies on valuations based on future events, such as the market price of the Company’s common stock, that are difficult to predict and are affected by market factors that are largely not within the control of the Company. Thus, management believes that excluding non-cash compensation facilitates comparisons of the Company’s operational performance in different periods, as well as with similarly determined non-GAAP financial measures of comparable companies.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Divestiture/acquisition-related expenses</w:t>
      </w:r>
      <w:r>
        <w:rPr>
          <w:rFonts w:ascii="Times New Roman" w:cs="Times New Roman" w:eastAsia="Times New Roman" w:hAnsi="Times New Roman"/>
          <w:sz w:val="18"/>
          <w:szCs w:val="18"/>
          <w:color w:val="auto"/>
        </w:rPr>
        <w:t>. The Company excludes expenses directly related to the Company’s divestiture of its non-core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Coflex/CoFix assets and the international hardware business and its acquisitions and integration into the Company from non-GAAP adjusted EBITDA primarily because such expenses are not reflective of the Company’s ongoing operating results and are not used by management to assess the core profitability of the Company’s business operations. These expenses include legal and accounting fees and transition related services and are not considered normal, recurring, cash operating expenses necessary to operate the Company’s business. The Company further believes that excluding this item from its non-GAAP results is useful to investors in that it allows for period-over-period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Gain on divestiture</w:t>
      </w:r>
      <w:r>
        <w:rPr>
          <w:rFonts w:ascii="Times New Roman" w:cs="Times New Roman" w:eastAsia="Times New Roman" w:hAnsi="Times New Roman"/>
          <w:sz w:val="18"/>
          <w:szCs w:val="18"/>
          <w:color w:val="auto"/>
        </w:rPr>
        <w:t>. The Company excludes gain on divestiture from non-GAAP adjusted EBITDA primarily because such an item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the Company’s ongoing operating results and is not used by management to assess the core profitability of the Company’s business operations. The Company further believes that excluding this item from its non-GAAP results is useful to investors in that it allows for period-over-period comparability.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Acquisition-related fair value adjustments</w:t>
      </w:r>
      <w:r>
        <w:rPr>
          <w:rFonts w:ascii="Times New Roman" w:cs="Times New Roman" w:eastAsia="Times New Roman" w:hAnsi="Times New Roman"/>
          <w:sz w:val="18"/>
          <w:szCs w:val="18"/>
          <w:color w:val="auto"/>
        </w:rPr>
        <w:t>. The Company excludes acquisition-related fair value adjustments from non-GAAP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because such adjustments are not reflective of the Company’s ongoing operating results and are not used by management to assess the core profitability of the Company’s business operations. The Company further believes that excluding this item from its non-GAAP results is useful to investors in that it allows for period-over-period comparability.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Unrealized foreign currency translation gain or loss</w:t>
      </w:r>
      <w:r>
        <w:rPr>
          <w:rFonts w:ascii="Times New Roman" w:cs="Times New Roman" w:eastAsia="Times New Roman" w:hAnsi="Times New Roman"/>
          <w:sz w:val="18"/>
          <w:szCs w:val="18"/>
          <w:color w:val="auto"/>
        </w:rPr>
        <w:t>. The Company excludes unrealized foreign currency translation gain or loss,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non-GAAP adjusted EBITDA primarily because such gain or loss is not reflective of the Company’s ongoing operating results and is not used by management to assess the core profitability of the Company’s business operations. The Company further believes that excluding this item from its non-GAAP results is useful to investors in that it allows for period-over-period comparability.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Separation-related expenses</w:t>
      </w:r>
      <w:r>
        <w:rPr>
          <w:rFonts w:ascii="Times New Roman" w:cs="Times New Roman" w:eastAsia="Times New Roman" w:hAnsi="Times New Roman"/>
          <w:sz w:val="18"/>
          <w:szCs w:val="18"/>
          <w:color w:val="auto"/>
        </w:rPr>
        <w:t>. The Company excludes separation-related expenses primarily because such expenses are not reflective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ongoing operating results and are not used by management to assess the core profitability of the Company’s business operations. The Company further believes that excluding this item from its non-GAAP results is useful to investors in that it allows for period over-period comparability.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Non-GAAP adjusted EBITDA is reconciled to net income (loss), the most directly comparable GAAP measure in the press release. The Company also presents in the press release EBITDA as a percentage of total revenue and adjusted EBITDA as a percentage of total revenue and reconciles these two non-GAAP measures in the press release to net income (loss) as a percentage of total revenue.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Non-GAAP financial measures are not in accordance with, or an alternative for, GAAP measures and may be different from non-GAAP financial measures used by other companies. In addition, non-GAAP financial measures are not based on any comprehensive or standard set of accounting rules or principles. Accordingly, the calculation of the Company’s non-GAAP financial measures may differ from the definitions of other companies using the same or similar names, limiting, to some extent, the usefulness of such measures for comparison purposes. Non-GAAP financial measures have limitations in that they do not reflect all of the amounts associated with the Company’s financial results as determined in accordance with GAAP. Non-GAAP financial measures should only be used to evaluate the Company’s financial results in conjunction with the corresponding GAAP measures. Accordingly, the Company qualifies its use of non-GAAP financial information in a statement when non-GAAP financial information is presented.</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ind w:left="60"/>
        <w:spacing w:after="0"/>
        <w:tabs>
          <w:tab w:leader="none" w:pos="57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 w:lineRule="exact"/>
        <w:rPr>
          <w:sz w:val="20"/>
          <w:szCs w:val="20"/>
          <w:color w:val="auto"/>
        </w:rPr>
      </w:pPr>
    </w:p>
    <w:p>
      <w:pPr>
        <w:ind w:left="1100" w:right="20" w:hanging="764"/>
        <w:spacing w:after="0" w:line="258" w:lineRule="auto"/>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Xtant Medical Holdings, Inc. dated March 31, 2026 entitled “Xtant Medical Reports Fourth Quarter and Full-Year 2025 Financial Results” (furnished herewith)</w:t>
      </w: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C. Neils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Scott C. Neils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Xtant Medical Reports Fourth Quarter and Full-Year 2025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year 2025 revenue totals $133.9 million, an increase of 14% year-over-year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Xtant delivers positive net income, adjusted EBITDA and operating cash flow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Total cash of $17.3 million as of December 31, 2025 with an additional $10.5 million received subsequent to year end related to divestiture</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BELGRADE, Mont., March 31, 2026 — Xtant Medical Holdings, Inc. </w:t>
      </w:r>
      <w:r>
        <w:rPr>
          <w:rFonts w:ascii="Times New Roman" w:cs="Times New Roman" w:eastAsia="Times New Roman" w:hAnsi="Times New Roman"/>
          <w:sz w:val="18"/>
          <w:szCs w:val="18"/>
          <w:color w:val="auto"/>
        </w:rPr>
        <w:t>(NYSE American: XTNT), a global medical technology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solutions for spinal and other orthopedic conditions, today reported financial and operating results for the fourth quarter and full-year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$32.4 million, up approximately 3% compared to the prior year quarter</w:t>
      </w:r>
    </w:p>
    <w:p>
      <w:pPr>
        <w:spacing w:after="0" w:line="225" w:lineRule="exact"/>
        <w:rPr>
          <w:rFonts w:ascii="Times New Roman" w:cs="Times New Roman" w:eastAsia="Times New Roman" w:hAnsi="Times New Roman"/>
          <w:sz w:val="18"/>
          <w:szCs w:val="18"/>
          <w:color w:val="auto"/>
        </w:rPr>
      </w:pPr>
    </w:p>
    <w:p>
      <w:pPr>
        <w:ind w:left="1360" w:hanging="326"/>
        <w:spacing w:after="0" w:line="281" w:lineRule="auto"/>
        <w:tabs>
          <w:tab w:leader="none" w:pos="1360" w:val="left"/>
        </w:tabs>
        <w:numPr>
          <w:ilvl w:val="1"/>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Company’s earlier-than-anticipated closing of the Companion Spine transaction reduced fourth quarter 2025 revenue by an estimated $2.0 million</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54.9% compared to 50.8% for the prior year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$0.1 million compared to a net loss of $3.2 million in the prior year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of $1.9 million compared to adjusted EBITDA of $0.4 million in the prior year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2025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$134.0 million, up approximately 14% over the full-year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62.9%, compared to 58.2% for the full year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$5.0 million, or $0.03 per diluted share, compared to a net loss of $16.5 million, or a net loss of $0.12 per basic and diluted share, for the full year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of $16.3 million compared to an adjusted EBITDA loss of $2.3 million for the full year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operations of $12.5 million compared to net cash used in operations of $11.9 million for the full year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and Recent Business 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previously announced sale of Xtant’s non-core Coflex® and CoFix assets and its international hardware businesses to Companion Spine for a total sale price of $21.4 million in cash.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commercial launch of its next-generation innovative synthetic bone graft in the nanOss line, Strata™. nanOss Strata is manufactured from hydroxycarbonapatite (HCA), a material with higher solubility than traditional hydroxyapatite (HA), the most commonly used synthetic material.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commercial launch of CollagenX™, its bovine collagen particulate product for surgical wound closure designed to promote healing, prevent dehiscence, and help mitigate concerns related to surgical site infections.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Sean Browne, President and CEO of Xtant Medical, stated, “Our fourth quarter 2025 caps a truly transformational year for Xtant, during which we meaningfully sharpened our focus on our core biologics business while driving the new product innovation for which we are known. Along the way, in 2025 we achieved profitability and cash flow generation, reflecting robust topline growth, targeted R&amp;D investments, and prudent expense management. We also took advantage of a short-term license and royalty opportunity through our amnio line in the advanced wound care market. Those cash flows, along with the divestiture of certain non-core products and operations, provided Xtant with the capital to focus on internally developing our advanced biologics product lines, including new products released in 2025. With this foundation in place, we began to opportunistically add to our field sales force in the fourth quarter 2025 and into the first quarter of 2026 to improve our reach and leverage our outstanding contract portfolio and independent agent network.”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to 2026, with the recent receipt of amounts previously outstanding under our note receivable from the Companion Spine transaction, we have increased our current cash position to over $22 million while reducing our term loan balance to $11.2 million. Given our significantly strengthened financial position, we do not see any need to raise additional outside capital to run our operations and we expect to be free cash flow positive in 2026. Moreover, this year we plan to lean into our strengths in biologics and invest in our commercial team to focus on profitably growing our core biologics business. With the substantial progress made in 2025, I am excited for this year and beyond,” Mr. Browne concluded.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2025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Fourth quarter 2025 revenue grew 3% to $32.4 million, compared to $31.5 million for the same period in 2024. The increase is due primarily to higher license revenue, partly offset by one less month of Coflex and CoFix and related international hardware sales in 2025 as a result of the sale of those businesses to Companion Spine in early December. For the full year, total revenue of $134.0 million increased 14% over $117.3 million for the full year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for the fourth quarter of 2025 was 54.9%, compared to 50.8% for the same period in 2024. For the full year 2025, gross margin was 62.9%, compared to 58.2% for the full year 2024. These increases were primarily attributable to sales mix and greater scale, partially offset by increased charges for excess and obsolete inventory, in particular, a $1.3 million charge related to excess and obsolete inventory associated with the launch of the Cortera® Fixation System.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fourth quarter of 2025 totaled $18.7 million, compared to $17.9 million for the fourth quarter of 2024. Full year 2025 total operating expenses were $77.0 million, compared to $80.3 million for the full year 2024. The increase in fourth quarter 2025 operating expenses was primarily due to increases in various compensation plans and the year-over-year decline was primarily driven by reduced commission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fourth quarter 2025 totaled $0.1 million, compared to a net loss of $3.2 million for the fourth quarter of 2024. For the full year 2025, net income was $5.0 million, or $0.03 per diluted share, compared to a net loss of $16.5 million, or a new loss of $0.12 per basic and diluted share, for the full year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adjusted EBITDA for the fourth quarter of 2025 totaled $1.9 million, compared to adjusted EBITDA of $0.4 million for the same period in 2024. For the full year 2025, non-GAAP adjusted EBITDA was $16.3 million, compared to an adjusted EBITDA loss of $2.3 million for the full year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adjusted EBITDA as net income/loss from operations before depreciation, amortization and interest income/expense and provision for income tax/benefit, and as further adjusted to add back in or exclude, as applicable, separation-related expenses, non-cash compensation, disposition/acquisition-related expense, acquisition-related fair value adjustments, gain on divestiture, and unrealized foreign currency translation gain or loss. A calculation and reconciliation of adjusted EBITDA to net income (loss) can be found in the attached financial tables.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$17.3 million of cash and cash equivalents compared to $6.2 million as of December 31, 2024. Cash as of December 31, 2025 excludes an additional $10.5 million received in February 2026 upon repayment of the unsecured promissory note issued by Companion Spine to Xtant in the divestiture transactions that closed in December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Company anticipates full-year 2026 revenue to be in the range of </w:t>
      </w:r>
      <w:r>
        <w:rPr>
          <w:rFonts w:ascii="Times New Roman" w:cs="Times New Roman" w:eastAsia="Times New Roman" w:hAnsi="Times New Roman"/>
          <w:sz w:val="18"/>
          <w:szCs w:val="18"/>
          <w:b w:val="1"/>
          <w:bCs w:val="1"/>
          <w:color w:val="auto"/>
        </w:rPr>
        <w:t>$95 million to $99 million</w:t>
      </w:r>
      <w:r>
        <w:rPr>
          <w:rFonts w:ascii="Times New Roman" w:cs="Times New Roman" w:eastAsia="Times New Roman" w:hAnsi="Times New Roman"/>
          <w:sz w:val="18"/>
          <w:szCs w:val="18"/>
          <w:color w:val="auto"/>
        </w:rPr>
        <w:t>. This outlook reflects anticipated organic growth in its core higher-margin biologics business, offset bythe impact of the Company’s December 2025 sale of non-core Coflex® and CoFix assets and its international hardware businesses to Companion Spine, as well as the cessation of license revenue related to the Q-Code and amniotic membrane agreements that the Company received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Xtant Medical will host a webcast and conference call to discuss its fourth quarter and full-year 2025 financial and operating results at 8:30 am ET today,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access the webcast: </w:t>
      </w:r>
      <w:r>
        <w:rPr>
          <w:rFonts w:ascii="Times New Roman" w:cs="Times New Roman" w:eastAsia="Times New Roman" w:hAnsi="Times New Roman"/>
          <w:sz w:val="18"/>
          <w:szCs w:val="18"/>
          <w:u w:val="single" w:color="auto"/>
          <w:color w:val="auto"/>
        </w:rPr>
        <w:t>https://www.webcaster5.com/Webcast/Page/3039/53616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access the conference call, dial 888-506-0062 (US) or 973-528-0011 (International) and reference Participant Access Code 581090.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replay of the call will be available on the Investor section of the Company’s website at </w:t>
      </w:r>
      <w:r>
        <w:rPr>
          <w:rFonts w:ascii="Times New Roman" w:cs="Times New Roman" w:eastAsia="Times New Roman" w:hAnsi="Times New Roman"/>
          <w:sz w:val="18"/>
          <w:szCs w:val="18"/>
          <w:u w:val="single" w:color="auto"/>
          <w:color w:val="auto"/>
        </w:rPr>
        <w:t>www.xtantmedical.com</w:t>
      </w:r>
      <w:r>
        <w:rPr>
          <w:rFonts w:ascii="Times New Roman" w:cs="Times New Roman" w:eastAsia="Times New Roman" w:hAnsi="Times New Roman"/>
          <w:sz w:val="18"/>
          <w:szCs w:val="18"/>
          <w:color w:val="auto"/>
        </w:rPr>
        <w:t xml:space="preserve"> for a period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Xtant Medical Holdings,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Xtant Medical’s mission of honoring the gift of donation so that our patients can live as full and complete a life as possible, is the driving force behind our company. Xtant Medical Holdings, Inc. (www.xtantmedical.com) is a global medical technology company focused on the design, development, and commercialization of a comprehensive portfolio of orthobiologics serving the chronic and surgical wound care and sports medicine markets, as well as spinal implant systems. Xtant people are dedicated and talented, operating with the highest integrity to serve our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symbols ™ and ® denote trademarks and registered trademarks of Xtant Medical Holdings, Inc. or its affiliates, registered as indicated in the United States, and in other countries. All other trademarks and trade names referred to in this release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Company’s consolidated financial statements prepared in accordance with U.S. generally accepted accounting principles (GAAP), the Company uses certain non-GAAP financial measures in this release, including adjusted EBITDA. Reconciliations of the non-GAAP financial measures used in this release to the most comparable GAAP measures for the respective periods can be found in tables later in this release. The Company’s management believes that the presentation of these measures provides useful information to investors. These measures may assist investors in evaluating the Company’s operations, period over period. Management uses the non-GAAP measures in this release internally for evaluation of the performance of the business, including the allocation of resources. Investors should consider non-GAAP financial measures only as a supplement to, not as a substitute for or as superior to, measures of financial performance prepared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statements that are predictive in nature, that depend upon or refer to future events or conditions, or that include words such as “intends,” ‘‘expects,’’ ‘‘anticipates,’’ ‘‘plans,’’ ‘‘believes,’’ ‘‘estimates,’’ “continue,” “future,” ‘‘will,’’ “potential,” “going forward,” “guidance,” similar expressions or the negative thereof, and the use of future dates. Forward-looking statements in this release include the Company’s full year 2026 revenue guidance, anticipated organic growth in its core higher-margin biologics business, need for no further capital to fund its operations and expectation to be free cash flow positive in 2026. The Company cautions that its forward-looking statements by their nature involve risks and uncertainties, and actual results may differ materially depending on a variety of important factors, including, among others: the Company’s future operating results, financial performance and need for additional capital; the success of the Company’s expanded field sales force to improve the Company’s reach and leverage its outstanding contract portfolio and independent agent network; the Company’s ability to become operationally self-sustaining and less reliant on third-party manufacturers and suppliers; risks associated with acquisitions and dispositions; its ability to implement successfully its future growth initiatives and risks associated therewith; possible future impairment charges to long-lived assets and goodwill and write-downs of excess and obsolete inventory; its ability to continue to innovate, develop and introduce new products and the success of those products; its ability to remain competitive; its ability to engage and retain new and existing independent distributors and agents and qualified sales and other personnel and its dependence on key independent agents for a significant portion of its revenue; the effect of inflation, elevated interest rates and other recessionary factors and supply chain disruptions; the effect of product sales mix changes on its financial results; the effect of government and third-party coverage and reimbursement for its products; its ability to obtain and maintain regulatory approvals and comply with government regulations; the effect of product liability claims and other litigation to which the Company may be subject; the effect of product recalls and defects; its ability to license intellectual property on commercially reasonable terms and to maintain any such licenses and its ability to obtain and protect its intellectual property and proprietary rights and operate without infringing the rights of others; its ability to service its debt, comply with debt covenants, and access additional indebtedness or financing on favorable terms or at all, if and when needed; and other factors described in its Annual Report on Form 10-K for the year ended December 31, 2025 to be filed with the Securities and Exchange Commission (SEC) on March 30, 2026. Investors are encouraged to read the Company’s filings with the SEC, available at www.sec.gov, for a discussion of these and other risks and uncertainties. The Company undertakes no obligation to release publicly any revisions to any forward-looking statements to reflect events or circumstances after the date hereof or to reflect the occurrence of unanticipated events, except as required by law. All forward-looking statements attributable to the Company or persons acting on its behalf are expressly qualified in their entirety by this cautionary 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Windsor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rwindsor@lifescipartners.com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Tables Follow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number of shares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17,053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6,199</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$2,165 and $1,437,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17,803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20,660</w:t>
            </w:r>
          </w:p>
        </w:tc>
        <w:tc>
          <w:tcPr>
            <w:tcW w:w="80" w:type="dxa"/>
            <w:vAlign w:val="bottom"/>
            <w:shd w:val="clear" w:color="auto" w:fill="CCEEFF"/>
          </w:tcPr>
          <w:p>
            <w:pPr>
              <w:spacing w:after="0"/>
              <w:rPr>
                <w:sz w:val="20"/>
                <w:szCs w:val="20"/>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38,634</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10,131</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7,302</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8,356</w:t>
            </w:r>
          </w:p>
        </w:tc>
        <w:tc>
          <w:tcPr>
            <w:tcW w:w="80" w:type="dxa"/>
            <w:vAlign w:val="bottom"/>
            <w:shd w:val="clear" w:color="auto" w:fill="CCEEFF"/>
          </w:tcPr>
          <w:p>
            <w:pPr>
              <w:spacing w:after="0"/>
              <w:rPr>
                <w:sz w:val="18"/>
                <w:szCs w:val="18"/>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7,918</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7,771</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12,120</w:t>
            </w:r>
          </w:p>
        </w:tc>
        <w:tc>
          <w:tcPr>
            <w:tcW w:w="80" w:type="dxa"/>
            <w:vAlign w:val="bottom"/>
          </w:tcPr>
          <w:p>
            <w:pPr>
              <w:spacing w:after="0"/>
              <w:rPr>
                <w:sz w:val="19"/>
                <w:szCs w:val="19"/>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obligations,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plus premium and less issuance costs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22,038</w:t>
            </w:r>
          </w:p>
        </w:tc>
        <w:tc>
          <w:tcPr>
            <w:tcW w:w="80" w:type="dxa"/>
            <w:vAlign w:val="bottom"/>
            <w:shd w:val="clear" w:color="auto" w:fill="CCEEFF"/>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$0.000001 par value; 10,000,000 shares authorized; no shares issued and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$0.000001 par value; 300,000,000 shares authorized; 140,039,557 shares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2025; 139,045,664 shares issued and outstanding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305,439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302,738</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(254,486)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(259,459)</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number of shares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27,712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30,011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115,204</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115,765</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4,645</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1,502</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18,723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1,502</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32,357</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117,267</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14,603</w:t>
            </w:r>
          </w:p>
        </w:tc>
        <w:tc>
          <w:tcPr>
            <w:tcW w:w="460" w:type="dxa"/>
            <w:vAlign w:val="bottom"/>
          </w:tcPr>
          <w:p>
            <w:pPr>
              <w:spacing w:after="0"/>
              <w:rPr>
                <w:sz w:val="19"/>
                <w:szCs w:val="19"/>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15,489</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49,654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49,051</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7,293</w:t>
            </w:r>
          </w:p>
        </w:tc>
        <w:tc>
          <w:tcPr>
            <w:tcW w:w="460" w:type="dxa"/>
            <w:vAlign w:val="bottom"/>
          </w:tcPr>
          <w:p>
            <w:pPr>
              <w:spacing w:after="0"/>
              <w:rPr>
                <w:sz w:val="18"/>
                <w:szCs w:val="18"/>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5,700</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29,375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28,691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10,946</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11,684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45,512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49,214</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w:t>
            </w:r>
          </w:p>
        </w:tc>
        <w:tc>
          <w:tcPr>
            <w:tcW w:w="460" w:type="dxa"/>
            <w:vAlign w:val="bottom"/>
          </w:tcPr>
          <w:p>
            <w:pPr>
              <w:spacing w:after="0"/>
              <w:rPr>
                <w:sz w:val="19"/>
                <w:szCs w:val="19"/>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2,385</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(944)</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(1,882)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(718)</w:t>
            </w:r>
          </w:p>
        </w:tc>
        <w:tc>
          <w:tcPr>
            <w:tcW w:w="460" w:type="dxa"/>
            <w:vAlign w:val="bottom"/>
          </w:tcPr>
          <w:p>
            <w:pPr>
              <w:spacing w:after="0"/>
              <w:rPr>
                <w:sz w:val="18"/>
                <w:szCs w:val="18"/>
                <w:color w:val="auto"/>
              </w:rPr>
            </w:pP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(1,134)</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Pr>
          <w:p>
            <w:pPr>
              <w:spacing w:after="0"/>
              <w:rPr>
                <w:sz w:val="18"/>
                <w:szCs w:val="18"/>
                <w:color w:val="auto"/>
              </w:rPr>
            </w:pP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divestiture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3,281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tcPr>
          <w:p>
            <w:pPr>
              <w:spacing w:after="0"/>
              <w:rPr>
                <w:sz w:val="19"/>
                <w:szCs w:val="19"/>
                <w:color w:val="auto"/>
              </w:rPr>
            </w:pP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Operations Before Provision</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Income Taxes</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1,598</w:t>
            </w:r>
          </w:p>
        </w:tc>
        <w:tc>
          <w:tcPr>
            <w:tcW w:w="4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(3,144)</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Current and Deferred</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(1,541)</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(3,165)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4,973</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0.03</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139,826,783</w:t>
            </w:r>
          </w:p>
        </w:tc>
        <w:tc>
          <w:tcPr>
            <w:tcW w:w="460" w:type="dxa"/>
            <w:vAlign w:val="bottom"/>
          </w:tcPr>
          <w:p>
            <w:pPr>
              <w:spacing w:after="0"/>
              <w:rPr>
                <w:sz w:val="18"/>
                <w:szCs w:val="18"/>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138,977,615</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139,531,791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133,665,075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150,462,888</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138,977,615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150,042,556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133,665,075</w:t>
            </w:r>
          </w:p>
        </w:tc>
      </w:tr>
      <w:tr>
        <w:trPr>
          <w:trHeight w:val="432"/>
        </w:trPr>
        <w:tc>
          <w:tcPr>
            <w:tcW w:w="4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4,973</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sale of fixed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reserve on accounts receivable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3,669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to Companion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to Companion, net of promissory note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10,049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100,066</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112,640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(101,329)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(105,142)</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private placement, net of issuance costs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 of taxes from withholding of common stock upon vesting and settlement of</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stock-based compensation</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6,221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5,923</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year</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Reconciliation of cash and cash equivalents and restricted cash reported in the consolidated</w:t>
            </w: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17,053</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8"/>
        </w:trPr>
        <w:tc>
          <w:tcPr>
            <w:tcW w:w="6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cash and cash equivalents and restricted cash reported in the consolidated balance</w:t>
            </w:r>
          </w:p>
        </w:tc>
        <w:tc>
          <w:tcPr>
            <w:tcW w:w="2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sheets</w:t>
            </w:r>
          </w:p>
        </w:tc>
        <w:tc>
          <w:tcPr>
            <w:tcW w:w="1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17,328</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NON-GAAP CONSOLIDATED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gridSpan w:val="7"/>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09"/>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(3,165)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4,973</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(16,449)</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4,224</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4,160</w:t>
            </w:r>
          </w:p>
        </w:tc>
      </w:tr>
      <w:tr>
        <w:trPr>
          <w:trHeight w:val="22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w:t>
            </w:r>
          </w:p>
        </w:tc>
      </w:tr>
      <w:tr>
        <w:trPr>
          <w:trHeight w:val="263"/>
        </w:trPr>
        <w:tc>
          <w:tcPr>
            <w:tcW w:w="4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Non-GAAP EBITDA</w:t>
            </w:r>
          </w:p>
        </w:tc>
        <w:tc>
          <w:tcPr>
            <w:tcW w:w="14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15,801</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(Loss)/Total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EBITDA/Total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 CALCULATION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4,117</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divestiture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Divestiture/acquisition-related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fair value adjustments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Separation related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682</w:t>
            </w:r>
          </w:p>
        </w:tc>
      </w:tr>
      <w:tr>
        <w:trPr>
          <w:trHeight w:val="229"/>
        </w:trPr>
        <w:tc>
          <w:tcPr>
            <w:tcW w:w="4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3"/>
        </w:trPr>
        <w:tc>
          <w:tcPr>
            <w:tcW w:w="4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Non-GAAP Adjusted EBITDA</w:t>
            </w: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Adjusted EBITDA/Total Revenue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4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2026-03-31T06:12:31Z</dcterms:created>
  <dcterms:modified xsi:type="dcterms:W3CDTF">2026-03-31T06:12:31Z</dcterms:modified>
</cp:coreProperties>
</file>