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1" w:lineRule="exact"/>
        <w:rPr>
          <w:sz w:val="24"/>
          <w:szCs w:val="24"/>
          <w:color w:val="auto"/>
        </w:rPr>
      </w:pPr>
    </w:p>
    <w:p>
      <w:pPr>
        <w:ind w:left="980" w:right="1120" w:hanging="648"/>
        <w:spacing w:after="0" w:line="503" w:lineRule="auto"/>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September 30, 2025</w:t>
      </w: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980" w:hanging="648"/>
        <w:spacing w:after="0"/>
        <w:tabs>
          <w:tab w:leader="none" w:pos="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For the transition period from ___________ to 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001-34951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XTANT MEDICAL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Borders>
              <w:bottom w:val="single" w:sz="8" w:color="auto"/>
            </w:tcBorders>
            <w:gridSpan w:val="2"/>
          </w:tcPr>
          <w:p>
            <w:pPr>
              <w:jc w:val="center"/>
              <w:ind w:left="910"/>
              <w:spacing w:after="0"/>
              <w:rPr>
                <w:sz w:val="20"/>
                <w:szCs w:val="20"/>
                <w:color w:val="auto"/>
              </w:rPr>
            </w:pPr>
            <w:r>
              <w:rPr>
                <w:rFonts w:ascii="Times New Roman" w:cs="Times New Roman" w:eastAsia="Times New Roman" w:hAnsi="Times New Roman"/>
                <w:sz w:val="18"/>
                <w:szCs w:val="18"/>
                <w:color w:val="auto"/>
                <w:w w:val="98"/>
              </w:rPr>
              <w:t>Delaware</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color w:val="auto"/>
              </w:rPr>
              <w:t>20-5313323</w:t>
            </w:r>
          </w:p>
        </w:tc>
        <w:tc>
          <w:tcPr>
            <w:tcW w:w="0" w:type="dxa"/>
            <w:vAlign w:val="bottom"/>
          </w:tcPr>
          <w:p>
            <w:pPr>
              <w:spacing w:after="0"/>
              <w:rPr>
                <w:sz w:val="1"/>
                <w:szCs w:val="1"/>
                <w:color w:val="auto"/>
              </w:rPr>
            </w:pPr>
          </w:p>
        </w:tc>
      </w:tr>
      <w:tr>
        <w:trPr>
          <w:trHeight w:val="191"/>
        </w:trPr>
        <w:tc>
          <w:tcPr>
            <w:tcW w:w="4520" w:type="dxa"/>
            <w:vAlign w:val="bottom"/>
            <w:gridSpan w:val="2"/>
          </w:tcPr>
          <w:p>
            <w:pPr>
              <w:jc w:val="center"/>
              <w:ind w:left="91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60" w:type="dxa"/>
            <w:vAlign w:val="bottom"/>
          </w:tcPr>
          <w:p>
            <w:pPr>
              <w:jc w:val="center"/>
              <w:ind w:right="115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414"/>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w w:val="99"/>
              </w:rPr>
              <w:t>664 Cruiser Lane</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20" w:type="dxa"/>
            <w:vAlign w:val="bottom"/>
            <w:tcBorders>
              <w:bottom w:val="single" w:sz="8" w:color="auto"/>
            </w:tcBorders>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Belgrade, Montana</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color w:val="auto"/>
              </w:rPr>
              <w:t>59714</w:t>
            </w:r>
          </w:p>
        </w:tc>
        <w:tc>
          <w:tcPr>
            <w:tcW w:w="0" w:type="dxa"/>
            <w:vAlign w:val="bottom"/>
          </w:tcPr>
          <w:p>
            <w:pPr>
              <w:spacing w:after="0"/>
              <w:rPr>
                <w:sz w:val="1"/>
                <w:szCs w:val="1"/>
                <w:color w:val="auto"/>
              </w:rPr>
            </w:pPr>
          </w:p>
        </w:tc>
      </w:tr>
      <w:tr>
        <w:trPr>
          <w:trHeight w:val="228"/>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395"/>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(406) 388-0480</w:t>
            </w: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43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220" w:type="dxa"/>
            <w:vAlign w:val="bottom"/>
            <w:vMerge w:val="restart"/>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$0.000001 per share</w:t>
            </w:r>
          </w:p>
        </w:tc>
        <w:tc>
          <w:tcPr>
            <w:tcW w:w="240" w:type="dxa"/>
            <w:vAlign w:val="bottom"/>
            <w:vMerge w:val="continue"/>
          </w:tcPr>
          <w:p>
            <w:pPr>
              <w:spacing w:after="0"/>
              <w:rPr>
                <w:sz w:val="19"/>
                <w:szCs w:val="19"/>
                <w:color w:val="auto"/>
              </w:rPr>
            </w:pP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XTNT</w:t>
            </w:r>
          </w:p>
        </w:tc>
        <w:tc>
          <w:tcPr>
            <w:tcW w:w="220" w:type="dxa"/>
            <w:vAlign w:val="bottom"/>
            <w:vMerge w:val="continue"/>
          </w:tcPr>
          <w:p>
            <w:pPr>
              <w:spacing w:after="0"/>
              <w:rPr>
                <w:sz w:val="19"/>
                <w:szCs w:val="19"/>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NYSE American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sectPr>
      </w:pPr>
    </w:p>
    <w:p>
      <w:pPr>
        <w:spacing w:after="0" w:line="135" w:lineRule="exact"/>
        <w:rPr>
          <w:sz w:val="24"/>
          <w:szCs w:val="24"/>
          <w:color w:val="auto"/>
        </w:rPr>
      </w:pPr>
    </w:p>
    <w:p>
      <w:pPr>
        <w:ind w:left="11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11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040" w:space="720"/>
            <w:col w:w="4480"/>
          </w:cols>
          <w:pgMar w:left="320" w:top="740"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par value $0.000001 per share, of registrant outstanding at November 7, 2025: 140,004,240.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40" w:type="dxa"/>
            <w:vAlign w:val="bottom"/>
            <w:gridSpan w:val="7"/>
          </w:tcPr>
          <w:p>
            <w:pPr>
              <w:ind w:left="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10600" w:type="dxa"/>
            <w:vAlign w:val="bottom"/>
            <w:gridSpan w:val="16"/>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6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auto"/>
              </w:rPr>
              <w:t>PART I.</w:t>
            </w:r>
          </w:p>
        </w:tc>
        <w:tc>
          <w:tcPr>
            <w:tcW w:w="536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426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78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61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348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II.</w:t>
            </w:r>
          </w:p>
        </w:tc>
        <w:tc>
          <w:tcPr>
            <w:tcW w:w="96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880" w:type="dxa"/>
            <w:vAlign w:val="bottom"/>
            <w:tcBorders>
              <w:top w:val="single" w:sz="8" w:color="0000EE"/>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PROCEEDINGS</w:t>
            </w:r>
          </w:p>
        </w:tc>
        <w:tc>
          <w:tcPr>
            <w:tcW w:w="7740" w:type="dxa"/>
            <w:vAlign w:val="bottom"/>
            <w:tcBorders>
              <w:top w:val="single" w:sz="8" w:color="CCEEFF"/>
            </w:tcBorders>
            <w:gridSpan w:val="12"/>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318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4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20" w:type="dxa"/>
            <w:vAlign w:val="bottom"/>
            <w:tcBorders>
              <w:top w:val="single" w:sz="8" w:color="0000EE"/>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7"/>
              </w:rPr>
              <w:t>EXHIBITS</w:t>
            </w:r>
          </w:p>
        </w:tc>
        <w:tc>
          <w:tcPr>
            <w:tcW w:w="1060" w:type="dxa"/>
            <w:vAlign w:val="bottom"/>
            <w:tcBorders>
              <w:top w:val="single" w:sz="8" w:color="0000EE"/>
            </w:tcBorders>
            <w:gridSpan w:val="2"/>
          </w:tcPr>
          <w:p>
            <w:pPr>
              <w:spacing w:after="0"/>
              <w:rPr>
                <w:sz w:val="15"/>
                <w:szCs w:val="15"/>
                <w:color w:val="auto"/>
              </w:rPr>
            </w:pPr>
          </w:p>
        </w:tc>
        <w:tc>
          <w:tcPr>
            <w:tcW w:w="7740" w:type="dxa"/>
            <w:vAlign w:val="bottom"/>
            <w:tcBorders>
              <w:top w:val="single" w:sz="8" w:color="CCEEFF"/>
            </w:tcBorders>
            <w:gridSpan w:val="12"/>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“Cautionary Statement Regarding Forward-Looking Statements.”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As used in this report, unless the context indicates another meaning, the terms “we,” “us,” “our,” “Xtant,” “Xtant Medical,” and the “Company” mean Xtant Medical Holdings, Inc. and its wholly owned subsidiaries, all of which are consolidated on Xtant’s condensed consolidated financial statements. All intercompany balances and transactions have been eliminated in consolidation.</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We own various unregistered trademarks and service marks, including our corporate logo. Solely for convenience, the trademarks and trade names in this report are referred to without the ® and ™ symbols, but such references should not be construed as any indicator that the owner of such trademarks and trade names will not assert, to the fullest extent under applicable law, their rights thereto. We do not intend the use or display of other companies’ trademarks and trade names to imply a relationship with, or endorsement or sponsorship of us by, any other companies.</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We include our website address throughout this report for reference only. The information contained on or connected to our website is not incorporated by reference into this report.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purely historical are forward-looking statements within the meaning of the Private Securities Litigation Reform Act of 1995. Our forward-looking statements include, but are not limited to, statements regarding our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“possible,” “potential,” “predict,” “project,” “should,” and “would,” as well as similar expressions, may identify forward-looking statements, but the absence of these words does not mean that a statement is not forward looking. Forward-looking statements in this Form 10-Q may include, for example, statements about the topics below and are subject to risks and uncertainties including without limitation those described below:</w:t>
      </w:r>
    </w:p>
    <w:p>
      <w:pPr>
        <w:spacing w:after="0" w:line="192" w:lineRule="exact"/>
        <w:rPr>
          <w:sz w:val="20"/>
          <w:szCs w:val="20"/>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revenue and improve our gross margins, our operating expenses as a percentage of revenue, and obtain and sustain profitability;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strategic priorities and become operationally self-sustaining by controlling our supply chain, especially with respect to stem cells, and becoming less reliant on production and manufacturing of our products outside of our control, which we believe will allow us to be a larger and more diverse producer of biologics;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success in implementing key growth and process improvement initiatives designed to increase our production capacity, revenue and scale and risks associated with such growth and process improvement initiatives;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certain assets relating to our Coflex and CoFix products and our international hardware business to Companion Spine, LLC, the effect of this pending transaction on the sale of Coflex and CoFix products and our international business and the possibility that the transaction may not occur on a timely basis or at all;</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 global economic slowdown, the prospects for recession, tariffs, inflation, rising interest rates, and supply chain disruptions on our business, operating results and financial position, which, among other effects, could result in delayed product launches, lost revenue, higher costs, decreased profit margins and other adverse effects on our business and operating results;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and ability to retain and recruit independent sales agents and distributors with appropriate expertise and motivate and incentivize them to engage with customers and sell our products, including in particular our dependence on key independent agents for a significant portion of our revenue;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sales personnel, including our independent sales agents and distributors, to achieve expected results;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sales under our license agreements and meet manufacturing requirements for certain of our products under certain manufacturing and license agreements;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7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develop, introduce, market and license new products and technologies and the success of such new products and technologies, including our recently launched CollagenX™, a bovine collagen particulate product for surgical wound closure; OsteoFactor Pro</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allogenic growth factor solution and Trivium™;</w:t>
      </w:r>
    </w:p>
    <w:p>
      <w:pPr>
        <w:spacing w:after="0" w:line="4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our private label and original equipment manufacturer (“OEM”) business on our business and operating results and risks associated therewith, including fluctuations in our operating results and decreased profit margins, and the possibility that we may become more in the OEM business;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operations, including but not limited to the effect of foreign currency exchange rate fluctuations and compliance with foreign legal and regulatory requirements, current and future wars, related sanctions and geopolitical tensions, political risks associated with the potential instability of governments and legal systems in countries in which we or our customers or suppliers conduct business, and other potential conflicts;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324" w:right="20"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in international markets and effectively manage our international subsidiaries, which require management attention and financial resources;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navigate manufacturing challenges related to the production of biologics products and recover from our prior stem cell shortage and our ability to win back stem cell customers and achieve future stem cell revenue as anticipated;</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expand our agreements with group purchasing organizations (“GPOs”) and integrated delivery networks (“IDNs”) and sell products to members of such GPOs and IDNs;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labor and staffing shortages at hospitals and other medical facilities on the number of elective procedures in which our products are used and as a result our revenues, as well as global and local labor shortages and loss of personnel, which have adversely affected and may continue to adversely affect our ability to produce product to meet demand;</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competitive;</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products with our existing product line and successfully transition our customers from some of our older legacy hardware products to these new products and the anticipated adverse effect of these transitions on our organic revenue growth rate;</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party suppliers and manufacturers;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product liability claims and other litigation to which we may be subjected and product recalls and defects;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infectious diseases on our business, operating results and financial condition;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fluctuations in foreign currency exchange rates on our earnings and our foreign currency translation adjustments;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and the effect of a shift in procedures using our products from hospitals to ambulatory surgical centers, which would put pressure on the price of our products and margins;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approvals in the United States and abroad and the effect of government regulations and our compliance with government regulations;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competent and reliable evidence of the safety and effectiveness of our products;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accredited with the American Association of Tissue Banks and continue to obtain a sufficient number of donor cadavers and placentas for our biologics products;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government and third-party coverage and reimbursement for our products;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engage qualified technical, sales and processing personnel and members of our management team, especially in light of a tight labor market and increasing cost of living in and around the Belgrade, Montana area;</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operating trends, future financial performance and expense management and our estimates of our future revenue, expenses, ongoing losses, gross margins, operating leverage, capital requirements and our need for, or ability to obtain, additional financing and the availability of our credit facilities;</w:t>
      </w: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715" w:right="339" w:bottom="1440" w:gutter="0" w:footer="0" w:header="0"/>
        </w:sectPr>
      </w:pPr>
    </w:p>
    <w:bookmarkStart w:id="4" w:name="page5"/>
    <w:bookmarkEnd w:id="4"/>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our recent license agreements, license certain of our intellectual property on commercially reasonable terms and maintain our intellectual property licenses;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protect our intellectual property and proprietary rights and operate without infringing the intellectual property rights of others;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impacts of the ownership of a significant percentage of our common stock by Nantahala Capital Management, LLC and the potential impact of future sales of our common stock by Nantahala or other investors, or the perception that such sales may occur, on the market price of our common stock;</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sufficient liquidity to continue to meet the financial covenants under our credit agreements and to continue to fund our operations and our ability to obtain financing on reasonable terms when needed and the effect of such additional financing on our business, results of operations, financial condition and stockholders;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and comply with the covenants in our credit agreements and the effect of our significant indebtedness on our business, results of operations, financial condition and prospects;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stock listing on the NYSE American Exchange.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Form 10-Q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or assumptions, many of which are beyond our control, which may cause actual results or performance to be materially different from those expressed or implied by these forward-looking statements. These risks and uncertainties include, but are not limited to, those factors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our Annual Report on Form 10-K for the year ended December 31, 2024 and this Form 10-Q, as well as our subsequent Securities and Exchange Commission (“SEC”) filings.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number of shares and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6,199</w:t>
            </w: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198"/>
        </w:trPr>
        <w:tc>
          <w:tcPr>
            <w:tcW w:w="68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Trade accounts receivable, net of allowance for credit losses and doubtful accounts of</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 and $1,437, respectively</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20,660</w:t>
            </w: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40,714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38,634</w:t>
            </w:r>
          </w:p>
        </w:tc>
      </w:tr>
      <w:tr>
        <w:trPr>
          <w:trHeight w:val="23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1,601</w:t>
            </w:r>
          </w:p>
        </w:tc>
      </w:tr>
      <w:tr>
        <w:trPr>
          <w:trHeight w:val="209"/>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67,116</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10,131</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w:t>
            </w: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7,302</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8,356</w:t>
            </w:r>
          </w:p>
        </w:tc>
      </w:tr>
      <w:tr>
        <w:trPr>
          <w:trHeight w:val="22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r>
      <w:tr>
        <w:trPr>
          <w:trHeight w:val="263"/>
        </w:trPr>
        <w:tc>
          <w:tcPr>
            <w:tcW w:w="68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106,321</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93,837</w:t>
            </w:r>
          </w:p>
        </w:tc>
        <w:tc>
          <w:tcPr>
            <w:tcW w:w="100" w:type="dxa"/>
            <w:vAlign w:val="bottom"/>
            <w:tcBorders>
              <w:bottom w:val="single" w:sz="8" w:color="CCEEFF"/>
            </w:tcBorders>
          </w:tcPr>
          <w:p>
            <w:pPr>
              <w:spacing w:after="0"/>
              <w:rPr>
                <w:sz w:val="22"/>
                <w:szCs w:val="22"/>
                <w:color w:val="auto"/>
              </w:rPr>
            </w:pPr>
          </w:p>
        </w:tc>
      </w:tr>
      <w:tr>
        <w:trPr>
          <w:trHeight w:val="196"/>
        </w:trPr>
        <w:tc>
          <w:tcPr>
            <w:tcW w:w="6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&amp; STOCKHOLDERS’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7,918</w:t>
            </w: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7,771</w:t>
            </w: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Advances from pending sale of Coflex/CoFix assets and international hardware business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Line of credit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12,120</w:t>
            </w:r>
          </w:p>
        </w:tc>
      </w:tr>
      <w:tr>
        <w:trPr>
          <w:trHeight w:val="210"/>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28,581</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obligation, less current portion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 plus premium and less issuance costs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22,038</w:t>
            </w:r>
          </w:p>
        </w:tc>
      </w:tr>
      <w:tr>
        <w:trPr>
          <w:trHeight w:val="23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68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55,938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50,874</w:t>
            </w:r>
          </w:p>
        </w:tc>
        <w:tc>
          <w:tcPr>
            <w:tcW w:w="10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$0.000001 par value; 10,000,000 shares authorized; no shares issued and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$0.000001 par value; 300,000,000 shares authorized; 140,004,240 shares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September 30, 2025 and 139,045,664 shares issued and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304,787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302,738</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(254,543)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(259,459)</w:t>
            </w:r>
          </w:p>
        </w:tc>
      </w:tr>
      <w:tr>
        <w:trPr>
          <w:trHeight w:val="209"/>
        </w:trPr>
        <w:tc>
          <w:tcPr>
            <w:tcW w:w="6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50,383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42,963</w:t>
            </w:r>
          </w:p>
        </w:tc>
        <w:tc>
          <w:tcPr>
            <w:tcW w:w="100" w:type="dxa"/>
            <w:vAlign w:val="bottom"/>
            <w:tcBorders>
              <w:bottom w:val="single" w:sz="8" w:color="CCEEFF"/>
            </w:tcBorders>
          </w:tcPr>
          <w:p>
            <w:pPr>
              <w:spacing w:after="0"/>
              <w:rPr>
                <w:sz w:val="18"/>
                <w:szCs w:val="18"/>
                <w:color w:val="auto"/>
              </w:rPr>
            </w:pPr>
          </w:p>
        </w:tc>
      </w:tr>
      <w:tr>
        <w:trPr>
          <w:trHeight w:val="22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&amp;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106,321</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 except number of shares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5"/>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3000" w:type="dxa"/>
            <w:vAlign w:val="bottom"/>
            <w:gridSpan w:val="6"/>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27,772</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27,937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87,492</w:t>
            </w:r>
          </w:p>
        </w:tc>
        <w:tc>
          <w:tcPr>
            <w:tcW w:w="6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85,754</w:t>
            </w:r>
          </w:p>
        </w:tc>
      </w:tr>
      <w:tr>
        <w:trPr>
          <w:trHeight w:val="229"/>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revenue</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5,483</w:t>
            </w:r>
          </w:p>
        </w:tc>
        <w:tc>
          <w:tcPr>
            <w:tcW w:w="4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14,078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33,255</w:t>
            </w:r>
          </w:p>
        </w:tc>
        <w:tc>
          <w:tcPr>
            <w:tcW w:w="3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27,937</w:t>
            </w: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85,754</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11,263</w:t>
            </w:r>
          </w:p>
        </w:tc>
        <w:tc>
          <w:tcPr>
            <w:tcW w:w="480" w:type="dxa"/>
            <w:vAlign w:val="bottom"/>
          </w:tcPr>
          <w:p>
            <w:pPr>
              <w:spacing w:after="0"/>
              <w:rPr>
                <w:sz w:val="19"/>
                <w:szCs w:val="19"/>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11,630</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35,051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33,562</w:t>
            </w:r>
          </w:p>
        </w:tc>
      </w:tr>
      <w:tr>
        <w:trPr>
          <w:trHeight w:val="210"/>
        </w:trPr>
        <w:tc>
          <w:tcPr>
            <w:tcW w:w="406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21,992</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16,307</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7,071</w:t>
            </w:r>
          </w:p>
        </w:tc>
        <w:tc>
          <w:tcPr>
            <w:tcW w:w="48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7,493</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22,082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22,991</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11,746</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11,890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34,566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37,530</w:t>
            </w:r>
          </w:p>
        </w:tc>
      </w:tr>
      <w:tr>
        <w:trPr>
          <w:trHeight w:val="229"/>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634</w:t>
            </w:r>
          </w:p>
        </w:tc>
        <w:tc>
          <w:tcPr>
            <w:tcW w:w="480" w:type="dxa"/>
            <w:vAlign w:val="bottom"/>
          </w:tcPr>
          <w:p>
            <w:pPr>
              <w:spacing w:after="0"/>
              <w:rPr>
                <w:sz w:val="19"/>
                <w:szCs w:val="19"/>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701</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1,643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1,863</w:t>
            </w:r>
          </w:p>
        </w:tc>
      </w:tr>
      <w:tr>
        <w:trPr>
          <w:trHeight w:val="209"/>
        </w:trPr>
        <w:tc>
          <w:tcPr>
            <w:tcW w:w="4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19,451</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20,084</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2,541</w:t>
            </w:r>
          </w:p>
        </w:tc>
        <w:tc>
          <w:tcPr>
            <w:tcW w:w="4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(3,777)</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8,228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w:t>
            </w:r>
          </w:p>
        </w:tc>
      </w:tr>
      <w:tr>
        <w:trPr>
          <w:trHeight w:val="210"/>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(904)</w:t>
            </w:r>
          </w:p>
        </w:tc>
        <w:tc>
          <w:tcPr>
            <w:tcW w:w="480" w:type="dxa"/>
            <w:vAlign w:val="bottom"/>
          </w:tcPr>
          <w:p>
            <w:pPr>
              <w:spacing w:after="0"/>
              <w:rPr>
                <w:sz w:val="18"/>
                <w:szCs w:val="18"/>
                <w:color w:val="auto"/>
              </w:rPr>
            </w:pP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(1,199)</w:t>
            </w:r>
          </w:p>
        </w:tc>
        <w:tc>
          <w:tcPr>
            <w:tcW w:w="32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(2,953)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(3,026)</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currency translation (loss) gain</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(56)</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tcPr>
          <w:p>
            <w:pPr>
              <w:spacing w:after="0"/>
              <w:rPr>
                <w:sz w:val="19"/>
                <w:szCs w:val="19"/>
                <w:color w:val="auto"/>
              </w:rPr>
            </w:pP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9"/>
                <w:szCs w:val="19"/>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4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0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Income (Loss) from Operations Before</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1,565</w:t>
            </w:r>
          </w:p>
        </w:tc>
        <w:tc>
          <w:tcPr>
            <w:tcW w:w="4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(4,962)</w:t>
            </w: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5,403</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w:t>
            </w:r>
          </w:p>
        </w:tc>
      </w:tr>
      <w:tr>
        <w:trPr>
          <w:trHeight w:val="209"/>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 Current and Deferred</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(257)</w:t>
            </w:r>
          </w:p>
        </w:tc>
        <w:tc>
          <w:tcPr>
            <w:tcW w:w="4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63"/>
        </w:trPr>
        <w:tc>
          <w:tcPr>
            <w:tcW w:w="4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34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4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0.01</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(0.04)</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0.04</w:t>
            </w:r>
          </w:p>
        </w:tc>
        <w:tc>
          <w:tcPr>
            <w:tcW w:w="6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0.01</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(0.04)</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0.03</w:t>
            </w:r>
          </w:p>
        </w:tc>
        <w:tc>
          <w:tcPr>
            <w:tcW w:w="6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the computation:</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139,712,969</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135,100,233</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139,366,489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131,881,302</w:t>
            </w:r>
          </w:p>
        </w:tc>
      </w:tr>
      <w:tr>
        <w:trPr>
          <w:trHeight w:val="234"/>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150,377,234</w:t>
            </w:r>
          </w:p>
        </w:tc>
        <w:tc>
          <w:tcPr>
            <w:tcW w:w="480" w:type="dxa"/>
            <w:vAlign w:val="bottom"/>
          </w:tcPr>
          <w:p>
            <w:pPr>
              <w:spacing w:after="0"/>
              <w:rPr>
                <w:sz w:val="20"/>
                <w:szCs w:val="20"/>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135,100,233</w:t>
            </w:r>
          </w:p>
        </w:tc>
        <w:tc>
          <w:tcPr>
            <w:tcW w:w="320" w:type="dxa"/>
            <w:vAlign w:val="bottom"/>
          </w:tcPr>
          <w:p>
            <w:pPr>
              <w:spacing w:after="0"/>
              <w:rPr>
                <w:sz w:val="20"/>
                <w:szCs w:val="20"/>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149,912,292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131,881,302</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7"/>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7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(5,024)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w:t>
            </w:r>
          </w:p>
        </w:tc>
        <w:tc>
          <w:tcPr>
            <w:tcW w:w="100" w:type="dxa"/>
            <w:vAlign w:val="bottom"/>
            <w:gridSpan w:val="2"/>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r>
      <w:tr>
        <w:trPr>
          <w:trHeight w:val="22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580" w:type="dxa"/>
            <w:vAlign w:val="bottom"/>
          </w:tcPr>
          <w:p>
            <w:pPr>
              <w:spacing w:after="0"/>
              <w:rPr>
                <w:sz w:val="19"/>
                <w:szCs w:val="19"/>
                <w:color w:val="auto"/>
              </w:rPr>
            </w:pPr>
          </w:p>
        </w:tc>
        <w:tc>
          <w:tcPr>
            <w:tcW w:w="100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340" w:type="dxa"/>
            <w:vAlign w:val="bottom"/>
          </w:tcPr>
          <w:p>
            <w:pPr>
              <w:spacing w:after="0"/>
              <w:rPr>
                <w:sz w:val="19"/>
                <w:szCs w:val="19"/>
                <w:color w:val="auto"/>
              </w:rPr>
            </w:pPr>
          </w:p>
        </w:tc>
        <w:tc>
          <w:tcPr>
            <w:tcW w:w="98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(13,259</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 except number of shares)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2"/>
        </w:trPr>
        <w:tc>
          <w:tcPr>
            <w:tcW w:w="3820" w:type="dxa"/>
            <w:vAlign w:val="bottom"/>
          </w:tcPr>
          <w:p>
            <w:pPr>
              <w:spacing w:after="0"/>
              <w:rPr>
                <w:sz w:val="21"/>
                <w:szCs w:val="2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50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3820" w:type="dxa"/>
            <w:vAlign w:val="bottom"/>
          </w:tcPr>
          <w:p>
            <w:pPr>
              <w:spacing w:after="0"/>
              <w:rPr>
                <w:sz w:val="19"/>
                <w:szCs w:val="19"/>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19"/>
                <w:szCs w:val="19"/>
                <w:color w:val="auto"/>
              </w:rPr>
            </w:pPr>
          </w:p>
        </w:tc>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9"/>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130,180,031</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(243,010)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51,349</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upon settlement of</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44,496</w:t>
            </w:r>
          </w:p>
        </w:tc>
        <w:tc>
          <w:tcPr>
            <w:tcW w:w="380" w:type="dxa"/>
            <w:vAlign w:val="bottom"/>
          </w:tcPr>
          <w:p>
            <w:pPr>
              <w:spacing w:after="0"/>
              <w:rPr>
                <w:sz w:val="20"/>
                <w:szCs w:val="20"/>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Withholding of common stock upon settlement of</w:t>
            </w: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(7,986)</w:t>
            </w:r>
          </w:p>
        </w:tc>
        <w:tc>
          <w:tcPr>
            <w:tcW w:w="3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(4,400)</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(4,400)</w:t>
            </w:r>
          </w:p>
        </w:tc>
      </w:tr>
      <w:tr>
        <w:trPr>
          <w:trHeight w:val="209"/>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130,216,541</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295,223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(247,410)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upon settlement of</w:t>
            </w: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97,831</w:t>
            </w:r>
          </w:p>
        </w:tc>
        <w:tc>
          <w:tcPr>
            <w:tcW w:w="3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1,228</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(3,861)</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(3,861)</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130,314,372</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296,451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(251,271)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Private placement of common stock, net of</w:t>
            </w: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of $191</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7,812,500</w:t>
            </w:r>
          </w:p>
        </w:tc>
        <w:tc>
          <w:tcPr>
            <w:tcW w:w="3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4,456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4,456</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19,858</w:t>
            </w:r>
          </w:p>
        </w:tc>
        <w:tc>
          <w:tcPr>
            <w:tcW w:w="38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upon settlement of</w:t>
            </w: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689,977</w:t>
            </w:r>
          </w:p>
        </w:tc>
        <w:tc>
          <w:tcPr>
            <w:tcW w:w="3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Withholding of common stock upon settlement of</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(155,833)</w:t>
            </w:r>
          </w:p>
        </w:tc>
        <w:tc>
          <w:tcPr>
            <w:tcW w:w="380" w:type="dxa"/>
            <w:vAlign w:val="bottom"/>
          </w:tcPr>
          <w:p>
            <w:pPr>
              <w:spacing w:after="0"/>
              <w:rPr>
                <w:sz w:val="20"/>
                <w:szCs w:val="20"/>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1,139</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(5,024)</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(5,024)</w:t>
            </w: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138,680,874</w:t>
            </w:r>
          </w:p>
        </w:tc>
        <w:tc>
          <w:tcPr>
            <w:tcW w:w="3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(256,295</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45,725</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8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2"/>
        </w:trPr>
        <w:tc>
          <w:tcPr>
            <w:tcW w:w="3820" w:type="dxa"/>
            <w:vAlign w:val="bottom"/>
          </w:tcPr>
          <w:p>
            <w:pPr>
              <w:spacing w:after="0"/>
              <w:rPr>
                <w:sz w:val="21"/>
                <w:szCs w:val="21"/>
                <w:color w:val="auto"/>
              </w:rPr>
            </w:pPr>
          </w:p>
        </w:tc>
        <w:tc>
          <w:tcPr>
            <w:tcW w:w="176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50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23"/>
        </w:trPr>
        <w:tc>
          <w:tcPr>
            <w:tcW w:w="3820" w:type="dxa"/>
            <w:vAlign w:val="bottom"/>
          </w:tcPr>
          <w:p>
            <w:pPr>
              <w:spacing w:after="0"/>
              <w:rPr>
                <w:sz w:val="19"/>
                <w:szCs w:val="19"/>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19"/>
                <w:szCs w:val="19"/>
                <w:color w:val="auto"/>
              </w:rPr>
            </w:pPr>
          </w:p>
        </w:tc>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00" w:type="dxa"/>
            <w:vAlign w:val="bottom"/>
          </w:tcPr>
          <w:p>
            <w:pPr>
              <w:spacing w:after="0"/>
              <w:rPr>
                <w:sz w:val="19"/>
                <w:szCs w:val="19"/>
                <w:color w:val="auto"/>
              </w:rPr>
            </w:pPr>
          </w:p>
        </w:tc>
        <w:tc>
          <w:tcPr>
            <w:tcW w:w="132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139,045,664</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302,738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(259,459)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42,963</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upon settlement of</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44,496</w:t>
            </w:r>
          </w:p>
        </w:tc>
        <w:tc>
          <w:tcPr>
            <w:tcW w:w="440" w:type="dxa"/>
            <w:vAlign w:val="bottom"/>
          </w:tcPr>
          <w:p>
            <w:pPr>
              <w:spacing w:after="0"/>
              <w:rPr>
                <w:sz w:val="20"/>
                <w:szCs w:val="20"/>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Withholding of common stock upon settlement of</w:t>
            </w: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(7,986)</w:t>
            </w:r>
          </w:p>
        </w:tc>
        <w:tc>
          <w:tcPr>
            <w:tcW w:w="4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09"/>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139,082,174</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(259,401)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upon settlement of</w:t>
            </w: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342,128</w:t>
            </w:r>
          </w:p>
        </w:tc>
        <w:tc>
          <w:tcPr>
            <w:tcW w:w="4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Withholding of common stock upon settlement of</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(108,580)</w:t>
            </w:r>
          </w:p>
        </w:tc>
        <w:tc>
          <w:tcPr>
            <w:tcW w:w="440" w:type="dxa"/>
            <w:vAlign w:val="bottom"/>
          </w:tcPr>
          <w:p>
            <w:pPr>
              <w:spacing w:after="0"/>
              <w:rPr>
                <w:sz w:val="20"/>
                <w:szCs w:val="20"/>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8"/>
                <w:szCs w:val="18"/>
                <w:color w:val="auto"/>
              </w:rPr>
            </w:pP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w:t>
            </w:r>
          </w:p>
        </w:tc>
      </w:tr>
      <w:tr>
        <w:trPr>
          <w:trHeight w:val="22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3,550</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3,550</w:t>
            </w:r>
          </w:p>
        </w:tc>
      </w:tr>
      <w:tr>
        <w:trPr>
          <w:trHeight w:val="209"/>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139,315,722</w:t>
            </w:r>
          </w:p>
        </w:tc>
        <w:tc>
          <w:tcPr>
            <w:tcW w:w="3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304,201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(255,851</w:t>
            </w:r>
          </w:p>
        </w:tc>
        <w:tc>
          <w:tcPr>
            <w:tcW w:w="3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48,502</w:t>
            </w:r>
          </w:p>
        </w:tc>
        <w:tc>
          <w:tcPr>
            <w:tcW w:w="100" w:type="dxa"/>
            <w:vAlign w:val="bottom"/>
            <w:tcBorders>
              <w:bottom w:val="single" w:sz="8" w:color="CCEEFF"/>
            </w:tcBorders>
          </w:tcPr>
          <w:p>
            <w:pPr>
              <w:spacing w:after="0"/>
              <w:rPr>
                <w:sz w:val="18"/>
                <w:szCs w:val="18"/>
                <w:color w:val="auto"/>
              </w:rPr>
            </w:pPr>
          </w:p>
        </w:tc>
      </w:tr>
      <w:tr>
        <w:trPr>
          <w:trHeight w:val="210"/>
        </w:trPr>
        <w:tc>
          <w:tcPr>
            <w:tcW w:w="3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upon settlement of</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768,196</w:t>
            </w:r>
          </w:p>
        </w:tc>
        <w:tc>
          <w:tcPr>
            <w:tcW w:w="440" w:type="dxa"/>
            <w:vAlign w:val="bottom"/>
          </w:tcPr>
          <w:p>
            <w:pPr>
              <w:spacing w:after="0"/>
              <w:rPr>
                <w:sz w:val="21"/>
                <w:szCs w:val="21"/>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Withholding of common stock upon settlement of</w:t>
            </w: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(79,678)</w:t>
            </w:r>
          </w:p>
        </w:tc>
        <w:tc>
          <w:tcPr>
            <w:tcW w:w="4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w:t>
            </w:r>
          </w:p>
        </w:tc>
      </w:tr>
      <w:tr>
        <w:trPr>
          <w:trHeight w:val="22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1,308</w:t>
            </w: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1,308</w:t>
            </w:r>
          </w:p>
        </w:tc>
      </w:tr>
      <w:tr>
        <w:trPr>
          <w:trHeight w:val="223"/>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140,004,240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304,787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(254,543</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4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4,916</w:t>
            </w:r>
          </w:p>
        </w:tc>
        <w:tc>
          <w:tcPr>
            <w:tcW w:w="13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(13,284)</w:t>
            </w:r>
          </w:p>
        </w:tc>
      </w:tr>
      <w:tr>
        <w:trPr>
          <w:trHeight w:val="198"/>
        </w:trPr>
        <w:tc>
          <w:tcPr>
            <w:tcW w:w="6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3,404</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3,076</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2,165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3,277</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695</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(5,639)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(2,789)</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(5,657)</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(1,279)</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1,290</w:t>
            </w: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3,721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09"/>
        </w:trPr>
        <w:tc>
          <w:tcPr>
            <w:tcW w:w="67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fixed assets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278</w:t>
            </w:r>
          </w:p>
        </w:tc>
      </w:tr>
      <w:tr>
        <w:trPr>
          <w:trHeight w:val="229"/>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from pending sale of Coflex/CoFix assets and international hardware business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7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financing leases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77,573</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86,315</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on line of credit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(78,385)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(78,050)</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private placement, net of cash issuance costs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4,456</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stock-based compensation</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r>
      <w:tr>
        <w:trPr>
          <w:trHeight w:val="198"/>
        </w:trPr>
        <w:tc>
          <w:tcPr>
            <w:tcW w:w="6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Payments of taxes from withholding of common stock on settlement of restricted stock</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0"/>
        </w:trPr>
        <w:tc>
          <w:tcPr>
            <w:tcW w:w="6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16,927</w:t>
            </w:r>
          </w:p>
        </w:tc>
        <w:tc>
          <w:tcPr>
            <w:tcW w:w="100" w:type="dxa"/>
            <w:vAlign w:val="bottom"/>
            <w:tcBorders>
              <w:bottom w:val="single" w:sz="8" w:color="CCEEFF"/>
            </w:tcBorders>
          </w:tcPr>
          <w:p>
            <w:pPr>
              <w:spacing w:after="0"/>
              <w:rPr>
                <w:sz w:val="18"/>
                <w:szCs w:val="18"/>
                <w:color w:val="auto"/>
              </w:rPr>
            </w:pPr>
          </w:p>
        </w:tc>
      </w:tr>
      <w:tr>
        <w:trPr>
          <w:trHeight w:val="210"/>
        </w:trPr>
        <w:tc>
          <w:tcPr>
            <w:tcW w:w="6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4,420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1,163</w:t>
            </w:r>
          </w:p>
        </w:tc>
      </w:tr>
      <w:tr>
        <w:trPr>
          <w:trHeight w:val="23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6,221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5,923</w:t>
            </w:r>
          </w:p>
        </w:tc>
      </w:tr>
      <w:tr>
        <w:trPr>
          <w:trHeight w:val="263"/>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20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10,641</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100" w:type="dxa"/>
            <w:vAlign w:val="bottom"/>
            <w:tcBorders>
              <w:bottom w:val="single" w:sz="8" w:color="CCEEFF"/>
            </w:tcBorders>
          </w:tcPr>
          <w:p>
            <w:pPr>
              <w:spacing w:after="0"/>
              <w:rPr>
                <w:sz w:val="22"/>
                <w:szCs w:val="22"/>
                <w:color w:val="auto"/>
              </w:rPr>
            </w:pPr>
          </w:p>
        </w:tc>
      </w:tr>
      <w:tr>
        <w:trPr>
          <w:trHeight w:val="196"/>
        </w:trPr>
        <w:tc>
          <w:tcPr>
            <w:tcW w:w="6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6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Reconciliation of cash and cash equivalents and restricted cash reported in the condensed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10,400</w:t>
            </w:r>
          </w:p>
        </w:tc>
        <w:tc>
          <w:tcPr>
            <w:tcW w:w="138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6,596</w:t>
            </w:r>
          </w:p>
        </w:tc>
      </w:tr>
      <w:tr>
        <w:trPr>
          <w:trHeight w:val="229"/>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490</w:t>
            </w:r>
          </w:p>
        </w:tc>
      </w:tr>
      <w:tr>
        <w:trPr>
          <w:trHeight w:val="223"/>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restricted cash reported in condensed consolidated balance sheets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right="3920" w:firstLine="8"/>
        <w:spacing w:after="0" w:line="503" w:lineRule="auto"/>
        <w:tabs>
          <w:tab w:leader="none" w:pos="25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Description, Basis of Presentation and Summary of Significant Accounting Policies Business Description and Basis of Presentation</w:t>
      </w: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Xtant Medical Holdings, Inc. (“Xtant”), a Delaware corporation, and its wholly owned subsidiaries, which are jointly referred to herein as “Xtant” or the “Company”. The terms “we,” “us” and “our” also refer to Xtant. All intercompany balances and transactions have been eliminated in consolidation.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Xtant is a global medical technology company focused on the design, development, and commercialization of a comprehensive portfolio of orthobiologics and spinal implant fixation systems to facilitate spinal fusion in complex spine, deformity, and degenerative procedures.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December 31, 2024, which has been derived from audited financial statements, and the unaudited interim condensed consolidated financial statements have been prepared in accordance with accounting principles generally accepted in the United States of America (“GAAP”). They do not include all disclosures required by generally accepted accounting principles for annual consolidated financial statements, but in the opinion of management include all adjustments, consisting only of normal recurring items, necessary for a fair presentation.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Interim results are not necessarily indicative of results that may be achieved in the future for the full year ending December 31, 2025.</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consolidated financial statements and notes thereto, which are included in Xtant’s Annual Report on Form 10-K for the year ended December 31, 2024. The accounting policies set forth in those annual consolidated financial statements are the same as the accounting policies utilized in the preparation of these condensed consolidated financial statements, except as modified for appropriate interim consolidated financial statement presentation.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requires management of the Company to make a number of estimates and assumptions relating to the reported amount of assets and liabilities and the disclosure of contingent assets and liabilities at the date of the condensed consolidated financial statements and the reported amounts of revenue and expenses during the period. Significant estimates include the carrying amount of property and equipment; goodwill, intangible assets and liabilities; valuation allowances for trade receivables, inventory, deferred income tax assets and liabilities; current and long-term lease obligations and corresponding right-of-use asset; and estimates for the fair value of long-term debt, stock options and other equity awards upon which the Company determines stock-based compensation expense.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date of three months or less to be cash equivalents. Cash equivalents are recorded at cost, which approximates market value. The Company maintains its cash balances primarily with two financial institutions. These balances generally exceed federally insured limits. The Company has not experienced any losses in such accounts and believes it is not exposed to any significant credit risk in cash and cash equivalents.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classified as restricted cash on the Company’s condensed consolidated balance sheets are restricted as to withdrawal or use under the terms of certain contractual agreements. The September 30, 2025 and December 31, 2024 balances included lockbox deposits that are temporarily restricted due to timing at the period end. The lockbox deposits are applied against the Company’s line of credit the next business day.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the asset may not be recovered. No impairments of long-lived assets were recorded for the three and nine months ended September 30,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costs over fair value of assets of businesses acquired. Goodwill and intangible assets acquired in a purchase business combination and determined to have indefinite useful lives are not amortized. Instead, they are tested for impairment at least annually, and whenever events or circumstances indicate, the carrying amount of the asset may not be recoverable. No impairments of goodwill were recorded for the three and nine months ended September 30, 2025 and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Financial Accounting Standards Board, or FASB, Accounting Standards Codification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ASC 718 requires the recognition of compensation expense, using a fair-value based method, for costs related to all stock-based payments including stock options, restricted stock units, performance stock units, and shares issued under its employee stock purchase plan. ASC 718 requires companies to estimate the fair value of all share-based payment option awards on the date of grant using an option pricing model. The fair value of stock options is recognized over the period during which an optionee is required to provide services in exchange for the option award, known as the requisite service period (usually the vesting period), on a straight-line basis. The Company accounts for option forfeitures as they occur.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for restricted stock units and deferred stock units at their fair value, based on the closing market price of the Company’s common stock on the date of grant. These costs are recognized on a straight-line basis over the requisite service period, which is usually the vesting period.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for performance stock units with market-based conditions at their fair value on the date of the award using the Monte Carlo simulation model. These costs are recognized over the requisite service period, which is usually the vesting period, regardless of the likelihood of achievement of the market-based performance criteria.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Accounting Standards Update (“ASU”) No. 2023-09, Income Taxes (Topic 740): </w:t>
      </w:r>
      <w:r>
        <w:rPr>
          <w:rFonts w:ascii="Times New Roman" w:cs="Times New Roman" w:eastAsia="Times New Roman" w:hAnsi="Times New Roman"/>
          <w:sz w:val="18"/>
          <w:szCs w:val="18"/>
          <w:i w:val="1"/>
          <w:iCs w:val="1"/>
          <w:color w:val="auto"/>
        </w:rPr>
        <w:t>Improvement to Income Tax Disclosures</w:t>
      </w:r>
      <w:r>
        <w:rPr>
          <w:rFonts w:ascii="Times New Roman" w:cs="Times New Roman" w:eastAsia="Times New Roman" w:hAnsi="Times New Roman"/>
          <w:sz w:val="18"/>
          <w:szCs w:val="18"/>
          <w:color w:val="auto"/>
        </w:rPr>
        <w:t xml:space="preserve"> to enhance the transparency of income tax disclosures. The guidance in ASU No. 2023-09 allows for a prospective method of transition, with the option to apply the standard retrospectively. The standard is effective for fiscal years beginning after December 15, 2024, with early adoption permitted. The Company is currently evaluating the effect of this new guidance on its consolidated financial statements.</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issued ASU 2024-03, </w:t>
      </w:r>
      <w:r>
        <w:rPr>
          <w:rFonts w:ascii="Times New Roman" w:cs="Times New Roman" w:eastAsia="Times New Roman" w:hAnsi="Times New Roman"/>
          <w:sz w:val="18"/>
          <w:szCs w:val="18"/>
          <w:i w:val="1"/>
          <w:iCs w:val="1"/>
          <w:color w:val="auto"/>
        </w:rPr>
        <w:t>Income Statement - Reporting Comprehensive Income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 Disaggregation Disclosures (Subtopic 220-40)</w:t>
      </w:r>
      <w:r>
        <w:rPr>
          <w:rFonts w:ascii="Times New Roman" w:cs="Times New Roman" w:eastAsia="Times New Roman" w:hAnsi="Times New Roman"/>
          <w:sz w:val="18"/>
          <w:szCs w:val="18"/>
          <w:color w:val="auto"/>
        </w:rPr>
        <w:t>. This ASU requires that public business entities disclose additional information about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categories in the notes to 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generates revenues outside the United States in multiple foreign currencies including euros, Swiss francs, British pounds and in U.S. dollar-denominated transactions conducted with customers who generate revenue in currencies other than the U.S. dollar. The Company also incurs operating expenses in euros, Swiss francs and British pounds. All assets and liabilities of foreign subsidiaries which have a functional currency other than the U.S. dollar are translated at the rate of exchange at period-end, while elements of the income statement are translated at the average exchange rates in effect during the period. The net effect of these translation adjustments is shown as a component of accumulated other comprehensive income. Foreign currency transaction gains and losses are reported in other income, net.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carrying values of financial instruments, including trade accounts receivable, accounts payable, accrued liabilities, and long-term debt, approximate their fair values based on terms and related interest rates as of September 30, 2025 and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Pending Sale of Coflex/CoFix Assets and International Hardware Business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7, 2025, the Company, and Surgalign SPV, Inc., a wholly owned subsidiary of the Company (together with the Company, the “Seller”), entered into an Asset Purchase Agreement (the “Coflex/CoFix Agreement”) with Companion Spine, LLC, a company to whom the Company has sold certain of its Coflex and CoFix products from time to time in the ordinary course of business (“Companion”), or its affiliate designee (together with Companion, the “Buyer”). Pursuant to and subject to the terms and conditions of the Coflex/CoFix Agreement, the Seller agreed to sell and assign to the Buyer certain assets relating to the Seller’s Coflex and CoFix products in the United States (the “Coflex/CoFix Business” and such assets, the “Coflex/CoFix Assets” ) and the Buyer agreed to assume certain liabilities in connection therewith (such transaction, the “Coflex/CoFix Transaction”) for a total purchase price of $17.5 million, subject to a closing inventory valuation adjustment set forth in the Coflex/CoFix Agreement (the “Coflex/CoFix Purchase Price”). Concurrently with the execution and delivery of the Coflex/CoFix Agreement, $2.5 million of the Coflex/CoFix Purchase Price was paid to the Seller as a cash deposit that is non-refundable, except in the event the Coflex/CoFix Agreement is terminated by the Buyer due to certain breaches by Seller under the Coflex/CoFix Agreement. Completion of the Coflex/CoFix Transaction is subject to the Buyer obtaining financing. Under the Coflex/CoFix Agreement, the Buyer had the ability to pay the Seller up to two additional $2.5 million cash deposits in the event the Buyer required additional time to obtain financing. On each of September 4, 2025 and November 3, 2025, pursuant to the terms of the Coflex/CoFix Agreement, the Buyer paid the Seller an additional $2.5 million cash deposit to provide additional time for the Buyer to obtain financing. If the Buyer obtains financing and the closing of the Coflex/CoFix Transaction occurs, the remaining balance of the Coflex/CoFix Purchase Price will be required to be paid by the Seller to the Company at the closing and will consist of a cash payment of $1.8 million and a $8.2 million unsecured promissory note to be issued by the Buyer to the Seller. The promissory note will mature on December 31, 2025.</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Also, on July 7, 2025, the Company, Paradigm Spine GmbH, a wholly owned subsidiary of the Company engaged in the operation of the Company’s hardware business outside of the United States (“Paradigm”), simultaneously entered into an Equity Purchase Agreement (the “Paradigm Agreement” and together with the Coflex/CoFix Agreement, the “Agreements”), with Companion, pursuant to which and subject to the terms and conditions thereof, the Company agreed to sell to Companion all of its shares of equity securities of Paradigm, which constitute 100% of the issued and outstanding shares of equity securities of Paradigm (the “Paradigm Shares” and such transaction the “Paradigm Transaction” and together with the Coflex/CoFix Transaction, the “Transactions”) for a total purchase price of $1.7 million, subject to certain cash, indebtedness and net working capital adjustments set forth in the Paradigm Agreement (the “Paradigm Purchase Price”). As with the Coflex/CoFix Transaction, completion of the Paradigm Transaction is subject to Companion obtaining financing.</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completion of the Transactions is expected to occur in the fourth quarter of 2025, although no assurance can be provided that the Seller will obtain financing to fund the Transactions, that the closings will not be delayed or that the closings will occur. The closing of each of the Transactions is contingent on the other closing at the same time. The Agreements contain certain termination rights for the respective parties, including the right to terminate the Coflex/CoFix Agreement and Paradigm Agreement if the Coflex/CoFix Transaction or Paradigm Transaction, respectively, is not consummated by December 31,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Coflex/CoFix Agreement and the Paradigm Agreement contain customary representations, warranties and covenants of the parties, and the completion of each of the Transactions is subject to a number of customary conditions set forth in the Agreements, which, among others, include the performance by each party of its obligations under the respective Agreement and the accuracy of the representations in each respective Agreement. Subject to certain limitations, the respective parties to the Agreements have agreed to indemnify the other party for certain matters, including breaches of representations, warranties and covenants, subject in certain cases to a $250,000 deductible and $2.0 million cap.</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on July 7, 2025, the Company and certain of its subsidiaries entered into a Limited Consent and Amendment No. 3 to Amended and Restated Credit, Security and Guaranty Agreement (Term Loan) (the “Term Loan Limited Consent”) with MidCap Financial Trust and a Limited Consent and Amendment No. 3 to Amended and Restated Credit, Security and Guaranty Agreement (Revolving Loan) (the “Revolving Loan Limited Consent” and together with the Term Loan Limited Consent, the “Limited Consent Agreements”) with MidCap Funding IV Trust (collectively, with MidCap Financial Trust, “MidCap”). Under the Limited Consent Agreements, MidCap agreed, subject to the terms and conditions set forth in the Limited Consent Agreements, to, among other things, consent to the Company entering into the Coflex/CoFix Agreement and Paradigm Agreement and the consummation of the Transactions in accordance with the terms and subject to the conditions set forth therein, including the prepayment in accordance with the Term Loan Credit Agreement of $9.6 million to MidCap from the proceeds of the transactions contemplated by the Coflex/CoFix Agreement and Paradigm Agreement, $7.5 million of which has been already prepaid from the $7.5 million in non-refundable deposits previously paid to the Company.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determined that the pending Transactions do not meet the criteria for classification as held for sale or discontinued operations for accounting purposes. As a result, all historical operating results for the Coflex/CoFix assets and international hardware business are reflected within the consolidated statements of operations in the condensed consolidated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the cash deposits received by the Company in connection with the pending Coflex/CoFix Transaction which are non-refundable, except in the event the Coflex/CoFix Agreement is terminated by the Buyer due to certain breaches by Seller under the Coflex/CoFix Agreement, they are reflected in the “Advances from pending sale of Coflex/CoFix assets and international hardware business” line item on the condensed consolidated balance sheet as of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United States, the Company generates a substantial portion of its revenue from independent commissioned sales agents. The Company consigns its orthobiologics products to hospitals and consigns or loans its spinal implant sets to independent sales agents. The spinal implant sets typically contain the instruments, disposables, and spinal implants required to complete a surgery. Consigned sets are managed by the sales agent to service hospitals that are high volume users for multiple procedures.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ships replacement inventory to independent sales agents to replace the consigned inventory used in surgeries. Loaned sets are returned to the Company’s distribution center, replenished, and made available to sales agents for the next surgical procedure.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each surgical procedure, the sales agent reports use of the product by the hospital and, as soon as practicable thereafter, ensures that the hospital provides a purchase order to the Company. Revenue is recognized upon utilization of product.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the Company sells product directly to domestic and international stocking resellers, original equipment manufacturer resellers and private label resellers. Upon receipt and acceptance of a purchase order from a stocking reseller, the Company ships product and invoices the reseller. The Company recognizes revenue when the control is transferred upon shipment or upon delivery, based on the contract terms and legal requirements, and the transfer of title and risk of loss occurs. There is generally no customer acceptance or other condition that prevents the Company from recognizing revenue in accordance with the delivery terms for these sales transactions. In the normal course of business, the Company accepts returns of product that have not been implanted. Product returns are not material to the Company’s consolidated statements of operations. The Company accounts for shipping and handling activities as a fulfillment cost rather than a separate performance obligation. The Company’s policy is to record revenue net of any applicable sales, use, or excise taxes. Payment terms are generally net 30 days from invoice date and some customers are offered discounts for early payment. The consideration for goods or services reflects any fixed amount stated per the contract and estimates for any variable consideration, such as returns, discounts or rebates, to the extent that it is probable that a significant reversal of cumulative revenue recognized will not occur when the uncertainty associated with the variable consideration is resolved. For certain sales transactions, we incur group purchasing organization fees that are based on a contractual percentage of applicable sales and are treated as consideration payable to a customer and recorded as a reduction of revenue.</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recognizes revenue in certain circumstances before product delivery occurs (commonly referred to as bill-and-hold transactions). When the Company enters into bill-and-hold arrangements, the Company determines if the customer obtains control of the product by determining (a) the reason for the bill-and-hold arrangement; (b) whether the product was identified separately as belonging to the customer; (c) whether the product was ready for physical transfer to the customer; and (d) whether the Company was unable to utilize the product or direct it to another customer. For bill-and-hold arrangements, the associated product inventory is identified separately by the Company as belonging to the customer and is ready for physical transfer. At September 30, 2025, $0.6 million was included in revenue for products that had not shipped. Occasionally the Company will receive consideration in advance of transferring products to its customers and records a contract liability. Contract liabilities are recognized as revenue in proportion to when control of the goods is transferred to the customer.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Licensing revenue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Licensing revenue is recognized when control of the intellectual property (“IP”) rights is transferred to a customer in an amount that reflects the consideration the Company expects to be entitled to in exchange for the licensing of the Company’s IP. Revenue for IP rights is accounted for based on the nature of the promise to grant the license. In determining whether the Company’s promise is to provide a right to access its IP or a right to use its IP, the Company considers the nature of its IP to which the customer will have rights. IP is either functional IP which has significant standalone functionality or symbolic IP which does not have significant standalone functionality. Revenue from functional IP is recognized at the point in time when control of the distinct license is transferred to the customer. Revenue from symbolic IP is recognized over the access period to the Company’s IP.</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Revenues from sales-based royalties promised in exchange for a license of IP are recognized at the later of when the underlying sale occurs or the performance obligation to which some or all of the sales-based royalty has been allocated is satisfied.</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has a license agreement which grants an exclusive, nontransferable, non-sublicensable, royalty-bearing right to manufacture and commercialize one of our products in the United States. The Company concluded this represented one performance obligation of transferring the IP rights to manufacture and commercialize the product. This was determined to be functional IP. The transaction price includes an upfront non-refundable fee of $1.5 million, as well as quarterly royalty payments based on the volume of product sold, subject to guaranteed quarterly minimums, which aggregate to $3.75 million during 2025. Variable consideration is included in the transaction price only to the extent significant reversal of cumulative revenue recognized is not probable of occurring when the uncertainty associated with the variable consideration is subsequently resolved. Significant judgment is required in estimating variable consideration for the performance obligation identified in the contract. This judgment involves assessing factors outside of our influence, including the accessibility of the licensed products to certain reimbursement codes determined by regulatory authorities. Accordingly, the guaranteed quarterly minimums past the third quarter of 2025 were considered constrained and, therefore, not recognized when the performance obligation was satisfied as it was not probable as of September 30, 2025 that there would not be a significant reversal of cumulative revenue due to uncertainty with a Centers for Medicare &amp; Medicaid Services (“CMS”) policy change and language in the license agreement. On April 12, 2025, CMS announced that the effective date of the local coverage determination, which determines the eligibility of the reimbursement code contained in the license agreement, had been deferred until January 2026. However, additional policy changes by CMS, or other government organizations, may further restrict reimbursement such that all quarterly minimums will not be recognized prior to commencement of the local coverage determination.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in one reportable segment with its net revenue derived primarily from the sale of orthobiologics and spinal implant products across North America, Europe, Asia Pacific, and Latin America. Sales are reported net of returns, discounts and rebates. The following table presents revenues from these product lines for the three and nine months ended September 30, 2025 and 2024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4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4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4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Borders>
              <w:bottom w:val="single" w:sz="8" w:color="CCEEFF"/>
            </w:tcBorders>
            <w:gridSpan w:val="2"/>
          </w:tcPr>
          <w:p>
            <w:pPr>
              <w:spacing w:after="0"/>
              <w:rPr>
                <w:sz w:val="20"/>
                <w:szCs w:val="20"/>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Orthobiologics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17,149</w:t>
            </w:r>
          </w:p>
        </w:tc>
        <w:tc>
          <w:tcPr>
            <w:tcW w:w="3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2"/>
              </w:rPr>
              <w:t>16,579</w:t>
            </w:r>
          </w:p>
        </w:tc>
        <w:tc>
          <w:tcPr>
            <w:tcW w:w="3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Spinal implant</w:t>
            </w:r>
          </w:p>
        </w:tc>
        <w:tc>
          <w:tcPr>
            <w:tcW w:w="12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10,623</w:t>
            </w:r>
          </w:p>
        </w:tc>
        <w:tc>
          <w:tcPr>
            <w:tcW w:w="18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16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11,358</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5,483</w:t>
            </w:r>
          </w:p>
        </w:tc>
        <w:tc>
          <w:tcPr>
            <w:tcW w:w="1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33,255</w:t>
            </w:r>
          </w:p>
        </w:tc>
        <w:tc>
          <w:tcPr>
            <w:tcW w:w="3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2"/>
              </w:rPr>
              <w:t>27,937</w:t>
            </w:r>
          </w:p>
        </w:tc>
        <w:tc>
          <w:tcPr>
            <w:tcW w:w="3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0"/>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4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18"/>
                <w:szCs w:val="18"/>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4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4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Borders>
              <w:bottom w:val="single" w:sz="8" w:color="CCEEFF"/>
            </w:tcBorders>
            <w:gridSpan w:val="2"/>
          </w:tcPr>
          <w:p>
            <w:pPr>
              <w:spacing w:after="0"/>
              <w:rPr>
                <w:sz w:val="20"/>
                <w:szCs w:val="20"/>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Orthobiologics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54,593</w:t>
            </w:r>
          </w:p>
        </w:tc>
        <w:tc>
          <w:tcPr>
            <w:tcW w:w="3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2"/>
              </w:rPr>
              <w:t>48,123</w:t>
            </w:r>
          </w:p>
        </w:tc>
        <w:tc>
          <w:tcPr>
            <w:tcW w:w="3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Spinal implant</w:t>
            </w:r>
          </w:p>
        </w:tc>
        <w:tc>
          <w:tcPr>
            <w:tcW w:w="12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32,899</w:t>
            </w:r>
          </w:p>
        </w:tc>
        <w:tc>
          <w:tcPr>
            <w:tcW w:w="18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16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37,631</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14,078</w:t>
            </w:r>
          </w:p>
        </w:tc>
        <w:tc>
          <w:tcPr>
            <w:tcW w:w="1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101,570</w:t>
            </w:r>
          </w:p>
        </w:tc>
        <w:tc>
          <w:tcPr>
            <w:tcW w:w="3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2"/>
              </w:rPr>
              <w:t>85,754</w:t>
            </w:r>
          </w:p>
        </w:tc>
        <w:tc>
          <w:tcPr>
            <w:tcW w:w="34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Receivables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provision for current expected credit loss is determined based on historical collection experience adjusted for current economic conditions affecting collectability. Actual customer collections could differ from estimates. Account balances are charged to the allowance after all means of collection have been exhausted and the potential for recovery is considered remote. Provisions to the allowance for credit losses are charged to expense.</w:t>
      </w:r>
    </w:p>
    <w:p>
      <w:pPr>
        <w:sectPr>
          <w:pgSz w:w="11900" w:h="16838" w:orient="portrait"/>
          <w:cols w:equalWidth="0" w:num="1">
            <w:col w:w="11240"/>
          </w:cols>
          <w:pgMar w:left="320" w:top="686"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229"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 in process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Finished goods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14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1"/>
        </w:trPr>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5,601</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6,622</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4,535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2,812</w:t>
            </w: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30,578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29,200</w:t>
            </w: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38,634</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-608330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-325120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820" w:space="720"/>
            <w:col w:w="5700"/>
          </w:cols>
          <w:pgMar w:left="320" w:top="686"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and equipment, net are as follows (in thousands):</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1,254</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4,356</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Surgical instruments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15,798</w:t>
            </w: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Assets not yet in service</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w:t>
            </w:r>
          </w:p>
        </w:tc>
      </w:tr>
      <w:tr>
        <w:trPr>
          <w:trHeight w:val="209"/>
        </w:trPr>
        <w:tc>
          <w:tcPr>
            <w:tcW w:w="59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w:t>
            </w:r>
          </w:p>
        </w:tc>
        <w:tc>
          <w:tcPr>
            <w:tcW w:w="1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(19,837)</w:t>
            </w:r>
          </w:p>
        </w:tc>
      </w:tr>
      <w:tr>
        <w:trPr>
          <w:trHeight w:val="223"/>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including property under finance leases, was $0.7 million for both the three months ended September 30, 2025 and 2024, and $2.1 million and $1.8 million for the nine months ended September 30,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intangible assets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Life</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 years</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2,777</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w:t>
            </w:r>
          </w:p>
        </w:tc>
        <w:tc>
          <w:tcPr>
            <w:tcW w:w="1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 years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8,000</w:t>
            </w:r>
          </w:p>
        </w:tc>
        <w:tc>
          <w:tcPr>
            <w:tcW w:w="140" w:type="dxa"/>
            <w:vAlign w:val="bottom"/>
          </w:tcPr>
          <w:p>
            <w:pPr>
              <w:spacing w:after="0"/>
              <w:rPr>
                <w:sz w:val="18"/>
                <w:szCs w:val="18"/>
                <w:color w:val="auto"/>
              </w:rPr>
            </w:pPr>
          </w:p>
        </w:tc>
        <w:tc>
          <w:tcPr>
            <w:tcW w:w="16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(3,445)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4,555</w:t>
            </w:r>
          </w:p>
        </w:tc>
        <w:tc>
          <w:tcPr>
            <w:tcW w:w="80" w:type="dxa"/>
            <w:vAlign w:val="bottom"/>
          </w:tcPr>
          <w:p>
            <w:pPr>
              <w:spacing w:after="0"/>
              <w:rPr>
                <w:sz w:val="18"/>
                <w:szCs w:val="18"/>
                <w:color w:val="auto"/>
              </w:rPr>
            </w:pPr>
          </w:p>
        </w:tc>
      </w:tr>
      <w:tr>
        <w:trPr>
          <w:trHeight w:val="22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Tradenames</w:t>
            </w:r>
          </w:p>
        </w:tc>
        <w:tc>
          <w:tcPr>
            <w:tcW w:w="1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 years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1,190</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r>
      <w:tr>
        <w:trPr>
          <w:trHeight w:val="223"/>
        </w:trPr>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Life</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 years</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2,777</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w:t>
            </w:r>
          </w:p>
        </w:tc>
        <w:tc>
          <w:tcPr>
            <w:tcW w:w="1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 years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8,000</w:t>
            </w:r>
          </w:p>
        </w:tc>
        <w:tc>
          <w:tcPr>
            <w:tcW w:w="140" w:type="dxa"/>
            <w:vAlign w:val="bottom"/>
          </w:tcPr>
          <w:p>
            <w:pPr>
              <w:spacing w:after="0"/>
              <w:rPr>
                <w:sz w:val="18"/>
                <w:szCs w:val="18"/>
                <w:color w:val="auto"/>
              </w:rPr>
            </w:pPr>
          </w:p>
        </w:tc>
        <w:tc>
          <w:tcPr>
            <w:tcW w:w="16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(2,445)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5,555</w:t>
            </w:r>
          </w:p>
        </w:tc>
        <w:tc>
          <w:tcPr>
            <w:tcW w:w="80" w:type="dxa"/>
            <w:vAlign w:val="bottom"/>
          </w:tcPr>
          <w:p>
            <w:pPr>
              <w:spacing w:after="0"/>
              <w:rPr>
                <w:sz w:val="18"/>
                <w:szCs w:val="18"/>
                <w:color w:val="auto"/>
              </w:rPr>
            </w:pPr>
          </w:p>
        </w:tc>
      </w:tr>
      <w:tr>
        <w:trPr>
          <w:trHeight w:val="23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Tradenames</w:t>
            </w:r>
          </w:p>
        </w:tc>
        <w:tc>
          <w:tcPr>
            <w:tcW w:w="1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 years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1,190</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972</w:t>
            </w:r>
          </w:p>
        </w:tc>
      </w:tr>
      <w:tr>
        <w:trPr>
          <w:trHeight w:val="223"/>
        </w:trPr>
        <w:tc>
          <w:tcPr>
            <w:tcW w:w="4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was $0.4 million for both the three months ended September 30, 2025 and 2024, and $1.3 million for both the nine months ended September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Accrued Liabilities</w:t>
            </w: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compensation/commissions payable</w:t>
            </w:r>
          </w:p>
        </w:tc>
        <w:tc>
          <w:tcPr>
            <w:tcW w:w="1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3,998</w:t>
            </w: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2,206</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900" w:type="dxa"/>
            <w:vAlign w:val="bottom"/>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Debt</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Long-term debt consists of the following (in thousands):</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5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under the term loan</w:t>
            </w:r>
          </w:p>
        </w:tc>
        <w:tc>
          <w:tcPr>
            <w:tcW w:w="1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Accrued end-of-term payments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w:t>
            </w:r>
          </w:p>
        </w:tc>
      </w:tr>
      <w:tr>
        <w:trPr>
          <w:trHeight w:val="243"/>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less issuance costs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17,404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22,038</w:t>
            </w:r>
          </w:p>
        </w:tc>
        <w:tc>
          <w:tcPr>
            <w:tcW w:w="80" w:type="dxa"/>
            <w:vAlign w:val="bottom"/>
          </w:tcPr>
          <w:p>
            <w:pPr>
              <w:spacing w:after="0"/>
              <w:rPr>
                <w:sz w:val="21"/>
                <w:szCs w:val="21"/>
                <w:color w:val="auto"/>
              </w:rPr>
            </w:pPr>
          </w:p>
        </w:tc>
      </w:tr>
      <w:tr>
        <w:trPr>
          <w:trHeight w:val="20"/>
        </w:trPr>
        <w:tc>
          <w:tcPr>
            <w:tcW w:w="5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 rate of the term loan, inclusive of amortization of debt issuance costs and accretion of the final payment, was 13.18% as of September 30, 2025. The effective rate of the revolving line of credit was 8.89% as of September 30, 2025. As of September 30, 2025, the Company had $5.7 million available under its revolving line of credit.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credit agreements contain affirmative and negative covenants customarily applicable to senior secured credit facilities, including covenants that, among other things, limit or restrict the ability of certain subsidiaries of the Company, as borrowers (the “Borrowers”), subject to negotiated exceptions, to incur additional indebtedness and additional liens on their assets, engage in mergers or acquisitions or dispose of assets, pay dividends or make other distributions, voluntarily prepay other indebtedness, enter into transactions with affiliated persons, make investments, undergo a change in control, and change the nature of their businesses. On April 9, 2025, the credit agreements were amended to increase the common stock ownership threshold that triggers a change in control from 40% to 49.9% to accommodate the sale of common stock from funds affiliated with OrbiMed Advisors LLC to Nantahala Capital Management, LLC. In addition, on July 7, 2025, the Company and certain of its subsidiaries entered into the Term Loan Limited Consent and Revolving Loan Limited Consent with MidCap under which MidCap agreed, subject to the terms and conditions set forth therein, to, among other things, consent to the Company entering into the Coflex/CoFix Agreement and Paradigm Agreement and the consummation of the Transactions in accordance with the terms and subject to the conditions set forth therein, including the prepayment in accordance with the Term Loan Credit Agreement of $9.6 million to MidCap from the proceeds of the transactions contemplated by the Coflex/CoFix Agreement and Paradigm Agreement, $7.5 million of which has been already prepaid from the $7.5 million in non-refundable deposits previously paid to the Company, $5.0 million of which was repaid as of September 30, 2025. See Note 2, “</w:t>
      </w:r>
      <w:r>
        <w:rPr>
          <w:rFonts w:ascii="Times New Roman" w:cs="Times New Roman" w:eastAsia="Times New Roman" w:hAnsi="Times New Roman"/>
          <w:sz w:val="18"/>
          <w:szCs w:val="18"/>
          <w:i w:val="1"/>
          <w:iCs w:val="1"/>
          <w:color w:val="auto"/>
        </w:rPr>
        <w:t>Pending Sale of Coflex/CoFix Assets and International Hardware Busines</w:t>
      </w:r>
      <w:r>
        <w:rPr>
          <w:rFonts w:ascii="Times New Roman" w:cs="Times New Roman" w:eastAsia="Times New Roman" w:hAnsi="Times New Roman"/>
          <w:sz w:val="18"/>
          <w:szCs w:val="18"/>
          <w:color w:val="auto"/>
        </w:rPr>
        <w:t>s.” In addition, the credit agreements require the Borrowers and the Company to maintain net product revenue at or above minimum levels and to maintain a certain minimum liquidity level, in each case as specified in the credit agreements. As of September 30, 2025, the Company was in compliance with all covenants under the credit agreements.</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Borrowers, and the Company, as guarantor, are jointly and severally liable for all of the obligations under the term loan and revolving line of credit agreements. The Borrowers’ obligations, and the Company’s obligations as a guarantor, under the credit agreements are secured by first-priority liens on substantially all of their assets, including, without limitation, all inventory, equipment, accounts, intellectual property and other assets of the Company and the Borrowers.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26, 2023, our stockholders approved and adopted the Xtant Medical Holdings, Inc. 2023 Equity Incentive Plan (the “2023 Plan”), which replaced the Xtant Medical Holdings, Inc. 2018 Equity Incentive Plan (the “2018 Plan”) with respect to future grants of equity awards, although the 2018 Plan continues to govern equity awards granted under the 2018 Plan. The 2023 Plan permits the Board of Directors, or a committee thereof, to grant to eligible employees, non-employee directors, and consultants of the Company non-statutory and incentive stock options, stock appreciation rights, restricted stock awards, restricted stock units, deferred stock units, performance awards, non-employee director awards, and other stock-based awards. The Board of Directors may select 2023 Plan participants and determine the nature and amount of awards to be granted. The maximum number of shares of our common stock available for issuance under the 2023 Plan, subject to adjustment pursuant to the terms of the 2023 Plan, is (i) 5,500,000 shares of common stock; (ii) 7,695,812 shares of common stock remaining available for issuance under the 2018 Plan but not subject to outstanding awards under the 2018 Plan as of July 26, 2023; and (iii) up to 6,686,090 shares of common stock subject to awards outstanding under the 2018 Plan as of July 26, 2023 but only to the extent such awards are subsequently forfeited, cancelled, expire, or otherwise terminate without the issuance of such shares of common stock after such date.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stock-based compensation expense recognized for employees and directors was $0.6 million and $1.1 million for the three months ended September 30, 2025 and 2024, respectively, and $2.2 million and $3.3 million for the nine months ended September 30, 2025 and 2024, respectively, and was recognized as general and administrative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Stock option activity, including options granted under the 2023 Plan and the 2018 Plan, was as follows for the nine months ended September 30, 2025 and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4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4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4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Contract</w:t>
            </w:r>
          </w:p>
        </w:tc>
      </w:tr>
      <w:tr>
        <w:trPr>
          <w:trHeight w:val="216"/>
        </w:trPr>
        <w:tc>
          <w:tcPr>
            <w:tcW w:w="4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Term</w:t>
            </w:r>
          </w:p>
        </w:tc>
      </w:tr>
      <w:tr>
        <w:trPr>
          <w:trHeight w:val="238"/>
        </w:trPr>
        <w:tc>
          <w:tcPr>
            <w:tcW w:w="460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9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3,925,403</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4,875,828</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(19,858)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0.64</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expired</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(164,931)</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1.19</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(397,032)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3,760,472</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4,458,938</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September 30</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3,006,140</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1.34</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5.77</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2,279,049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1.41</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2025, there was approximately $0.6 million of total unrecognized compensation expense related to unvested stock options.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are expected to be recognized over a weighted-average period of 1.8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Stock Units and Restricted Stock Units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Deferred stock unit and restricted stock unit activity for awards granted under the 2023 Plan and the 2018 Plan was as follows for the nine months ended September 30, 2025 and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9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Value at Grant</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Average Fair</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Date Per</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Value at Grant</w:t>
            </w:r>
          </w:p>
        </w:tc>
      </w:tr>
      <w:tr>
        <w:trPr>
          <w:trHeight w:val="238"/>
        </w:trPr>
        <w:tc>
          <w:tcPr>
            <w:tcW w:w="4280" w:type="dxa"/>
            <w:vAlign w:val="bottom"/>
          </w:tcPr>
          <w:p>
            <w:pPr>
              <w:spacing w:after="0"/>
              <w:rPr>
                <w:sz w:val="20"/>
                <w:szCs w:val="20"/>
                <w:color w:val="auto"/>
              </w:rPr>
            </w:pPr>
          </w:p>
        </w:tc>
        <w:tc>
          <w:tcPr>
            <w:tcW w:w="18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Date Per Share</w:t>
            </w: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5,455,472</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3,524,675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0.62</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4,195,363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0.84</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(1,154,820)</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0.67</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(1,482,056)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(80,116)</w:t>
            </w:r>
          </w:p>
        </w:tc>
        <w:tc>
          <w:tcPr>
            <w:tcW w:w="140" w:type="dxa"/>
            <w:vAlign w:val="bottom"/>
          </w:tcPr>
          <w:p>
            <w:pPr>
              <w:spacing w:after="0"/>
              <w:rPr>
                <w:sz w:val="19"/>
                <w:szCs w:val="19"/>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0.98</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(675,820)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0.90</w:t>
            </w: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4,320,536</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5,562,162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compensation expense related to unvested deferred stock units and restricted stock units not yet recognized was $2.0 million as of September 30, 2025, which is expected to be allocated to expenses over a weighted-average period of 2.4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April 2024, the Company began awarding performance stock units, or PSUs, under the 2023 Plan to certain executive officers and key employees. The Company has awarded an aggregate of 1,772,217 PSUs, assuming target performance, and each PSU award can be earned and vested at the end of a three-year performance period based on the total stockholder return, or TSR, of the Company’s common stock price relative to a group of peer companies and subject to continued service to the Company. The number of shares of the Company’s common stock to be issued upon vesting and settlement of the PSUs range from 0% to 200% of the target number of shares underlying the award, depending on the Company’s TSR performance against the group of peer companies. The fair value of the PSUs was estimated using the Monte Carlo simulation model and the following assumptions: the volatility of the peer companies was unique to each company used in simulation, Company volatility of 93.34%, risk-free interest rate of 4.53%, correlation with index of 0.06, and dividend yield of 0%.</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change in shares outstanding for PSU awards granted under the 2023 Plan during the three and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total compensation cost related to unvested PSUs was $1.2 million as of September 30, 2025, which expense is expected to be allocated to expenses over a weighted-average period of 1.4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there were outstanding and exercisable warrants to purchase an aggregate of 12,237,470 shares of our common stock at a weighted average exercise price of $1.53 per share, with a weighted average remaining contractual term of 1.0 years and 1.8 years,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described in more detail under Note 1, “</w:t>
      </w:r>
      <w:r>
        <w:rPr>
          <w:rFonts w:ascii="Times New Roman" w:cs="Times New Roman" w:eastAsia="Times New Roman" w:hAnsi="Times New Roman"/>
          <w:sz w:val="18"/>
          <w:szCs w:val="18"/>
          <w:i w:val="1"/>
          <w:iCs w:val="1"/>
          <w:color w:val="auto"/>
        </w:rPr>
        <w:t>Business Description and Summary of Significant Accounting Policies,</w:t>
      </w:r>
      <w:r>
        <w:rPr>
          <w:rFonts w:ascii="Times New Roman" w:cs="Times New Roman" w:eastAsia="Times New Roman" w:hAnsi="Times New Roman"/>
          <w:sz w:val="18"/>
          <w:szCs w:val="18"/>
          <w:color w:val="auto"/>
        </w:rPr>
        <w:t>” and Note 19, “</w:t>
      </w:r>
      <w:r>
        <w:rPr>
          <w:rFonts w:ascii="Times New Roman" w:cs="Times New Roman" w:eastAsia="Times New Roman" w:hAnsi="Times New Roman"/>
          <w:sz w:val="18"/>
          <w:szCs w:val="18"/>
          <w:i w:val="1"/>
          <w:iCs w:val="1"/>
          <w:color w:val="auto"/>
        </w:rPr>
        <w:t>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in the Company’s Annual Report on Form 10-K for the year ended December 31, 2024, the Company was party to an Investor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as amended, several Registration Rights Agreements and certain other agreements with OrbiMed Royalty Opportunities II, LP and ROS Acquisition Offshore LP, which are funds affiliated with OrbiMed Advisors LLC (collectively, “OrbiMed”). OrbiMed beneficially owned 52.6% of the Company’s common stock as of March 31, 2025, but in April 2025 sold all of its shares of the Company’s common stock to several investors in a private secondary resale transaction. As the lead purchaser in such transaction, funds affiliated with Nantahala Capital Management, LLC (“Nantahala”), an existing stockholder of the Company, purchased 57.0 million shares of the Company’s common stock, which together with shares of common stock previously held by Nantahala, resulted in Nantahala holding shares of common stock representing 49.1% of the issued and outstanding shares of the Company’s common stock. A family member of Stavros Vizirgianakis, a Board member, also participated in the transaction and purchased shares from OrbiMed. The Company was not party to the stock purchase agreement, which was privately negotiated amongst OrbiMed and the purchasers; however, to facilitate the transaction, the Company entered into a registration rights agreement with the purchasers pursuant to which the Company agreed to prepare and file a shelf resale registration statement with the SEC for purposes of registering the resale of the shares and to use commercially reasonable efforts to cause the registration statement to be declared effective by the SEC. The Company also agreed, among other things, to indemnify the selling stockholders from certain liabilities and to pay all fees and expenses incident to its performance of or compliance with the registration rights agreement. The Company filed this registration statement on May 12, 2025 and it became effective on May 19, 2025. The sale of OrbiMed’s shares resulted in the termination of the Investor Rights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currently lease various office facilities and equipment. These leases are under non-cancelable operating lease agreements with expiration dates from 2026 to 2030. We have the option to extend certain leases to five or ten-year term(s) and we have the right of first refusal on any sale.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lease liabilities within current liabilities or long-term liabilities based upon the length of time associated with the lease payments. The Company records its long-term operating leases as right-of-use assets. Upon initial adoption, using the modified retrospective transition approach, no leases with terms less than 12 months have been capitalized to the consolidated balance sheet consistent with ASC 842. Instead, these leases are recognized in the consolidated statement of operations on a straight-line expense throughout the lives of the leases. No Company leases contain common area maintenance or security agreements.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2025, the weighted-average remaining lease term was 4.8 years. Lease expense related to operating leases was $0.9 million for the nine months ended September 30, 2025. The Company’s lease agreements do not provide a readily determinable implicit rate nor is it available to the Company from its lessors. Instead, during the period ended September 30, 2025, the Company estimates the weighted-average discount rate for its operating leases to be between 10.93% and 12.46% to discount future cash flows to present value based on the incremental borrowing rate.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payments as of September 30, 2025 under these long-term operating leases are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35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w:t>
            </w: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w:t>
            </w:r>
          </w:p>
        </w:tc>
      </w:tr>
      <w:tr>
        <w:trPr>
          <w:trHeight w:val="209"/>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7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w:t>
            </w: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obligations under operating leases</w:t>
            </w:r>
          </w:p>
        </w:tc>
        <w:tc>
          <w:tcPr>
            <w:tcW w:w="27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(760)</w:t>
            </w: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obligations</w:t>
            </w:r>
          </w:p>
        </w:tc>
        <w:tc>
          <w:tcPr>
            <w:tcW w:w="27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potential liabilities under government regulations and various claims and legal actions that are pending or may be asserted from time to time. These matters arise in the ordinary course and conduct of our business and may include, for example, commercial, product liability, intellectual property, and employment matters. We intend to continue to defend the Company vigorously in such matters and, when warranted, take legal action against others. Furthermore, we regularly assess contingencies to determine the degree of probability and range of possible loss for potential accrual in our financial statements. An estimated loss contingency is accrued in our financial statements if it is probable that a liability has been incurred and the amount of the loss can be reasonably estimated. Based on our assessment, we have adequately accrued an amount for contingent liabilities currently in existence. We do not accrue amounts for liabilities that we do not believe are probable or that we consider immaterial to our overall financial position. Litigation is inherently unpredictable, and unfavorable resolutions could occur. As a result, assessing contingencies is highly subjective and requires judgment about future events. While we do not believe that the ultimate resolution of any claims and lawsuits will have a material adverse effect upon our consolidated financial position, results of operations or cash flows, it is possible that the amount of ultimate loss may exceed our current accruals and that our cash flows or results of operations could be materially affected in any particular period by the unfavorable resolution of one or more of these contingencies.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on the Company’s income taxes for the periods reported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7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00" w:type="dxa"/>
            <w:vAlign w:val="bottom"/>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2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from continuing operations</w:t>
            </w:r>
          </w:p>
        </w:tc>
        <w:tc>
          <w:tcPr>
            <w:tcW w:w="96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(loss) from continuing operations before</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960" w:type="dxa"/>
            <w:vAlign w:val="bottom"/>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1,565</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(4,962)</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5,403</w:t>
            </w:r>
          </w:p>
        </w:tc>
        <w:tc>
          <w:tcPr>
            <w:tcW w:w="56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(13,118)</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432"/>
        </w:trPr>
        <w:tc>
          <w:tcPr>
            <w:tcW w:w="4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w:t>
            </w: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22" w:name="page23"/>
    <w:bookmarkEnd w:id="2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effective tax rate for the three and nine months ended September 30, 2025 differs from the statutory rate due to a valuation allowance against deferred tax assets, offset by the impact of cash state and foreign taxes.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effective tax rate for the three and nine months ended September 30, 2024 differs from the statutory rate due to a valuation allowance against deferred tax assets, offset by the impact of cash state and foreign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2025, the Company is not currently under examination by tax authorities.</w:t>
      </w:r>
    </w:p>
    <w:p>
      <w:pPr>
        <w:spacing w:after="0" w:line="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which enacts significant changes to U.S. tax and related laws. Some of the provisions of the new tax law affecting corporations include but are not limited to expensing of domestic research expenses, increasing the limit of the deduction of interest expense, and one hundred percent bonus depreciation on eligible property acquired after January 19, 2025. The impact of the tax law changes from the OBBBA did not have a material impact on the tax rate and has been included in the Company’s condensed consolidated financial statements beginning with the three months ended September 30,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Income (Loss) Per Share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Basic net income (loss) per share is computed by dividing net income (loss) by the weighted average number of shares of common stock outstanding. Shares issued during the period and shares reacquired during the period are weighted for the portion of the period that they were outstanding. Diluted net income (loss) per share is computed in a manner consistent with that of basic earnings per share while giving effect to all potentially dilutive shares of common stock outstanding during the period, which include the assumed exercise of stock options and warrants using the treasury stock method. Diluted net income (loss) per share was the same as basic net income (loss) per share for the three and nine months ended September 30, 2024, as shares issuable upon the exercise of stock options and warrants were anti-dilutive as a result of the net loss incurred for those periods.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the computation of basic and diluted earnings (loss) per share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0" w:type="dxa"/>
            <w:vAlign w:val="bottom"/>
          </w:tcPr>
          <w:p>
            <w:pPr>
              <w:spacing w:after="0"/>
              <w:rPr>
                <w:sz w:val="18"/>
                <w:szCs w:val="18"/>
                <w:color w:val="auto"/>
              </w:rPr>
            </w:pPr>
          </w:p>
        </w:tc>
        <w:tc>
          <w:tcPr>
            <w:tcW w:w="300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1,308</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(5,024)</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4,916</w:t>
            </w: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(13,284)</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Basic – weighted average shares outstanding</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139,712,969</w:t>
            </w:r>
          </w:p>
        </w:tc>
        <w:tc>
          <w:tcPr>
            <w:tcW w:w="4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135,100,233</w:t>
            </w: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139,366,489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131,881,302</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Employee restricted stock units and deferred stock units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5,412,153</w:t>
            </w:r>
          </w:p>
        </w:tc>
        <w:tc>
          <w:tcPr>
            <w:tcW w:w="4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5,293,691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5,252,112</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5,252,112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Diluted – weighted average shares outstanding</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150,377,234</w:t>
            </w:r>
          </w:p>
        </w:tc>
        <w:tc>
          <w:tcPr>
            <w:tcW w:w="4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135,100,233</w:t>
            </w:r>
          </w:p>
        </w:tc>
        <w:tc>
          <w:tcPr>
            <w:tcW w:w="3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149,912,292</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131,881,302</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0.01</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(0.04)</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0.01</w:t>
            </w:r>
          </w:p>
        </w:tc>
        <w:tc>
          <w:tcPr>
            <w:tcW w:w="48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(0.04)</w:t>
            </w:r>
          </w:p>
        </w:tc>
        <w:tc>
          <w:tcPr>
            <w:tcW w:w="3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and 2024, an aggregate of 11,294,922 and 23,969,346 stock options, restricted stock units, deferred stock units and warrants were excluded for the diluted earnings (loss) per share calculation as they were anti-dilutive. For the nine months ended September 30, 2025 and 2024, an aggregate of 11,413,384 and 23,969,346 stock options, restricted stock units, deferred stock units and warrants were excluded for the diluted earnings (loss) per share calculation as they were anti-dilutive.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ind w:left="660" w:right="5900" w:hanging="652"/>
        <w:spacing w:after="0" w:line="500" w:lineRule="auto"/>
        <w:tabs>
          <w:tab w:leader="none" w:pos="357"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Disclosure of Cash Flow Information </w:t>
      </w:r>
      <w:r>
        <w:rPr>
          <w:rFonts w:ascii="Times New Roman" w:cs="Times New Roman" w:eastAsia="Times New Roman" w:hAnsi="Times New Roman"/>
          <w:sz w:val="18"/>
          <w:szCs w:val="18"/>
          <w:color w:val="auto"/>
        </w:rPr>
        <w:t>Supplemental cash flow information is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Cash paid during the period for:</w:t>
            </w:r>
          </w:p>
        </w:tc>
        <w:tc>
          <w:tcPr>
            <w:tcW w:w="1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90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2,538</w:t>
            </w:r>
          </w:p>
        </w:tc>
        <w:tc>
          <w:tcPr>
            <w:tcW w:w="8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2,657</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Non-cash activities:</w:t>
            </w:r>
          </w:p>
        </w:tc>
        <w:tc>
          <w:tcPr>
            <w:tcW w:w="1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right of use assets and lease liability</w:t>
            </w:r>
          </w:p>
        </w:tc>
        <w:tc>
          <w:tcPr>
            <w:tcW w:w="290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3,219</w:t>
            </w:r>
          </w:p>
        </w:tc>
        <w:tc>
          <w:tcPr>
            <w:tcW w:w="8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and Geographic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as one reportable and operating segment based upon the Company’s organization structure and the way in which the operations and investments are managed and evaluated by the chief operating decision maker (“CODM”), who is the Company’s Chief Executive Officer. The CODM uses consolidated net income (loss) as the primary measure of segment profit or loss to monitor performance and allocate resources.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balance sheet as total assets. The CODM does not review segment assets at a level other than that presented in the Company’s consolidated balance sheets.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provides the calculation of consolidated net income (loss), which is the performance measure that is most consistent with GAAP, and the significant operating expenses included in this performance measure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7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gridSpan w:val="6"/>
          </w:tcPr>
          <w:p>
            <w:pPr>
              <w:jc w:val="right"/>
              <w:ind w:right="94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2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33,255</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27,937</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85,754</w:t>
            </w:r>
          </w:p>
        </w:tc>
        <w:tc>
          <w:tcPr>
            <w:tcW w:w="160" w:type="dxa"/>
            <w:vAlign w:val="bottom"/>
            <w:shd w:val="clear" w:color="auto" w:fill="CCEEFF"/>
          </w:tcPr>
          <w:p>
            <w:pPr>
              <w:spacing w:after="0"/>
              <w:rPr>
                <w:sz w:val="18"/>
                <w:szCs w:val="18"/>
                <w:color w:val="auto"/>
              </w:rPr>
            </w:pPr>
          </w:p>
        </w:tc>
      </w:tr>
      <w:tr>
        <w:trPr>
          <w:trHeight w:val="23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cost of sales</w:t>
            </w:r>
          </w:p>
        </w:tc>
        <w:tc>
          <w:tcPr>
            <w:tcW w:w="90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11,263</w:t>
            </w:r>
          </w:p>
        </w:tc>
        <w:tc>
          <w:tcPr>
            <w:tcW w:w="920" w:type="dxa"/>
            <w:vAlign w:val="bottom"/>
          </w:tcPr>
          <w:p>
            <w:pPr>
              <w:spacing w:after="0"/>
              <w:rPr>
                <w:sz w:val="19"/>
                <w:szCs w:val="19"/>
                <w:color w:val="auto"/>
              </w:rPr>
            </w:pPr>
          </w:p>
        </w:tc>
        <w:tc>
          <w:tcPr>
            <w:tcW w:w="9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11,630</w:t>
            </w:r>
          </w:p>
        </w:tc>
        <w:tc>
          <w:tcPr>
            <w:tcW w:w="30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33,562</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21,992</w:t>
            </w:r>
          </w:p>
        </w:tc>
        <w:tc>
          <w:tcPr>
            <w:tcW w:w="3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16,307</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66,519</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9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w:t>
            </w:r>
          </w:p>
        </w:tc>
        <w:tc>
          <w:tcPr>
            <w:tcW w:w="920" w:type="dxa"/>
            <w:vAlign w:val="bottom"/>
          </w:tcPr>
          <w:p>
            <w:pPr>
              <w:spacing w:after="0"/>
              <w:rPr>
                <w:sz w:val="18"/>
                <w:szCs w:val="18"/>
                <w:color w:val="auto"/>
              </w:rPr>
            </w:pPr>
          </w:p>
        </w:tc>
        <w:tc>
          <w:tcPr>
            <w:tcW w:w="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58.4%</w:t>
            </w:r>
          </w:p>
        </w:tc>
        <w:tc>
          <w:tcPr>
            <w:tcW w:w="3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7,071</w:t>
            </w:r>
          </w:p>
        </w:tc>
        <w:tc>
          <w:tcPr>
            <w:tcW w:w="920" w:type="dxa"/>
            <w:vAlign w:val="bottom"/>
          </w:tcPr>
          <w:p>
            <w:pPr>
              <w:spacing w:after="0"/>
              <w:rPr>
                <w:sz w:val="18"/>
                <w:szCs w:val="18"/>
                <w:color w:val="auto"/>
              </w:rPr>
            </w:pPr>
          </w:p>
        </w:tc>
        <w:tc>
          <w:tcPr>
            <w:tcW w:w="9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7,493</w:t>
            </w:r>
          </w:p>
        </w:tc>
        <w:tc>
          <w:tcPr>
            <w:tcW w:w="3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22,082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22,991</w:t>
            </w: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11,746</w:t>
            </w: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11,890</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34,566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37,530</w:t>
            </w:r>
          </w:p>
        </w:tc>
      </w:tr>
      <w:tr>
        <w:trPr>
          <w:trHeight w:val="216"/>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634</w:t>
            </w:r>
          </w:p>
        </w:tc>
        <w:tc>
          <w:tcPr>
            <w:tcW w:w="920" w:type="dxa"/>
            <w:vAlign w:val="bottom"/>
          </w:tcPr>
          <w:p>
            <w:pPr>
              <w:spacing w:after="0"/>
              <w:rPr>
                <w:sz w:val="18"/>
                <w:szCs w:val="18"/>
                <w:color w:val="auto"/>
              </w:rPr>
            </w:pPr>
          </w:p>
        </w:tc>
        <w:tc>
          <w:tcPr>
            <w:tcW w:w="9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701</w:t>
            </w:r>
          </w:p>
        </w:tc>
        <w:tc>
          <w:tcPr>
            <w:tcW w:w="3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1,863</w:t>
            </w: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904</w:t>
            </w: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1,199</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2,953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3,026</w:t>
            </w:r>
          </w:p>
        </w:tc>
      </w:tr>
      <w:tr>
        <w:trPr>
          <w:trHeight w:val="198"/>
        </w:trPr>
        <w:tc>
          <w:tcPr>
            <w:tcW w:w="42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Unrealized foreign currency translation loss</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w:t>
            </w:r>
          </w:p>
        </w:tc>
        <w:tc>
          <w:tcPr>
            <w:tcW w:w="90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56</w:t>
            </w:r>
          </w:p>
        </w:tc>
        <w:tc>
          <w:tcPr>
            <w:tcW w:w="92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9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w:t>
            </w: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257</w:t>
            </w:r>
          </w:p>
        </w:tc>
        <w:tc>
          <w:tcPr>
            <w:tcW w:w="920" w:type="dxa"/>
            <w:vAlign w:val="bottom"/>
          </w:tcPr>
          <w:p>
            <w:pPr>
              <w:spacing w:after="0"/>
              <w:rPr>
                <w:sz w:val="19"/>
                <w:szCs w:val="19"/>
                <w:color w:val="auto"/>
              </w:rPr>
            </w:pPr>
          </w:p>
        </w:tc>
        <w:tc>
          <w:tcPr>
            <w:tcW w:w="9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166</w:t>
            </w:r>
          </w:p>
        </w:tc>
      </w:tr>
      <w:tr>
        <w:trPr>
          <w:trHeight w:val="223"/>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00" w:type="dxa"/>
            <w:vAlign w:val="bottom"/>
            <w:tcBorders>
              <w:top w:val="single" w:sz="8" w:color="auto"/>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380" w:type="dxa"/>
            <w:vAlign w:val="bottom"/>
            <w:tcBorders>
              <w:top w:val="single" w:sz="8" w:color="CCEEFF"/>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4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4" w:name="page25"/>
    <w:bookmarkEnd w:id="24"/>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attributes revenues to geographic areas based on the location of the customer. Approximately 91% of revenue was in the United States for both the three months ended September 30, 2025 and 2024, and 91% of revenue was in the United States for both the nine months ended September 30, 2025 and 2024. Total revenue by major geographic area is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0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8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9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30,312</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25,342</w:t>
            </w:r>
          </w:p>
        </w:tc>
        <w:tc>
          <w:tcPr>
            <w:tcW w:w="100" w:type="dxa"/>
            <w:vAlign w:val="bottom"/>
            <w:shd w:val="clear" w:color="auto" w:fill="CCEEFF"/>
          </w:tcPr>
          <w:p>
            <w:pPr>
              <w:spacing w:after="0"/>
              <w:rPr>
                <w:sz w:val="18"/>
                <w:szCs w:val="18"/>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2,943</w:t>
            </w:r>
          </w:p>
        </w:tc>
        <w:tc>
          <w:tcPr>
            <w:tcW w:w="7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2,595</w:t>
            </w:r>
          </w:p>
        </w:tc>
      </w:tr>
      <w:tr>
        <w:trPr>
          <w:trHeight w:val="223"/>
        </w:trPr>
        <w:tc>
          <w:tcPr>
            <w:tcW w:w="4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9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92,561</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3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9,009</w:t>
            </w:r>
          </w:p>
        </w:tc>
        <w:tc>
          <w:tcPr>
            <w:tcW w:w="70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9,002</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6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62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20</w:t>
            </w: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provides material historical and prospective disclosures intended to enable investors and other users to assess our financial condition and results of operations. The following discussion should be read in conjunction with our condensed consolidated financial statements and accompanying notes included in this Quarterly Report on Form 10-Q and the audited consolidated financial statements and accompanying notes thereto and Management’s Discussion and Analysis of Financial Condition and Results of Operations included in our Annual Report on Form 10-K for the fiscal year ended December 31, 2024. In addition to historical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above in “Cautionary Statement Regarding Forward-Looking Statements” and elsewhere in this Form 10-Q.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develop, manufacture and market regenerative medicine products and medical devices for domestic and international markets. Our products serve the specialized needs of orthopedic and neurological surgeons, including orthobiologics for the promotion of bone healing, implants and instrumentation for the treatment of spinal disease. We promote our products in the United States through independent distributors and stocking agents, supported by direct employees.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an extensive sales channel of independent commissioned agents and stocking distributors in the United States representing some or all of our products. We also maintain a national accounts program to enable our agents to gain access to integrated delivery network hospitals (“IDNs”) and through group purchasing organizations (“GPOs”). We have biologics contracts with major GPOs, as well as extensive access to IDNs across the United States for both biologics and spine hardware systems. While our focus is the United States market, we promote and sell our products internationally through direct sales representatives and stocking distribution partners in Europe, Canada, Mexico, South America, Australia, and certain Pacific region countries. We have recently made and intend to continue to make measured investments in the expansion of our commercial team to support our new products and maximize the reach of our broad portfolio of orthobiologics solutions.</w:t>
      </w:r>
    </w:p>
    <w:p>
      <w:pPr>
        <w:spacing w:after="0" w:line="18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17"/>
          <w:szCs w:val="17"/>
          <w:color w:val="auto"/>
        </w:rPr>
        <w:t>We have focused and intend to continue to focus primarily on four key growth initiatives: (1) introduce new products, including our recently launched CollagenX™, a bovine collagen particulate product for surgical wound closure; OsteoFactor Pro</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allogenic growth factor solution and Trivium™, a next-generation demineralized bone matrix, in addition to our introductions last year: Cortera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Posterior Fixation System, viable bone matrix,</w:t>
      </w:r>
    </w:p>
    <w:p>
      <w:pPr>
        <w:jc w:val="both"/>
        <w:spacing w:after="0" w:line="220" w:lineRule="auto"/>
        <w:rPr>
          <w:sz w:val="20"/>
          <w:szCs w:val="20"/>
          <w:color w:val="auto"/>
        </w:rPr>
      </w:pPr>
      <w:r>
        <w:rPr>
          <w:rFonts w:ascii="Times New Roman" w:cs="Times New Roman" w:eastAsia="Times New Roman" w:hAnsi="Times New Roman"/>
          <w:sz w:val="18"/>
          <w:szCs w:val="18"/>
          <w:color w:val="auto"/>
        </w:rPr>
        <w:t>OsteoVive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Plus, and amniotic membrane allografts, SimpliGraft™ and SimpliMax™; (2) expand our distribution network; (3) penetrate adjacent markets; and (4) leverage our growth platform with technology and strategic acquisitions. While the intent of these four key growth initiatives is to increase our future revenues, no assurance can be provided that we will be successful in implementing these growth initiatives or increasing our future revenues.</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one of our key growth initiatives is to leverage our growth platform with technology and strategic acquisitions and explore other strategic transactions with respect to our products and our company, including licenses, business collaborations and other business combinations or transactions with other companies, we, as a matter of course, often engage in discussions with third parties regarding such matters.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During the first quarter of 2025, we entered into a manufacture and license agreement with a distributor pursuant to which we agreed to manufacture and supply to the distributor our SimpliGraft® product under the distributor’s name and brand in exchange for a one-time $1.5 million cash payment and minimum SimpliGraft® product purchase obligations of the distributor. During the fourth quarter of 2024, we entered into a license agreement with a distributor granting an exclusive right and license to manufacture and commercialize in the United States our SimpliMax™ product in exchange for a one-time $1.5 million cash payment and minimum quarterly royalty payments based on the volume of product sold by the distributor. The Centers for Medicare and Medicaid Services (“CMS”) issued a Local Coverage Determination implementing significant changes to reimbursement for cellular and tissue-based products, which would impact our SimpliMax™ and SimpliGraft® products and constitute a CMS Policy Change under these license agreements, which changes were initially intended to become effective in February 2025 but were delayed to April 2025 and then again delayed to January 1, 2026. On July 14 and 15, 2025, CMS released the CY 2026 Physician Fee Schedule (“PFS”) proposal and the CY 2026 Hospital Outpatient Prospective Payment System (“OPPS”) proposal. Under these proposed rules, which are scheduled for implementation on January 1, 2026, CMS is calling for a consistent payment approach for skin substitutes across the private office and hospital outpatient departments settings with a fixed price of $125.38 per square centimeter. The comment period for the PFS and OPPS proposals concluded in mid-September 2025, and it is anticipated that CMS will publish its final rules for reimbursement in these care settings in November 2025. Together with the Local Coverage Determinations and the recently announced Wasteful and Inappropriate Service Reduction model, there are several significant potential changes to reimbursement of skin substitutes that could begin impacting the industry and the Company when the final rules become effective on January 1, 2026. Because of these regulatory changes, it is possible that these license agreements may be terminated, adversely affecting our future license revenue.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With respect to recently enacted or to be effective tariffs announced by the current U.S. Presidential administration, we do not anticipate the effect on our business will be material based on tariffs currently in place.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Sale of Coflex/CoFix Assets and International Hardware Business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previously disclosed, on July 7, 2025, we entered into an Asset Purchase Agreement (the “Coflex/CoFix Agreement”) with Companion Spine, LLC, a company to whom we have sold certain of our Coflex and CoFix products from time to time in the ordinary course of business (“Companion”), or its affiliate designee (together with Companion, the “Buyer”). Pursuant to and subject to the terms and conditions of the Coflex/CoFix Agreement, we agreed to sell and assign to the Buyer certain assets relating to our Coflex and CoFix products in the United States (the “Coflex/CoFix Business” and such assets, the “Coflex/CoFix Assets” ) and the Buyer agreed to assume certain liabilities in connection therewith (such transaction, the “Coflex/CoFix Transaction”) for a total purchase price of $17.5 million, subject to a closing inventory valuation adjustment set forth in the Coflex/CoFix Agreement (the “Coflex/CoFix Purchase Price”). Concurrently with the execution and delivery of the Coflex/CoFix Agreement, $2.5 million of the Coflex/CoFix Purchase Price was paid to us as a cash deposit that is non-refundable, except in the event the Coflex/CoFix Agreement is terminated by the Buyer due to certain breaches by us under the Coflex/CoFix Agreement. Completion of the Coflex/CoFix Transaction is subject to the Buyer obtaining financing. Under the Coflex/CoFix Agreement, the Buyer had the ability to pay us up to two additional $2.5 million cash deposits in the event the Buyer required additional time to obtain financing. On each of September 4, 2025 and November 3, 2025, pursuant to the terms of the Coflex/CoFix Agreement, the Buyer paid us an additional $2.5 million cash deposit to provide additional time for the Buyer to obtain financing. If the Buyer obtains financing and the closing of the Coflex/CoFix Transaction occurs, the remaining balance of the Coflex/CoFix Purchase Price will be required to be paid by the Seller to us at the closing and will consist of a cash payment of $1.8 million and a $8.2 million unsecured promissory note to be issued by the Buyer to us. If issued, the promissory note will mature on December 31, 2025.</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Also, on July 7, 2025, we simultaneously entered into an Equity Purchase Agreement (the “Paradigm Agreement” and together with the Coflex/CoFix Agreement, the “Agreements”), with Companion, pursuant to which and subject to the terms and conditions thereof, we agreed to sell to Companion all of our shares of equity securities of Paradigm, which constitute 100% of the issued and outstanding shares of equity securities of Paradigm Spine GmbH, a wholly owned subsidiary engaged in the operation of our hardware business outside of the United States (“Paradigm” and such transaction the “Paradigm Transaction” and together with the Coflex/CoFix Transaction, the “Transactions”) for a total purchase price of $1.7 million, subject to certain cash, indebtedness and net working capital adjustments set forth in the Paradigm Agreement (the “Paradigm Purchase Price”). As with the Coflex/CoFix Transaction, completion of the Paradigm Transaction is subject to Companion obtaining financing.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completion of the Transactions is expected to occur in the fourth quarter of 2025, although no assurance can be provided that the Seller will obtain financing to fund the Transactions, that the closings will not be delayed or that the closings will occur. The closing of each of the Transactions is contingent on the other closing at the same time. The Agreements contain certain termination rights for the respective parties, including the right to terminate the Coflex/CoFix Agreement and Paradigm Agreement if the Coflex/CoFix Transaction or Paradigm Transaction, respectively, is not consummated by December 31, 2025. If completed, the Transactions will significantly reduce our future revenues.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Coflex/CoFix Agreement and the Paradigm Agreement contain customary representations, warranties and covenants of the parties, and the completion of each of the Transactions is subject to a number of customary conditions set forth in the Agreements, which, among others, include the performance by each party of its obligations under the respective Agreement and the accuracy of the representations in each respective Agreement. Subject to certain limitations, the respective parties to the Agreements have agreed to indemnify the other party for certain matters, including breaches of representations, warranties and covenants, subject in certain cases to a $250,000 deductible and $2.0 million cap.</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on July 7, 2025, we entered into a Limited Consent and Amendment No. 3 to Amended and Restated Credit, Security and Guaranty Agreement (Term Loan) (the “Term Loan Limited Consent”) with MidCap Financial Trust and a Limited Consent and Amendment No. 3 to Amended and Restated Credit, Security and Guaranty Agreement (Revolving Loan) (the “Revolving Loan Limited Consent” and together with the Term Loan Limited Consent, the “Limited Consent Agreements”) with MidCap Funding IV Trust (collectively, with MidCap Financial Trust, “MidCap”). Under the Limited Consent Agreements, MidCap agreed, subject to the terms and conditions set forth in the Limited Consent Agreements, to, among other things, consent to us entering into the Coflex/CoFix Agreement and Paradigm Agreement and the consummation of the Transactions in accordance with the terms and subject to the conditions set forth therein, including our prepayment in accordance with the Term Loan Credit Agreement of $9.6 million to MidCap from the proceeds of the transactions contemplated by the Coflex/CoFix Agreement and Paradigm Agreement, $7.5 million of which has been prepaid as of the filing of this report from the $7.5 million in non-refundable deposits we have received from the Seller.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and Nine Months Ended September 30, 2025 and September 30,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revenue for the three and nine months ended September 30, 2025 was $33.3 million and $101.6 million, respectively, which represents an increase of 19% and 18%, respectively, compared to $27.9 million and $85.8 million for the three and nine months ended September 30, 2024, respectively. These increases are attributed primarily to $5.5 million and $14.1 million of licensing revenue recognized during the three and nine months ended September 30, 2025, respectively, and an increase in orthobiologics sales during the current year periods. These increases were partially offset by decreased hardware revenue in the current year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Cost of sales consists primarily of manufacturing cost, product purchase costs, and depreciation of surgical instruments. Cost of sales also includes reserves for estimated excess inventory, inventory on consignment that may be missing and not returned, and reserves for estimated missing and damaged consigned surgical instruments. Cost of sales decreased by $0.4 million to $11.3 million for the three months ended September 30, 2025 from $11.6 million for the three months ended September 30, 2024. Cost of sales increased by $1.5 million to $35.1 million for the nine months ended September 30, 2025 from $33.6 million for the nine months ended September 30, 2024. The decrease associated with the three-month comparison was due primarily to reduced product costs resulting from the transition to internal production in the current year period compared to the prior year period. The increase associated with the nine-month comparison was primarily due to greater revenue in the current year period compared to the prior year period, as described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profit as a percentage of revenue increased to 66.1% for the three months ended September 30, 2025 compared to 58.4% for the same period in 2024 and increased to 65.5% for the nine months ended September 30, 2025 compared to 60.9% for the same period in 2024. Of the increase for the three-month comparison, 860 basis points were due to sales mix and greater scale, partially offset by a decrease of 300 basis points due to increased charges for excess and obsolete inventory. Of the increase for the nine-month comparison, 530 basis points were due to sales mix and greater scale, partially offset by a decrease of 180 basis points due to increased charges for excess and obsolete inventory.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for corporate employees, cash-based and stock-based compensation related costs, amortization, and corporate expenses for legal, accounting and professional fees, as well as occupancy costs. General and administrative expenses decreased 6%, or $0.4 million, to $7.1 million for the three months ended September 30, 2025, compared to $7.5 million for the same period in 2024. General and administrative expenses decreased 4%, or $0.9 million, to $22.1 million for the nine months ended September 30, 2025, compared to $23.0 million for the same period in 2024. The decrease for the three-month comparison is primarily attributable to $0.5 million of reduced stock-based compensation expense and $0.5 million of reduced retention and severance expense, partially offset by additional expense of $0.5 million related to various compensation plans. The decrease for the nine-month comparison is primarily attributable to $1.1 million of reduced stock-based compensation expense and $0.5 million of reduced severance expense, partially offset by additional expense of $0.8 million related to various compensation plans and $0.5 million of additional legal fees associated primarily with the pending Transactions with Companion.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and marketing expenses consist primarily of sales commissions, personnel costs for sales and marketing employees, costs for trade shows, sales conventions and meetings, travel expenses, advertising, and other sales and marketing related costs. Sales and marketing decreased 1%, or $0.1 million, to $11.7 million for the three months ended September 30, 2025, compared to $11.9 million for the same period in 2024. Sales and marketing expenses decreased 8%, or $3.0 million, to $34.6 million for the nine months ended September 30, 2025, compared to $37.5 million for the same period in 2024. The decrease for the three-month comparison is primarily due to reduced commission expense of $0.7 million resulting from revenue mix, partially offset by $1.0 million of additional consulting fees during the current year period. The decrease for the nine-month comparison is primarily due to reduced commission expense of $3.0 million resulting from revenue mix and $1.6 million of reduced compensation expense related to headcount, partially offset by $2.3 million of additional consulting fees.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internal costs for the development of new technologies. Research and development expenses were $0.6 million for the three months ended September 30, 2025, compared to $0.7 million for the same period in 2024. Research and development expenses were $1.6 million for the nine months ended September 30, 2025, compared to $1.9 million for the same period in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consists of interest incurred from our debt instruments and finance leases. Interest expense was $0.9 million and $3.0 million for the three and nine months ended September 30, 2025, respectively, compared to $1.2 million and $3.0 million for the three and nine months ended September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 Current and Deferred</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income tax expense for the three and nine months ended September 30, 2025 compared to the three and nine months ended September 30, 2024 was primarily due to an increase in cash state taxes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our inception, we have financed our operations through primarily operating cash flows, private placements of equity securities and convertible debt, debt facilities, common stock rights offerings, and other debt transactions. The following table summarizes our working capital as of September 30, 2025 and December 31, 2024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10,641</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25,517</w:t>
            </w: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20,660</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40,714</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38,634</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78,330</w:t>
            </w: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67,116</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6,856</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11,535</w:t>
            </w: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7,771</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 of credit</w:t>
            </w: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11,308</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pending sale of Coflex/CoFix assets and international hardware business</w:t>
            </w: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33,503</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28,581</w:t>
            </w:r>
          </w:p>
        </w:tc>
      </w:tr>
      <w:tr>
        <w:trPr>
          <w:trHeight w:val="234"/>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working capital</w:t>
            </w: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42,827</w:t>
            </w: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38,535</w:t>
            </w:r>
          </w:p>
        </w:tc>
      </w:tr>
      <w:tr>
        <w:trPr>
          <w:trHeight w:val="414"/>
        </w:trPr>
        <w:tc>
          <w:tcPr>
            <w:tcW w:w="69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first nine months of 2025 was $7.2 million compared to net cash used in operating activities of $12.6 million for the first nine months of 2024. This change relates primarily to net income for the first nine months of 2025 compared to a net loss in the comparable prior year period.</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first nine months of 2025 was $3.2 million compared to net cash used in investing activities of $3.2 million for the first nine months of 2024. This change relates primarily to $5.0 million advances from pending sale of Coflex/CoFix assets and international hardware business in the current year period, partially offset by decreased purchases of property and equipment in the current year period.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the first nine months of 2025 was $6.0 million compared to net cash provided by financing activities of $16.9 million for the first nine months of 2024. This change relates primarily to $9.1 million of reduced revolver borrowings, net of repayments, during the current year period compared to the prior year period, $5.0 million additional borrowings during the prior year period, $5.0 million payment on long term debt related to the advances from pending sale of Coflex/CoFix assets and international hardware business in the current year period and an increase of $4.5 million in proceeds from private placements during the prior year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and Revolving Credit Facilities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as guarantor, and certain of our subsidiaries, as borrowers (collectively, the “Borrowers”), are parties to a term loan credit agreement (the “Term Credit Agreement”) and revolving loan credit agreement (the “Revolving Credit Agreement” and together with the Term Loan Credit Agreement, the “Loan Agreements”) with MidCap Financial Trust and MidCap Funding IV Trust, each in its respective capacity as agent, and lenders from time to time party thereto. As of September 30, 2025, $17.0 million was outstanding under the term loan facility under the Term Credit Agreement (the “Term Facility”), reduced from $22.0 million as of June 30, 2025 and December 31, 2204. This reduction was due to prepayments of $5.0 million from non-refundable deposits paid to us by Companion. On November 3, 2025, the outstanding term loan under the Term Facility was further reduced with another prepayment as a result of another $2.5 million non-refundable deposit paid to us by Companion. See Note 2, “</w:t>
      </w:r>
      <w:r>
        <w:rPr>
          <w:rFonts w:ascii="Times New Roman" w:cs="Times New Roman" w:eastAsia="Times New Roman" w:hAnsi="Times New Roman"/>
          <w:sz w:val="18"/>
          <w:szCs w:val="18"/>
          <w:i w:val="1"/>
          <w:iCs w:val="1"/>
          <w:color w:val="auto"/>
        </w:rPr>
        <w:t>Pending Sale of Coflex/CoFix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International Hardware Busines</w:t>
      </w:r>
      <w:r>
        <w:rPr>
          <w:rFonts w:ascii="Times New Roman" w:cs="Times New Roman" w:eastAsia="Times New Roman" w:hAnsi="Times New Roman"/>
          <w:sz w:val="18"/>
          <w:szCs w:val="18"/>
          <w:color w:val="auto"/>
        </w:rPr>
        <w:t>s” to our condensed consolidated financial statements.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Revolving Credit Agreement provides for a secured revolving credit facility (the “Revolving Facility,” and, together with the secured term credit facility under the Term Credit Agreement, the “Facilities”) under which the Borrowers may borrow up to $17.0 million at any one time, the availability of which is determined based on a borrowing base equal to percentages of certain accounts receivable and inventory of the Borrowers in accordance with a formula set forth in the Revolving Credit Agreement. All borrowings under the Revolving Facility are subject to the satisfaction of customary conditions, including the absence of default, the accuracy of representations and warranties in all material respects, and the delivery of an updated borrowing base certificate.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Facilities have a maturity date of March 1, 2029. Each of the Borrowers, and the Company, as guarantor, are jointly and severally liable for all of the obligations under the Facilities on the terms set forth in the Credit Agreements. The Borrowers’ obligations, and the Company’s obligations as a guarantor, under the Credit Agreements are secured by first-priority liens on substantially all of their assets, including, without limitation, all inventory, equipment, accounts, intellectual property and other assets of the Company and the Borrowers. As of September 30, 2025, the Company had $11.3 million outstanding and $5.7 million of availability under the Revolving Credit Facility.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0" w:name="page31"/>
    <w:bookmarkEnd w:id="3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loans and other obligations pursuant to the Credit Agreements bear interest at a per annum rate equal to the sum of the SOFR Interest Rate, as such term is defined in the Credit Agreements, plus the applicable margin of 6.50% in the case of the Term Credit Agreement, and an applicable margin of 4.50% in the case of the Revolving Credit Agreement, subject in each case to a floor of 2.50%. As of September 30, 2025, the effective rate of the Term Credit Agreement, inclusive of authorization of debt issuance costs and accretion of the final payment, was 13.18%, and the effective rate of the Revolving Credit Agreement was 8.89%.</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Agreements contain affirmative and negative covenants customarily applicable to senior secured credit facilities, including covenants that, among other things, limit or restrict the ability of the Borrowers, subject to negotiated exceptions, to incur additional indebtedness and additional liens on their assets, engage in mergers or acquisitions or dispose of assets, pay dividends or make other distributions, voluntarily prepay other indebtedness, enter into transactions with affiliated persons, make investments, undergo a change in control and change the nature of their businesses. In addition, the Credit Agreements require the Borrowers and the Company to maintain net product revenue at or above minimum levels and to maintain a certain minimum liquidity level, in each case as specified in the Credit Agreements. As of September 30, 2025, we were in compliance with all covenants under the Credit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Requirements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$10.6 million of cash and cash equivalents as of September 30, 2025, together with our anticipated operating cash flows and amounts available under the Facilities, will be sufficient to meet our anticipated cash requirements through at least November 2026. However, we may require or seek additional capital to fund our future operations and business strategy prior to November 2026. Accordingly, there is no assurance that we will not need or seek additional financing prior to such time.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elect to raise additional financing even before we need it if market conditions for raising additional capital are favorable. We may seek to raise additional financing through various sources, such as equity and debt financings, debt restructurings or refinancings, or through strategic transactions, dispositions, collaborations and/or license agreements. We can give no assurances that we will be able to secure additional sources of funds to support our operations, or if such funds are available to us, that such additional financing will be sufficient to meet our needs or on terms acceptable to us. This is particularly true if economic and market conditions deteriorate or our business, financial performance or prospects deteriorate.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or the restructuring or refinancing of our debt, the interests of our current stockholders may be diluted, and the terms may include discounted equity purchase prices, warrant coverage, liquidation or other preferences or rights that would adversely affect the rights of our current stockholders. If we issue common stock, we may do so at purchase prices that represent a discount to our trading price and/or we may issue warrants to the purchasers, which could further dilute our current stockholders. If we issue preferred stock, it could adversely affect the rights of our stockholders or reduce the value of our common stock. In particular, specific rights or preferences granted to future holders of preferred stock may include voting rights, preferences as to dividends and liquidation, conversion and redemption rights, sinking fund provisions, and restrictions on our ability to merge with or sell our assets to a third party. Additional debt financing, if available, may involve agreements that include covenants limiting or restricting our ability to take specific actions, such as incurring additional debt, making capital expenditures or declaring dividends. Prior to raising additional equity or debt financing, we may be required to obtain the consent of MidCap Financial Trust and MidCap Funding IV Trust under our Credit Agreements, which could limit our ability to raise additional financing and the terms thereof.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Estimates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financial statements, which have been prepared in accordance with U.S. GAAP. There have been no changes in our critical accounting estimates for the nine months ended September 30, 2025 as compared to the critical accounting estimates described in our Annual Report on Form 10-K for the fiscal year ended December 31,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defined in Rule 13a-15(e) under the Securities Exchange Act of 1934, as amended (the “Exchange Act”)) as of September 30, 2025. Based upon that evaluation, our principal executive officer and principal financial officer concluded that, as of September 30, 2025, our disclosure controls and procedures were effective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September 30, 2025,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Our legal proceedings are discussed in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our condensed consolidated financial statements in this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this Item IA is inapplicable to us as a smaller reporting company, we hereby disclose the following new risk factors from those described in our Annual Report on Form 10-K for the fiscal year ended December 31, 2024:</w:t>
      </w:r>
    </w:p>
    <w:p>
      <w:pPr>
        <w:spacing w:after="0" w:line="15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pending sale of our Coflex/CoFix Business to Companion Spine, LLC involves a number of risks and uncertainties, the occurrence of which could adversely affect our business, financial condition, and operating results.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7, 2025, we and certain of our subsidiaries entered into the Coflex/CoFix Agreement and the Paradigm Agreement with Companion pursuant to which we agreed to sell and assign to Companion or its designee certain assets relating to our Coflex and CoFix products and our international hardware business. While the completion of the Transactions is expected to occur in the fourth quarter of 2025, no assurance can be provided that the Transactions will be completed within the anticipated time frame or at all. The closing of each of the Transactions is contingent upon one another and could be delayed or terminated for any reason. In addition, the completion of the Transactions may cause interruption to our business that could have an adverse effect on our operating results and financial condition. The Transactions involve risks and uncertainties, the occurrence of which could adversely affect our business, financial condition, and operating results, including:</w:t>
      </w:r>
    </w:p>
    <w:p>
      <w:pPr>
        <w:spacing w:after="0" w:line="189" w:lineRule="exact"/>
        <w:rPr>
          <w:sz w:val="20"/>
          <w:szCs w:val="20"/>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completing the Coflex/CoFix Transaction and the Paradigm Transaction within the expected time period and the risk that the Transactions may not be completed at all, including without limitation if the Buyer is unable to obtain sufficient financing to fund the Transactions, or other intervening events;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to complete the Transactions and from our existing core business;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Company employees, suppliers, customers, distributors, and independent sales agents or other adverse effects on our existing business relationships with suppliers, customers, distributors and independent sales agents as a result of the public announcement of and/or completion of the Transactions;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our business, financial condition and operating results if the Transactions are not completed, or if completed, do not achieve the anticipated effects, revenue, earnings, cost or revenue savings, or other financial results projected in our post-Transactions valuation models, or delays in the realization thereof;</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disruption to our existing operations and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more transaction costs than initially anticipated, which would reduce our net proceeds from the Transactions, if completed;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Transactions are completed, the failure of the Buyer to pay off the $8.2 million promissory note to be issued to us at the closing of the Coflex/CoFix Transaction;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Transactions are not completed and the Agreements are terminated, the adverse impact of such termination on our business, including in particular our Coflex/CoFix Business and international hardware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assessment of unanticipated costs and liabilities associated with the Transactions, including potential litigation and adverse tax consequences;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accounting treatment of or estimates made in the accounts for the Transactions;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Part I, Item 1A of our Annual Report on Form 10-K for the year ended December 31, 2024, as filed with the SEC on March 6, 2025, and subsequent SEC filings by the Company, including without limitation this Quarterly Report on Form 10-Q.</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Nantahala owns a significant percentage of our common stock and is able to exert significant control over matters subject to stockholder approval, preventing other stockholders and new investors from influencing significant corporate decisions.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Nantahala owns approximately 49.1% of our outstanding common stock. Because of its significant stock ownership, Nantahala has the ability to exert substantial influence over our management and affairs and over substantially all matters requiring action by our stockholders, including amendments to our certificate of incorporation, bylaws, election and removal of directors, and approval of any significant corporate actions, including any merger, consolidation, or sale of all or substantially all of our assets. This may prevent or discourage unsolicited acquisition proposals or offers for our common stock. The interests of Nantahala may not be aligned with the interests of our other stockholders. For example, Nantahala may have an interest in pursuing a sale of our Company, acquisitions, divestitures and other transactions or not pursuing such transactions that, in its judgment, could provide Nantahala liquidity or enhance or reduce its investment, even though such transactions might involve risks to us and our other stockholders. This concentration of voting control could deprive our other stockholders of an opportunity to receive a premium for their shares of our common stock as part of a sale of our Company and ultimately might affect the market price of our common stock. In addition, this significant concentration of stock ownership may adversely affect the trading price of our common stock due to investors’ perception that conflicts of interest may exist or arise.</w:t>
      </w:r>
    </w:p>
    <w:p>
      <w:pPr>
        <w:spacing w:after="0" w:line="19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substantial amounts of our common stock, or the perception that such sales could occur at any time, could adversely affect the market price of our common stock.</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these sales could occur, could adversely affect the market price of our common stock and could materially impair our ability to raise capital through equity offerings in the future. We cannot predict what effect, if any, market sales of shares of our common stock held by our stockholders or the availability of the shares for future resale will have on the market price of our common stock, although it is likely that such sales would have a material adverse impact on the trading price of our common stock, especially given the low trading volume and low public float of our common stock. If the trading price of our common stock decreases to levels viewed to be abnormally low and no longer suitable for listing under the NYSE American’s listing standards, the NYSE American likely would commence delisting proceedings and immediately suspend trading in our common stock.</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biologics business is highly dependent on the availability of human donors and placentas. Any disruptions in the availability of donors and placentas due to regulatory changes or otherwise could cause our customers to seek alternative providers or technologies and harm our business and operating results.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mission is “to honor the gift of donation, by allowing our patients to live as full, and complete a life as possible.” Accordingly, our biologics business is highly dependent on our ability to obtain donor cadavers and placentas as the raw material for many of our biologics products. The availability of acceptable donors and placentas is relatively limited, and we compete with many other companies for this limited availability. The availability of donors and placentas is impacted by regulatory changes, American Association of Tissue Banks requirements, general public opinion of the donor process and our reputation for our handling of the donor process. This year, the FDA has published draft guidance documents with recommendations to reduce the risk of transmission of disease agents associated with sepsis by human cells, tissues, and tissue-based products (HCT/Ps) and recommendations to reduce the risk of transmission of Mycobacterium tuberculosis (Mtb) by HCT/Ps. These new guidelines, if approved, may further reduce the number of acceptable donors and increase competition for acceptable donors. A disruption in the supply of available donors and placentas could have significant consequences on our ability to meet anticipated demand for our biologics products, which would adversely affect our revenue and other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Rule 10b5-1 Plan and Non-Rule 10b5-1 Trading Arrangement Adoptions, Terminations, and Modifications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none of our directors or “officers” (as defined in Rule 16a-1(f) under the Exchange Act) adopted or terminated a “Rule 10b5-1 trading arrangement” or “non-Rule 10b5-1 trading arrangement,” as each term is defined in Item 408 of SEC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being filed or furnished with this Quarterly Report on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500" w:type="dxa"/>
            <w:vAlign w:val="bottom"/>
            <w:tcBorders>
              <w:bottom w:val="single" w:sz="8" w:color="auto"/>
            </w:tcBorders>
            <w:gridSpan w:val="6"/>
          </w:tcPr>
          <w:p>
            <w:pPr>
              <w:ind w:left="9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0140" w:type="dxa"/>
            <w:vAlign w:val="bottom"/>
            <w:gridSpan w:val="10"/>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Asset Purchase Agreement, dated July 7, 2025, among Xtant Medical Holdings, Inc., Surgalign SPV, Inc., and Companion Spine, LLC, or</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its Affiliate designee (filed as Exhibit 2.1 to the Registrant’s Current Report on Form 8-K filed with the SEC on July 8, 2025 (SEC File No.</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001-34951) and incorporated by reference herein).</w:t>
              </w:r>
            </w:hyperlink>
          </w:p>
        </w:tc>
        <w:tc>
          <w:tcPr>
            <w:tcW w:w="6500" w:type="dxa"/>
            <w:vAlign w:val="bottom"/>
            <w:gridSpan w:val="6"/>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10140" w:type="dxa"/>
            <w:vAlign w:val="bottom"/>
            <w:gridSpan w:val="10"/>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Equity Purchase Agreement, dated July 7, 2025, among Xtant Medical Holdings, Inc., Paradigm Spine GmbH, and Companion Spine, LLC</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(filed as Exhibit 2.2 to the Registrant’s Current Report on Form 8-K filed with the SEC on July 8, 2025 (SEC File No. 001-34951)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incorporated by reference herein).</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Restated Certificate of Incorporation of Xtant Medical Holdings, Inc. (filed as Exhibit 3.1 to the Registrant’s Quarterly Report on Form 10-</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Q for the quarterly period ended September 30, 2024 (SEC File No. 001-34591) and incorporated by reference herein).</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Third Amended and Restated Bylaws of Xtant Medical Holdings, Inc. (Effective as of June 1, 2023) (filed as Exhibit 3.1 to the Registrant’s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Current Report on Form 8-K filed with the SEC on May 19, 2023 (SEC File No. 001-34951) and incorporated by reference herein).</w:t>
              </w:r>
            </w:hyperlink>
          </w:p>
        </w:tc>
        <w:tc>
          <w:tcPr>
            <w:tcW w:w="660" w:type="dxa"/>
            <w:vAlign w:val="bottom"/>
            <w:gridSpan w:val="2"/>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40" w:type="dxa"/>
            <w:vAlign w:val="bottom"/>
            <w:gridSpan w:val="10"/>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Limited Consent and Amendment No. 3 to Amended and Restated Credit, Security and Guaranty Agreement (Term Loan), dated as of July</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7, 2025, among Xtant Medical, Inc., Bacterin International, Inc., X-spine Systems, Inc., Surgalign SPV, Inc., and any additional borrower</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that hereafter becomes party thereto, Xtant Medical Holdings, Inc., as a guarantor, MidCap Financial Trust, as agent, and the other financial</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institutions or other entities from time to time parties thereto (filed as Exhibit 10.1 to the Registrant’s Current Report on Form 8-K filed with</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the SEC on July 8, 2025 (SEC File No. 001-34951) and incorporated by reference herein).</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140" w:type="dxa"/>
            <w:vAlign w:val="bottom"/>
            <w:gridSpan w:val="10"/>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Limited Consent and Amendment No. 3 to Amended and Restated Credit, Security and Guaranty Agreement (Revolving Loan), dated as of</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740" w:type="dxa"/>
            <w:vAlign w:val="bottom"/>
            <w:gridSpan w:val="3"/>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July 7, 2025, among Xtant Medical, Inc., Bacterin International, Inc., X-spine Systems, Inc., Surgalign SPV, Inc., and any additional</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borrower that hereafter becomes party thereto, Xtant Medical Holdings, Inc., as a guarantor, MidCap Funding IV Trust, as agent, and the</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740" w:type="dxa"/>
            <w:vAlign w:val="bottom"/>
            <w:gridSpan w:val="3"/>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other financial institutions or other entities from time to time parties thereto (filed as Exhibit 10.2 to the Registrant’s Current Report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Form 8-K filed with the SEC on July 8, 2025 (SEC File No. 001-34951) and incorporated by reference herein).</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740" w:type="dxa"/>
            <w:vAlign w:val="bottom"/>
            <w:gridSpan w:val="3"/>
            <w:shd w:val="clear" w:color="auto" w:fill="0000EE"/>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Exchange Act Rules 13a-14(a)/15d-14(a), as adopted pursuant to Section 302 of the</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 (filed herewith).</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880" w:type="dxa"/>
            <w:vAlign w:val="bottom"/>
            <w:gridSpan w:val="7"/>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Exchange Act Rules 13a-14(a)/15d-14(a), as adopted pursuant to Section 302 of the</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 (filed herewith).</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880" w:type="dxa"/>
            <w:vAlign w:val="bottom"/>
            <w:gridSpan w:val="7"/>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 Act</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of 2002 (furnished herewith).</w:t>
            </w:r>
          </w:p>
        </w:tc>
        <w:tc>
          <w:tcPr>
            <w:tcW w:w="8020" w:type="dxa"/>
            <w:vAlign w:val="bottom"/>
            <w:gridSpan w:val="9"/>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 Act</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of 2002 (furnished herewith).</w:t>
            </w:r>
          </w:p>
        </w:tc>
        <w:tc>
          <w:tcPr>
            <w:tcW w:w="8020" w:type="dxa"/>
            <w:vAlign w:val="bottom"/>
            <w:gridSpan w:val="9"/>
          </w:tcPr>
          <w:p>
            <w:pPr>
              <w:spacing w:after="0"/>
              <w:rPr>
                <w:sz w:val="17"/>
                <w:szCs w:val="17"/>
                <w:color w:val="auto"/>
              </w:rPr>
            </w:pPr>
          </w:p>
        </w:tc>
      </w:tr>
    </w:tbl>
    <w:p>
      <w:pPr>
        <w:spacing w:after="0" w:line="225" w:lineRule="exact"/>
        <w:rPr>
          <w:sz w:val="20"/>
          <w:szCs w:val="20"/>
          <w:color w:val="auto"/>
        </w:rPr>
      </w:pPr>
    </w:p>
    <w:p>
      <w:pPr>
        <w:jc w:val="both"/>
        <w:ind w:left="1100" w:hanging="1092"/>
        <w:spacing w:after="0" w:line="261" w:lineRule="auto"/>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Xtant’s Quarterly Report on Form 10-Q for the fiscal quarter ended September 30, 2025, formatted in Inline XBRL (Extensible Business Reporting Language): (i) the unaudited Condensed Consolidated Balance Sheets, (ii) the unaudited Condensed Consolidated Statements of Operations, (iii) the unaudited Condensed Consolidated Statements of Equity, (iv) the unaudited Condensed Consolidated Statements of Cash Flows, and (v) Notes to Condensed Consolidated Financial Statements (filed herewith).</w:t>
      </w:r>
    </w:p>
    <w:p>
      <w:pPr>
        <w:spacing w:after="0" w:line="18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ind w:left="1100" w:hanging="1092"/>
        <w:spacing w:after="0" w:line="282" w:lineRule="auto"/>
        <w:tabs>
          <w:tab w:leader="none" w:pos="11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exhibits and schedules to this exhibit have been omitted pursuant to Item 601(b)(2) of Regulation S-K. The Registrant will furnish the omitted exhibits and schedules to the SEC upon request by the SEC.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Sean E. Browne</w:t>
            </w:r>
          </w:p>
        </w:tc>
      </w:tr>
      <w:tr>
        <w:trPr>
          <w:trHeight w:val="191"/>
        </w:trPr>
        <w:tc>
          <w:tcPr>
            <w:tcW w:w="3700" w:type="dxa"/>
            <w:vAlign w:val="bottom"/>
          </w:tcPr>
          <w:p>
            <w:pPr>
              <w:spacing w:after="0"/>
              <w:rPr>
                <w:sz w:val="16"/>
                <w:szCs w:val="16"/>
                <w:color w:val="auto"/>
              </w:rPr>
            </w:pPr>
          </w:p>
        </w:tc>
        <w:tc>
          <w:tcPr>
            <w:tcW w:w="25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Sean E. Browne</w:t>
            </w:r>
          </w:p>
        </w:tc>
      </w:tr>
      <w:tr>
        <w:trPr>
          <w:trHeight w:val="216"/>
        </w:trPr>
        <w:tc>
          <w:tcPr>
            <w:tcW w:w="3700" w:type="dxa"/>
            <w:vAlign w:val="bottom"/>
          </w:tcPr>
          <w:p>
            <w:pPr>
              <w:spacing w:after="0"/>
              <w:rPr>
                <w:sz w:val="18"/>
                <w:szCs w:val="18"/>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C. Neils</w:t>
            </w:r>
          </w:p>
        </w:tc>
      </w:tr>
      <w:tr>
        <w:trPr>
          <w:trHeight w:val="191"/>
        </w:trPr>
        <w:tc>
          <w:tcPr>
            <w:tcW w:w="3700" w:type="dxa"/>
            <w:vAlign w:val="bottom"/>
          </w:tcPr>
          <w:p>
            <w:pPr>
              <w:spacing w:after="0"/>
              <w:rPr>
                <w:sz w:val="16"/>
                <w:szCs w:val="16"/>
                <w:color w:val="auto"/>
              </w:rPr>
            </w:pPr>
          </w:p>
        </w:tc>
        <w:tc>
          <w:tcPr>
            <w:tcW w:w="25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C. Neils</w:t>
            </w:r>
          </w:p>
        </w:tc>
      </w:tr>
      <w:tr>
        <w:trPr>
          <w:trHeight w:val="216"/>
        </w:trPr>
        <w:tc>
          <w:tcPr>
            <w:tcW w:w="3700" w:type="dxa"/>
            <w:vAlign w:val="bottom"/>
          </w:tcPr>
          <w:p>
            <w:pPr>
              <w:spacing w:after="0"/>
              <w:rPr>
                <w:sz w:val="18"/>
                <w:szCs w:val="18"/>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2"/>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31</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8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EXCHANGE ACT RULES 13a-14(a)/15d-14(a),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E. Browne,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Xtant Medical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Sean E. Browne</w:t>
            </w:r>
          </w:p>
        </w:tc>
      </w:tr>
      <w:tr>
        <w:trPr>
          <w:trHeight w:val="191"/>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E. Browne</w:t>
            </w:r>
          </w:p>
        </w:tc>
      </w:tr>
      <w:tr>
        <w:trPr>
          <w:trHeight w:val="216"/>
        </w:trPr>
        <w:tc>
          <w:tcPr>
            <w:tcW w:w="3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8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EXCHANGE ACT RULES 13a-14(a)/15d-14(a),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C. Neils,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Xtant Medical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Scott C. Neils</w:t>
            </w:r>
          </w:p>
        </w:tc>
      </w:tr>
      <w:tr>
        <w:trPr>
          <w:trHeight w:val="191"/>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C. Neils</w:t>
            </w:r>
          </w:p>
        </w:tc>
      </w:tr>
      <w:tr>
        <w:trPr>
          <w:trHeight w:val="216"/>
        </w:trPr>
        <w:tc>
          <w:tcPr>
            <w:tcW w:w="3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3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8" w:name="page39"/>
    <w:bookmarkEnd w:id="38"/>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ind w:left="340" w:right="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 AS ADOPTED PURSUANT TO SECTION 906 OF THE SARBANES-OXLEY ACT OF 2002</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quarterly period ended September 30, 2025 of Xtant Medical Holdings, Inc. (the “Company”), as filed with the Securities and Exchange Commission on the date hereof (the “Report”), I, Sean E. Browne,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November 10,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Sean E. Browne</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Sean E. Browne</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9" w:name="page40"/>
    <w:bookmarkEnd w:id="39"/>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ind w:left="340" w:right="8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 AS ADOPTED PURSUANT TO SECTION 906 OF THE SARBANES-OXLEY ACT OF 2002</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quarterly period ended September 30, 2025 of Xtant Medical Holdings, Inc. (the “Company”), as filed with the Securities and Exchange Commission on the date hereof (the “Report”), I, Scott C. Neils, Chief Financial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November 10,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C. Neils</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C. Neils</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6"/>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0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42" Type="http://schemas.openxmlformats.org/officeDocument/2006/relationships/hyperlink" Target="https://www.sec.gov/Archives/edgar/data/1453593/000164117225018092/ex2-1.htm" TargetMode="External"/><Relationship Id="rId43" Type="http://schemas.openxmlformats.org/officeDocument/2006/relationships/hyperlink" Target="https://www.sec.gov/Archives/edgar/data/1453593/000164117225018092/ex2-2.htm" TargetMode="External"/><Relationship Id="rId44" Type="http://schemas.openxmlformats.org/officeDocument/2006/relationships/hyperlink" Target="https://www.sec.gov/Archives/edgar/data/1453593/000149315223041077/ex3-1.htm" TargetMode="External"/><Relationship Id="rId45" Type="http://schemas.openxmlformats.org/officeDocument/2006/relationships/hyperlink" Target="https://www.sec.gov/Archives/edgar/data/1453593/000149315223018330/ex3-1.htm" TargetMode="External"/><Relationship Id="rId46" Type="http://schemas.openxmlformats.org/officeDocument/2006/relationships/hyperlink" Target="https://www.sec.gov/Archives/edgar/data/1453593/000164117225018092/ex10-1.htm" TargetMode="External"/><Relationship Id="rId47" Type="http://schemas.openxmlformats.org/officeDocument/2006/relationships/hyperlink" Target="https://www.sec.gov/Archives/edgar/data/1453593/000164117225018092/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2025-11-10T15:25:02Z</dcterms:created>
  <dcterms:modified xsi:type="dcterms:W3CDTF">2025-11-10T15:25:02Z</dcterms:modified>
</cp:coreProperties>
</file>