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Beeson Jonn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XTANT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1051"/>
        <w:gridCol w:w="439"/>
        <w:gridCol w:w="602"/>
        <w:gridCol w:w="1260"/>
        <w:gridCol w:w="979"/>
        <w:gridCol w:w="103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215,517</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733,136</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1,015,272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Platinum Legacy Trust, dated February 24, 2017, Jonn R. Beeson,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subject to a deferred stock unit (DSU) award granted under the Xtant Medical Holdings, Inc. Amended and Restated 2023 Equity Incentive Plan and will vest on August 15, 2027, conditioned upon the Reporting Person remaining a director of Xtant through the vesting date. The settlement of the vested shares underlying the DSU award has been deferred and will occur at a later date pursuant to the terms of the DSU award agreement. Each DSU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681,087 shares issuable upon settlement of DSUs granted under the Xtant Medial Holdings, Inc. Amended and Restated 2023 Equity Incentive Plan, conditioned upon the Reporting Person remaining a director of Xtant through the respective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134"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3835</Characters>
  <CharactersWithSpaces>4473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