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UNITED STATES</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36"/>
        </w:rPr>
      </w:pPr>
      <w:r>
        <w:rPr>
          <w:rFonts w:ascii="Times New Roman;Times;Serif" w:hAnsi="Times New Roman;Times;Serif"/>
          <w:b/>
          <w:i w:val="false"/>
          <w:caps/>
          <w:sz w:val="36"/>
        </w:rPr>
        <w:t xml:space="preserve">FORM </w:t>
      </w:r>
      <w:bookmarkStart w:id="2" w:name="xdx_903_edei--DocumentType_c20260101__20"/>
      <w:bookmarkEnd w:id="2"/>
      <w:r>
        <w:rPr>
          <w:rFonts w:ascii="Times New Roman;Times;Serif" w:hAnsi="Times New Roman;Times;Serif"/>
          <w:b/>
          <w:i w:val="false"/>
          <w:caps/>
          <w:sz w:val="36"/>
        </w:rPr>
        <w:t>10-Q</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2160" w:right="0" w:hanging="2160"/>
        <w:jc w:val="left"/>
        <w:rPr>
          <w:caps w:val="false"/>
          <w:smallCaps w:val="false"/>
        </w:rPr>
      </w:pPr>
      <w:bookmarkStart w:id="3" w:name="xdx_906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C_edei--DocumentPeriodEndDate_c202"/>
      <w:bookmarkEnd w:id="4"/>
      <w:r>
        <w:rPr>
          <w:rFonts w:ascii="Times New Roman;Times;Serif" w:hAnsi="Times New Roman;Times;Serif"/>
          <w:b/>
          <w:i w:val="false"/>
          <w:caps w:val="false"/>
          <w:smallCaps w:val="false"/>
          <w:sz w:val="20"/>
        </w:rPr>
        <w:t xml:space="preserve">June 30, </w:t>
      </w:r>
      <w:bookmarkStart w:id="5" w:name="xdx_903_edei--DocumentFiscalYearFocus_c2"/>
      <w:bookmarkEnd w:id="5"/>
      <w:r>
        <w:rPr>
          <w:rFonts w:ascii="Times New Roman;Times;Serif" w:hAnsi="Times New Roman;Times;Serif"/>
          <w:b/>
          <w:i w:val="false"/>
          <w:caps w:val="false"/>
          <w:smallCaps w:val="false"/>
          <w:sz w:val="20"/>
        </w:rPr>
        <w:t>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2160" w:right="0" w:hanging="2160"/>
        <w:jc w:val="left"/>
        <w:rPr>
          <w:caps w:val="false"/>
          <w:smallCaps w:val="false"/>
        </w:rPr>
      </w:pPr>
      <w:bookmarkStart w:id="6" w:name="xdx_90A_edei--DocumentTransitionReport_c"/>
      <w:bookmarkEnd w:id="6"/>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2160" w:right="0" w:hanging="2160"/>
        <w:jc w:val="left"/>
        <w:rPr>
          <w:caps w:val="false"/>
          <w:smallCaps w:val="false"/>
        </w:rPr>
      </w:pPr>
      <w:r>
        <w:rPr>
          <w:caps w:val="false"/>
          <w:smallCaps w:val="false"/>
        </w:rPr>
        <w:t> </w:t>
      </w:r>
    </w:p>
    <w:p>
      <w:pPr>
        <w:pStyle w:val="TextBody"/>
        <w:bidi w:val="0"/>
        <w:spacing w:before="0" w:after="0"/>
        <w:ind w:left="2160" w:right="0" w:hanging="216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________________ to 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C_edei--EntityFileNumber_c20260101"/>
      <w:bookmarkEnd w:id="7"/>
      <w:r>
        <w:rPr>
          <w:rFonts w:ascii="Times New Roman;Times;Serif" w:hAnsi="Times New Roman;Times;Serif"/>
          <w:b/>
          <w:i w:val="false"/>
          <w:caps w:val="false"/>
          <w:smallCaps w:val="false"/>
          <w:sz w:val="20"/>
        </w:rPr>
        <w:t>001-34951</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36"/>
        </w:rPr>
      </w:pPr>
      <w:bookmarkStart w:id="8" w:name="xdx_900_edei--EntityRegistrantName_c2026"/>
      <w:bookmarkEnd w:id="8"/>
      <w:r>
        <w:rPr>
          <w:rFonts w:ascii="Times New Roman;Times;Serif" w:hAnsi="Times New Roman;Times;Serif"/>
          <w:b/>
          <w:i w:val="false"/>
          <w:caps/>
          <w:sz w:val="36"/>
        </w:rPr>
        <w:t>XTANT MEDICAL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855" w:type="dxa"/>
        <w:jc w:val="left"/>
        <w:tblInd w:w="0" w:type="dxa"/>
        <w:tblLayout w:type="fixed"/>
        <w:tblCellMar>
          <w:top w:w="0" w:type="dxa"/>
          <w:left w:w="0" w:type="dxa"/>
          <w:bottom w:w="28" w:type="dxa"/>
          <w:right w:w="0" w:type="dxa"/>
        </w:tblCellMar>
      </w:tblPr>
      <w:tblGrid>
        <w:gridCol w:w="4880"/>
        <w:gridCol w:w="60"/>
        <w:gridCol w:w="2915"/>
      </w:tblGrid>
      <w:tr>
        <w:trPr/>
        <w:tc>
          <w:tcPr>
            <w:tcW w:w="488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1_edei--EntityIncorporationStateCo"/>
            <w:bookmarkEnd w:id="9"/>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E_edei--EntityTaxIdentificationNum"/>
            <w:bookmarkEnd w:id="10"/>
            <w:r>
              <w:rPr>
                <w:rFonts w:ascii="Times New Roman;Times;Serif" w:hAnsi="Times New Roman;Times;Serif"/>
                <w:b/>
                <w:i w:val="false"/>
                <w:caps w:val="false"/>
                <w:smallCaps w:val="false"/>
                <w:sz w:val="20"/>
              </w:rPr>
              <w:t xml:space="preserve">20-5313323 </w:t>
            </w:r>
          </w:p>
        </w:tc>
      </w:tr>
      <w:tr>
        <w:trPr/>
        <w:tc>
          <w:tcPr>
            <w:tcW w:w="48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29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xdx_907_edei--EntityAddressAddressLine1_"/>
      <w:bookmarkEnd w:id="11"/>
      <w:r>
        <w:rPr>
          <w:rFonts w:ascii="Times New Roman;Times;Serif" w:hAnsi="Times New Roman;Times;Serif"/>
          <w:b/>
          <w:i w:val="false"/>
          <w:caps w:val="false"/>
          <w:smallCaps w:val="false"/>
          <w:sz w:val="20"/>
        </w:rPr>
        <w:t>664 Cruiser Lane</w:t>
      </w:r>
    </w:p>
    <w:p>
      <w:pPr>
        <w:pStyle w:val="TextBody"/>
        <w:bidi w:val="0"/>
        <w:spacing w:before="0" w:after="0"/>
        <w:jc w:val="center"/>
        <w:rPr>
          <w:rFonts w:ascii="Times New Roman;Times;Serif" w:hAnsi="Times New Roman;Times;Serif"/>
          <w:b/>
          <w:i w:val="false"/>
          <w:caps w:val="false"/>
          <w:smallCaps w:val="false"/>
          <w:sz w:val="20"/>
        </w:rPr>
      </w:pPr>
      <w:bookmarkStart w:id="12" w:name="xdx_90F_edei--EntityAddressCityOrTown_c2"/>
      <w:bookmarkEnd w:id="12"/>
      <w:r>
        <w:rPr>
          <w:rFonts w:ascii="Times New Roman;Times;Serif" w:hAnsi="Times New Roman;Times;Serif"/>
          <w:b/>
          <w:i w:val="false"/>
          <w:caps w:val="false"/>
          <w:smallCaps w:val="false"/>
          <w:sz w:val="20"/>
        </w:rPr>
        <w:t xml:space="preserve">Belgrade, </w:t>
      </w:r>
      <w:bookmarkStart w:id="13" w:name="xdx_90B_edei--EntityAddressStateOrProvin"/>
      <w:bookmarkEnd w:id="13"/>
      <w:r>
        <w:rPr>
          <w:rFonts w:ascii="Times New Roman;Times;Serif" w:hAnsi="Times New Roman;Times;Serif"/>
          <w:b/>
          <w:i w:val="false"/>
          <w:caps w:val="false"/>
          <w:smallCaps w:val="false"/>
          <w:sz w:val="20"/>
        </w:rPr>
        <w:t xml:space="preserve">Montana </w:t>
      </w:r>
      <w:bookmarkStart w:id="14" w:name="xdx_90A_edei--EntityAddressPostalZipCode"/>
      <w:bookmarkEnd w:id="14"/>
      <w:r>
        <w:rPr>
          <w:rFonts w:ascii="Times New Roman;Times;Serif" w:hAnsi="Times New Roman;Times;Serif"/>
          <w:b/>
          <w:i w:val="false"/>
          <w:caps w:val="false"/>
          <w:smallCaps w:val="false"/>
          <w:sz w:val="20"/>
        </w:rPr>
        <w:t>59714</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5" w:name="xdx_90E_edei--CityAreaCode_c20260101__20"/>
      <w:bookmarkEnd w:id="15"/>
      <w:r>
        <w:rPr>
          <w:rFonts w:ascii="Times New Roman;Times;Serif" w:hAnsi="Times New Roman;Times;Serif"/>
          <w:b/>
          <w:i w:val="false"/>
          <w:caps w:val="false"/>
          <w:smallCaps w:val="false"/>
          <w:sz w:val="20"/>
        </w:rPr>
        <w:t xml:space="preserve">(406) </w:t>
      </w:r>
      <w:bookmarkStart w:id="16" w:name="xdx_906_edei--LocalPhoneNumber_c20260101"/>
      <w:bookmarkEnd w:id="16"/>
      <w:r>
        <w:rPr>
          <w:rFonts w:ascii="Times New Roman;Times;Serif" w:hAnsi="Times New Roman;Times;Serif"/>
          <w:b/>
          <w:i w:val="false"/>
          <w:caps w:val="false"/>
          <w:smallCaps w:val="false"/>
          <w:sz w:val="20"/>
        </w:rPr>
        <w:t>388-0480</w:t>
        <w:br/>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28" w:type="dxa"/>
          <w:right w:w="0" w:type="dxa"/>
        </w:tblCellMar>
      </w:tblPr>
      <w:tblGrid>
        <w:gridCol w:w="3800"/>
        <w:gridCol w:w="60"/>
        <w:gridCol w:w="1535"/>
        <w:gridCol w:w="60"/>
        <w:gridCol w:w="3590"/>
      </w:tblGrid>
      <w:tr>
        <w:trPr/>
        <w:tc>
          <w:tcPr>
            <w:tcW w:w="38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8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7" w:name="xdx_905_edei--Security12bTitle_c20260101"/>
            <w:bookmarkEnd w:id="17"/>
            <w:r>
              <w:rPr>
                <w:rFonts w:ascii="Times New Roman;Times;Serif" w:hAnsi="Times New Roman;Times;Serif"/>
                <w:b w:val="false"/>
                <w:i w:val="false"/>
                <w:caps w:val="false"/>
                <w:smallCaps w:val="false"/>
                <w:sz w:val="20"/>
              </w:rPr>
              <w:t>Common stock, par value $0.000001 per share</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4_edei--TradingSymbol_c20260101__2"/>
            <w:bookmarkEnd w:id="18"/>
            <w:r>
              <w:rPr>
                <w:rFonts w:ascii="Times New Roman;Times;Serif" w:hAnsi="Times New Roman;Times;Serif"/>
                <w:b w:val="false"/>
                <w:i w:val="false"/>
                <w:caps w:val="false"/>
                <w:smallCaps w:val="false"/>
                <w:sz w:val="20"/>
              </w:rPr>
              <w:t>XTNT</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B_edei--SecurityExchangeName_c2026"/>
            <w:bookmarkEnd w:id="19"/>
            <w:r>
              <w:rPr>
                <w:rFonts w:ascii="Times New Roman;Times;Serif" w:hAnsi="Times New Roman;Times;Serif"/>
                <w:b w:val="false"/>
                <w:i w:val="false"/>
                <w:caps w:val="false"/>
                <w:smallCaps w:val="false"/>
                <w:sz w:val="20"/>
              </w:rPr>
              <w:t>NYSE American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0" w:name="xdx_907_edei--EntityCurrentReportingStat"/>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21" w:name="xdx_902_edei--EntityInteractiveDataCurre"/>
      <w:bookmarkEnd w:id="21"/>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36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2060"/>
        <w:gridCol w:w="2465"/>
      </w:tblGrid>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22" w:name="xdx_905_edei--EntityFilerCategory_c20260"/>
            <w:bookmarkEnd w:id="22"/>
            <w:r>
              <w:rPr>
                <w:rFonts w:ascii="Times New Roman;Times;Serif" w:hAnsi="Times New Roman;Times;Serif"/>
                <w:b w:val="false"/>
                <w:i w:val="false"/>
                <w:caps w:val="false"/>
                <w:smallCaps w:val="false"/>
                <w:sz w:val="20"/>
              </w:rPr>
              <w:t>Non-accelerated filer ☒</w:t>
            </w:r>
          </w:p>
        </w:tc>
        <w:tc>
          <w:tcPr>
            <w:tcW w:w="24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3" w:name="xdx_906_edei--EntitySmallBusiness_c20260"/>
            <w:bookmarkEnd w:id="23"/>
            <w:r>
              <w:rPr>
                <w:rFonts w:ascii="Times New Roman;Times;Serif" w:hAnsi="Times New Roman;Times;Serif"/>
                <w:b w:val="false"/>
                <w:i w:val="false"/>
                <w:caps w:val="false"/>
                <w:smallCaps w:val="false"/>
                <w:sz w:val="20"/>
              </w:rPr>
              <w: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B_edei--EntityEmergingGrowthCompan"/>
            <w:bookmarkEnd w:id="24"/>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 No </w:t>
      </w:r>
      <w:bookmarkStart w:id="25" w:name="xdx_90F_edei--EntityShellCompany_dbF_c20"/>
      <w:bookmarkEnd w:id="25"/>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7, 2026, there were </w:t>
      </w:r>
      <w:bookmarkStart w:id="26" w:name="xdx_909_edei--EntityCommonStockSharesOut"/>
      <w:bookmarkEnd w:id="26"/>
      <w:r>
        <w:rPr>
          <w:rFonts w:ascii="Times New Roman;Times;Serif" w:hAnsi="Times New Roman;Times;Serif"/>
          <w:b w:val="false"/>
          <w:i w:val="false"/>
          <w:caps w:val="false"/>
          <w:smallCaps w:val="false"/>
          <w:sz w:val="20"/>
        </w:rPr>
        <w:t>140,287,960 shares of common stock of the registrant outstanding.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23"/>
        <w:gridCol w:w="8926"/>
        <w:gridCol w:w="456"/>
      </w:tblGrid>
      <w:tr>
        <w:trPr/>
        <w:tc>
          <w:tcPr>
            <w:tcW w:w="974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49" w:type="dxa"/>
            <w:gridSpan w:val="2"/>
            <w:tcBorders/>
            <w:shd w:fill="CCEEFF" w:val="clear"/>
            <w:vAlign w:val="center"/>
          </w:tcPr>
          <w:p>
            <w:pPr>
              <w:pStyle w:val="TableContents"/>
              <w:bidi w:val="0"/>
              <w:spacing w:before="0" w:after="283"/>
              <w:jc w:val="left"/>
              <w:rPr/>
            </w:pPr>
            <w:hyperlink w:anchor="DA_001">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8926" w:type="dxa"/>
            <w:tcBorders/>
            <w:shd w:fill="FFFFFF" w:val="clear"/>
            <w:vAlign w:val="center"/>
          </w:tcPr>
          <w:p>
            <w:pPr>
              <w:pStyle w:val="TableContents"/>
              <w:bidi w:val="0"/>
              <w:spacing w:before="0" w:after="283"/>
              <w:jc w:val="left"/>
              <w:rPr/>
            </w:pPr>
            <w:hyperlink w:anchor="DA_002">
              <w:r>
                <w:rPr>
                  <w:rStyle w:val="InternetLink"/>
                  <w:rFonts w:ascii="Times New Roman;Times;Serif" w:hAnsi="Times New Roman;Times;Serif"/>
                  <w:b w:val="false"/>
                  <w:i w:val="false"/>
                  <w:caps w:val="false"/>
                  <w:smallCaps w:val="false"/>
                  <w:sz w:val="20"/>
                </w:rPr>
                <w:t>FINANCIAL INFORMATION</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26" w:type="dxa"/>
            <w:tcBorders/>
            <w:shd w:fill="CCEEFF" w:val="clear"/>
            <w:vAlign w:val="center"/>
          </w:tcPr>
          <w:p>
            <w:pPr>
              <w:pStyle w:val="TableContents"/>
              <w:bidi w:val="0"/>
              <w:spacing w:before="0" w:after="283"/>
              <w:jc w:val="left"/>
              <w:rPr/>
            </w:pPr>
            <w:hyperlink w:anchor="DA_003">
              <w:r>
                <w:rPr>
                  <w:rStyle w:val="InternetLink"/>
                  <w:rFonts w:ascii="Times New Roman;Times;Serif" w:hAnsi="Times New Roman;Times;Serif"/>
                  <w:b w:val="false"/>
                  <w:i w:val="false"/>
                  <w:caps w:val="false"/>
                  <w:smallCaps w:val="false"/>
                  <w:sz w:val="20"/>
                </w:rPr>
                <w:t>FINANCIAL STATEMENTS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26" w:type="dxa"/>
            <w:tcBorders/>
            <w:shd w:fill="FFFFFF" w:val="clear"/>
            <w:vAlign w:val="center"/>
          </w:tcPr>
          <w:p>
            <w:pPr>
              <w:pStyle w:val="TableContents"/>
              <w:bidi w:val="0"/>
              <w:spacing w:before="0" w:after="283"/>
              <w:jc w:val="both"/>
              <w:rPr/>
            </w:pPr>
            <w:hyperlink w:anchor="DA_004">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26" w:type="dxa"/>
            <w:tcBorders/>
            <w:shd w:fill="CCEEFF" w:val="clear"/>
            <w:vAlign w:val="center"/>
          </w:tcPr>
          <w:p>
            <w:pPr>
              <w:pStyle w:val="TableContents"/>
              <w:bidi w:val="0"/>
              <w:spacing w:before="0" w:after="283"/>
              <w:jc w:val="left"/>
              <w:rPr/>
            </w:pPr>
            <w:hyperlink w:anchor="DA_005">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26" w:type="dxa"/>
            <w:tcBorders/>
            <w:shd w:fill="FFFFFF" w:val="clear"/>
            <w:vAlign w:val="center"/>
          </w:tcPr>
          <w:p>
            <w:pPr>
              <w:pStyle w:val="TableContents"/>
              <w:bidi w:val="0"/>
              <w:spacing w:before="0" w:after="283"/>
              <w:jc w:val="left"/>
              <w:rPr/>
            </w:pPr>
            <w:hyperlink w:anchor="DA_006">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8926" w:type="dxa"/>
            <w:tcBorders/>
            <w:shd w:fill="CCEEFF" w:val="clear"/>
            <w:vAlign w:val="center"/>
          </w:tcPr>
          <w:p>
            <w:pPr>
              <w:pStyle w:val="TableContents"/>
              <w:bidi w:val="0"/>
              <w:spacing w:before="0" w:after="283"/>
              <w:jc w:val="left"/>
              <w:rPr/>
            </w:pPr>
            <w:hyperlink w:anchor="DA_007">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26" w:type="dxa"/>
            <w:tcBorders/>
            <w:shd w:fill="FFFFFF" w:val="clear"/>
            <w:vAlign w:val="center"/>
          </w:tcPr>
          <w:p>
            <w:pPr>
              <w:pStyle w:val="TableContents"/>
              <w:bidi w:val="0"/>
              <w:spacing w:before="0" w:after="283"/>
              <w:jc w:val="left"/>
              <w:rPr/>
            </w:pPr>
            <w:hyperlink w:anchor="DA_008">
              <w:r>
                <w:rPr>
                  <w:rStyle w:val="InternetLink"/>
                  <w:rFonts w:ascii="Times New Roman;Times;Serif" w:hAnsi="Times New Roman;Times;Serif"/>
                  <w:b w:val="false"/>
                  <w:i w:val="false"/>
                  <w:caps w:val="false"/>
                  <w:smallCaps w:val="false"/>
                  <w:sz w:val="20"/>
                </w:rPr>
                <w:t>LEGAL PROCEEDINGS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26" w:type="dxa"/>
            <w:tcBorders/>
            <w:shd w:fill="CCEEFF" w:val="clear"/>
            <w:vAlign w:val="center"/>
          </w:tcPr>
          <w:p>
            <w:pPr>
              <w:pStyle w:val="TableContents"/>
              <w:bidi w:val="0"/>
              <w:spacing w:before="0" w:after="283"/>
              <w:jc w:val="left"/>
              <w:rPr/>
            </w:pPr>
            <w:hyperlink w:anchor="DA_009">
              <w:r>
                <w:rPr>
                  <w:rStyle w:val="InternetLink"/>
                  <w:rFonts w:ascii="Times New Roman;Times;Serif" w:hAnsi="Times New Roman;Times;Serif"/>
                  <w:b w:val="false"/>
                  <w:i w:val="false"/>
                  <w:caps w:val="false"/>
                  <w:smallCaps w:val="false"/>
                  <w:sz w:val="20"/>
                </w:rPr>
                <w:t>RISK FACTORS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26" w:type="dxa"/>
            <w:tcBorders/>
            <w:shd w:fill="FFFFFF" w:val="clear"/>
            <w:vAlign w:val="center"/>
          </w:tcPr>
          <w:p>
            <w:pPr>
              <w:pStyle w:val="TableContents"/>
              <w:bidi w:val="0"/>
              <w:spacing w:before="0" w:after="283"/>
              <w:jc w:val="left"/>
              <w:rPr/>
            </w:pPr>
            <w:hyperlink w:anchor="DA_010">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26" w:type="dxa"/>
            <w:tcBorders/>
            <w:shd w:fill="CCEEFF" w:val="clear"/>
            <w:vAlign w:val="center"/>
          </w:tcPr>
          <w:p>
            <w:pPr>
              <w:pStyle w:val="TableContents"/>
              <w:bidi w:val="0"/>
              <w:spacing w:before="0" w:after="283"/>
              <w:jc w:val="left"/>
              <w:rPr/>
            </w:pPr>
            <w:hyperlink w:anchor="DA_011">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26" w:type="dxa"/>
            <w:tcBorders/>
            <w:shd w:fill="FFFFFF" w:val="clear"/>
            <w:vAlign w:val="center"/>
          </w:tcPr>
          <w:p>
            <w:pPr>
              <w:pStyle w:val="TableContents"/>
              <w:bidi w:val="0"/>
              <w:spacing w:before="0" w:after="283"/>
              <w:jc w:val="left"/>
              <w:rPr/>
            </w:pPr>
            <w:hyperlink w:anchor="DA_012">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26" w:type="dxa"/>
            <w:tcBorders/>
            <w:shd w:fill="CCEEFF" w:val="clear"/>
            <w:vAlign w:val="center"/>
          </w:tcPr>
          <w:p>
            <w:pPr>
              <w:pStyle w:val="TableContents"/>
              <w:bidi w:val="0"/>
              <w:spacing w:before="0" w:after="283"/>
              <w:jc w:val="left"/>
              <w:rPr/>
            </w:pPr>
            <w:hyperlink w:anchor="DA_013">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26" w:type="dxa"/>
            <w:tcBorders/>
            <w:shd w:fill="FFFFFF" w:val="clear"/>
            <w:vAlign w:val="center"/>
          </w:tcPr>
          <w:p>
            <w:pPr>
              <w:pStyle w:val="TableContents"/>
              <w:bidi w:val="0"/>
              <w:spacing w:before="0" w:after="283"/>
              <w:jc w:val="left"/>
              <w:rPr/>
            </w:pPr>
            <w:hyperlink w:anchor="DA_014">
              <w:r>
                <w:rPr>
                  <w:rStyle w:val="InternetLink"/>
                  <w:rFonts w:ascii="Times New Roman;Times;Serif" w:hAnsi="Times New Roman;Times;Serif"/>
                  <w:b w:val="false"/>
                  <w:i w:val="false"/>
                  <w:caps w:val="false"/>
                  <w:smallCaps w:val="false"/>
                  <w:sz w:val="20"/>
                </w:rPr>
                <w:t>EXHIBITS</w:t>
              </w:r>
            </w:hyperlink>
          </w:p>
        </w:tc>
        <w:tc>
          <w:tcPr>
            <w:tcW w:w="45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Quarterly Report on Form 10-Q contains certain forward-looking statements within the meaning of Section 27A of the Securities Act of 1933, as amended, and Section 21E of the Securities Exchange Act of 1934, as amended, and are subject to the safe harbor created by those sections. For more information, see “Cautionary Statement Regarding Forward-Looking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 used in this report, unless the context indicates another meaning, the terms “we,” “us,” “our,” “Xtant,” “Xtant Medical,” and the “Company” mean Xtant Medical Holdings, Inc. and its wholly owned subsidiaries, all of which are consolidated on Xtant’s condensed consolidated financial statements. All intercompany balances and transactions have been eliminated in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own various unregistered trademarks and service marks, including our corporate logo. Solely for convenience, the trademarks and trade names in this report are referred to without the ® and ™ symbols, but such references should not be construed as any indicator that the owner of such trademarks and trade names will not assert, to the fullest extent under applicable law, their rights thereto. We do not intend the use or display of other companies’ trademarks and trade names to imply a relationship with, or endorsement or sponsorship of us by, any other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 include our website address throughout this report for reference only. The information contained on or connected to our website is not incorporated by reference into this report.</w:t>
      </w:r>
    </w:p>
    <w:p>
      <w:pPr>
        <w:pStyle w:val="TextBody"/>
        <w:bidi w:val="0"/>
        <w:spacing w:before="0" w:after="0"/>
        <w:ind w:left="0" w:right="0" w:hanging="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DA_001"/>
      <w:bookmarkEnd w:id="27"/>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contained in this Quarterly Report on Form 10-Q that are not purely historical are forward-looking statements within the meaning of the Private Securities Litigation Reform Act of 1995. Our forward-looking statements include, but are not limited to, statements regarding our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“possible,” “potential,” “predict,” “project,” “should,” and “would,” as well as similar expressions, may identify forward-looking statements, but the absence of these words does not mean that a statement is not forward looking. Forward-looking statements in this Form 10-Q may include, for example, statements about the topics below and are subject to risks and uncertainties including, without limitation, those described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increase revenue and improve our gross margins, our operating expenses as a percentage of revenue, and obtain and sustain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strategic priorities and become operationally self-sustaining by controlling our supply chain and becoming less reliant on production and manufacturing of our products outside of our control, which we believe will allow us to be a larger and more diverse producer of biologics;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and success in implementing key growth and process improvement initiatives designed to increase our production capacity, revenue, and scale and risks associated with such growth and process improvement initiatives;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associated with strategic transactions, including our exclusive distribution agreement with Dilon Technologies, Inc. (“Dilon”), the sale of certain assets relating to our Coflex and CoFix products and our international hardware business to Companion Spine, LLC (“Companion Spine”), and prior acquisitions;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sell successfully the HEMOBLAST® Bellows product that we distribute on an exclusive basis and the effect of this arrangement, including our hiring of approximately 20 additional sales personnel in connection therewith and future possible cross-selling opportunities, on our business, operating results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global economic and geopolitical conditions, including economic uncertainty and a possible future recession, tariffs, inflation, rising interest rates, and supply chain disruptions on our business, operating results and financial position, which, among other effects, could result in delayed product launches, lost revenue, higher costs, decreased profit margins, and other adverse effects on our business and operating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dependence on and ability to retain and recruit qualified sales personnel, independent sales agents and distributors and motivate and incentivize them to engage with customers and sell our products, including in particular, our dependence on the sales personnel we recently hired in connection with our exclusive distribution agreement with Dilon and key independent agents, which account for a significant portion of our revenue;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sales personnel, independent sales agents and distributors to achieve expected results, including leveraging our additional sales personnel to sell other Xtant products, and the potential adverse effects on our business and operating results if anticipated sales are not achieved, including the possibility of future inventory impairment, restructuring, and other charges;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innovate, develop, introduce, market and license new products and technologies and the success of such new products and technologies, including the HEMOBLAST® Bellows product that we recently began distributing on an exclusive basis; our recently launched nanOss Strata™, an advanced synthetic bone graft designed to closely resemble natural bone; CollagenX™, a bovine collagen particulate product for surgical wound closure; OsteoFactor Pro™, an allogenic growth factor solution; and Trivium™, a next-generation demineralized bone matrix;</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our private label and original equipment manufacturer (“OEM”) business on our business and operating results and risks associated therewith, including fluctuations in our operating results and decreased profit margins, and the possibility that we may become more active in the OEM business;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and expand our agreements with group purchasing organizations (“GPOs”) and integrated delivery networks (“IDNs”) and sell products to members of such GPOs and IDNs;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competitive;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integrate acquired products with our existing product line and successfully transition our customers from legacy to new products and the anticipated adverse effect of these transitions on our organic revenue growth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party suppliers and manufacturers, including in particular Dilon and the manufacturing and supply of the HEMOBLAST® Bellows product;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product liability claims and other litigation to which we may be subjected and product recalls and defects;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regulatory approvals in the United States and abroad and the effect of government regulations and our compliance with government regulations;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accredited with the Association for Advancing Tissue and Biologics and continue to obtain a sufficient number of donor cadavers and placentas for our biologics products;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government and third-party coverage and reimbursement for our products and the amount of such reimbursement;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future financial performance, expense management and operating trends, and our estimates of future revenues, expenses, ongoing losses, gross margins, operating leverage, capital requirements and our need for, or ability to obtain, additional financing and the availability of our credit facilities;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service our debt and comply with the covenants in our credit agreements and the effect of our significant indebtedness on our business, operating results, financial condition and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protect our intellectual property and proprietary rights and operate without infringing the intellectual property rights of others;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stock ownership of Nantahala Capital Management, LLC (“Nantahala”) and the impact of potential future sales of our common stock by Nantahala or other investors, or the perception that such sales may occur, on the market price of our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Form 10-Q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or assumptions, many of which are beyond our control, which may cause actual results or performance to be materially different from those expressed or implied by these forward-looking statements. These risks and uncertainties include, but are not limited to, those factors described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our Annual Report on Form 10-K for the year ended December 31, 2025 and this Form 10-Q, as well as our subsequent Securities and Exchange Commission (“SEC”) filings.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340" w:type="dxa"/>
        <w:jc w:val="left"/>
        <w:tblInd w:w="0" w:type="dxa"/>
        <w:tblLayout w:type="fixed"/>
        <w:tblCellMar>
          <w:top w:w="0" w:type="dxa"/>
          <w:left w:w="0" w:type="dxa"/>
          <w:bottom w:w="0" w:type="dxa"/>
          <w:right w:w="0" w:type="dxa"/>
        </w:tblCellMar>
      </w:tblPr>
      <w:tblGrid>
        <w:gridCol w:w="755"/>
        <w:gridCol w:w="2585"/>
      </w:tblGrid>
      <w:tr>
        <w:trPr/>
        <w:tc>
          <w:tcPr>
            <w:tcW w:w="7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tc>
        <w:tc>
          <w:tcPr>
            <w:tcW w:w="25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28" w:name="DA_002"/>
            <w:bookmarkEnd w:id="28"/>
            <w:r>
              <w:rPr>
                <w:rFonts w:ascii="Times New Roman;Times;Serif" w:hAnsi="Times New Roman;Times;Serif"/>
                <w:b/>
                <w:i w:val="false"/>
                <w:caps w:val="false"/>
                <w:smallCaps w:val="false"/>
                <w:sz w:val="20"/>
              </w:rPr>
              <w:t>FINANCIAL INFORMATION</w:t>
            </w:r>
          </w:p>
        </w:tc>
      </w:tr>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1.</w:t>
            </w:r>
          </w:p>
        </w:tc>
        <w:tc>
          <w:tcPr>
            <w:tcW w:w="2585" w:type="dxa"/>
            <w:tcBorders/>
            <w:vAlign w:val="center"/>
          </w:tcPr>
          <w:p>
            <w:pPr>
              <w:pStyle w:val="TableContents"/>
              <w:bidi w:val="0"/>
              <w:spacing w:before="0" w:after="283"/>
              <w:jc w:val="left"/>
              <w:rPr>
                <w:rFonts w:ascii="Times New Roman;Times;Serif" w:hAnsi="Times New Roman;Times;Serif"/>
                <w:b/>
                <w:i w:val="false"/>
                <w:caps/>
                <w:sz w:val="20"/>
              </w:rPr>
            </w:pPr>
            <w:bookmarkStart w:id="29" w:name="DA_003"/>
            <w:bookmarkEnd w:id="29"/>
            <w:r>
              <w:rPr>
                <w:rFonts w:ascii="Times New Roman;Times;Serif" w:hAnsi="Times New Roman;Times;Serif"/>
                <w:b/>
                <w:i w:val="false"/>
                <w:caps/>
                <w:sz w:val="20"/>
              </w:rPr>
              <w:t>FINANCIAL STATEMENTS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number of shares and par value)</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0" w:name="xdx_303_111_pn3n3_zm2JxCeeelhg"/>
      <w:bookmarkStart w:id="31" w:name="xdx_303_111_pn3n3_zm2JxCeeelhg"/>
      <w:bookmarkEnd w:id="31"/>
    </w:p>
    <w:tbl>
      <w:tblPr>
        <w:tblW w:w="10205" w:type="dxa"/>
        <w:jc w:val="left"/>
        <w:tblInd w:w="0" w:type="dxa"/>
        <w:tblLayout w:type="fixed"/>
        <w:tblCellMar>
          <w:top w:w="0" w:type="dxa"/>
          <w:left w:w="0" w:type="dxa"/>
          <w:bottom w:w="0" w:type="dxa"/>
          <w:right w:w="0" w:type="dxa"/>
        </w:tblCellMar>
      </w:tblPr>
      <w:tblGrid>
        <w:gridCol w:w="7433"/>
        <w:gridCol w:w="60"/>
        <w:gridCol w:w="195"/>
        <w:gridCol w:w="1050"/>
        <w:gridCol w:w="95"/>
        <w:gridCol w:w="60"/>
        <w:gridCol w:w="165"/>
        <w:gridCol w:w="1034"/>
        <w:gridCol w:w="113"/>
      </w:tblGrid>
      <w:tr>
        <w:trPr/>
        <w:tc>
          <w:tcPr>
            <w:tcW w:w="7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 w:name="xdx_490_20260630_z1jqvMolciD9"/>
            <w:bookmarkEnd w:id="32"/>
          </w:p>
        </w:tc>
        <w:tc>
          <w:tcPr>
            <w:tcW w:w="12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As of</w:t>
              <w:b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3" w:name="xdx_490_20251231_zHsTZYeBhaXj"/>
            <w:bookmarkEnd w:id="33"/>
          </w:p>
        </w:tc>
        <w:tc>
          <w:tcPr>
            <w:tcW w:w="119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113" w:type="dxa"/>
            <w:tcBorders/>
            <w:vAlign w:val="center"/>
          </w:tcPr>
          <w:p>
            <w:pPr>
              <w:pStyle w:val="TableContents"/>
              <w:bidi w:val="0"/>
              <w:spacing w:before="0" w:after="283"/>
              <w:jc w:val="left"/>
              <w:rPr/>
            </w:pPr>
            <w:r>
              <w:rPr/>
              <w:t> </w:t>
            </w:r>
          </w:p>
        </w:tc>
      </w:tr>
      <w:tr>
        <w:trPr/>
        <w:tc>
          <w:tcPr>
            <w:tcW w:w="74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5"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9" w:type="dxa"/>
            <w:gridSpan w:val="2"/>
            <w:tcBorders/>
            <w:vAlign w:val="center"/>
          </w:tcPr>
          <w:p>
            <w:pPr>
              <w:pStyle w:val="TableContents"/>
              <w:bidi w:val="0"/>
              <w:spacing w:before="0" w:after="283"/>
              <w:jc w:val="center"/>
              <w:rPr/>
            </w:pPr>
            <w:r>
              <w:rPr/>
              <w:t> </w:t>
            </w:r>
          </w:p>
        </w:tc>
        <w:tc>
          <w:tcPr>
            <w:tcW w:w="113" w:type="dxa"/>
            <w:tcBorders/>
            <w:vAlign w:val="center"/>
          </w:tcPr>
          <w:p>
            <w:pPr>
              <w:pStyle w:val="TableContents"/>
              <w:bidi w:val="0"/>
              <w:spacing w:before="0" w:after="283"/>
              <w:jc w:val="left"/>
              <w:rPr/>
            </w:pPr>
            <w:r>
              <w:rPr/>
              <w:t> </w:t>
            </w:r>
            <w:bookmarkStart w:id="34" w:name="xdx_406_eus-gaap--AssetsAbstract_iB_zs4l"/>
            <w:bookmarkEnd w:id="34"/>
          </w:p>
        </w:tc>
      </w:tr>
      <w:tr>
        <w:trPr/>
        <w:tc>
          <w:tcPr>
            <w:tcW w:w="7433"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5" w:name="xdx_40B_eus-gaap--AssetsCurrentAbstract_"/>
            <w:bookmarkEnd w:id="35"/>
          </w:p>
        </w:tc>
      </w:tr>
      <w:tr>
        <w:trPr/>
        <w:tc>
          <w:tcPr>
            <w:tcW w:w="7433"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6" w:name="xdx_407_eus-gaap--CashAndCashEquivalents"/>
            <w:bookmarkEnd w:id="36"/>
          </w:p>
        </w:tc>
      </w:tr>
      <w:tr>
        <w:trPr/>
        <w:tc>
          <w:tcPr>
            <w:tcW w:w="743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9,870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17,053</w:t>
            </w:r>
          </w:p>
        </w:tc>
        <w:tc>
          <w:tcPr>
            <w:tcW w:w="113" w:type="dxa"/>
            <w:tcBorders/>
            <w:shd w:fill="CCEEFF" w:val="clear"/>
            <w:vAlign w:val="center"/>
          </w:tcPr>
          <w:p>
            <w:pPr>
              <w:pStyle w:val="TableContents"/>
              <w:bidi w:val="0"/>
              <w:spacing w:before="0" w:after="283"/>
              <w:jc w:val="left"/>
              <w:rPr/>
            </w:pPr>
            <w:r>
              <w:rPr/>
              <w:t> </w:t>
            </w:r>
            <w:bookmarkStart w:id="37" w:name="xdx_406_eus-gaap--RestrictedCashCurrent_"/>
            <w:bookmarkEnd w:id="37"/>
          </w:p>
        </w:tc>
      </w:tr>
      <w:tr>
        <w:trPr/>
        <w:tc>
          <w:tcPr>
            <w:tcW w:w="7433"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275</w:t>
            </w:r>
          </w:p>
        </w:tc>
        <w:tc>
          <w:tcPr>
            <w:tcW w:w="113" w:type="dxa"/>
            <w:tcBorders/>
            <w:shd w:fill="FFFFFF" w:val="clear"/>
            <w:vAlign w:val="center"/>
          </w:tcPr>
          <w:p>
            <w:pPr>
              <w:pStyle w:val="TableContents"/>
              <w:bidi w:val="0"/>
              <w:spacing w:before="0" w:after="283"/>
              <w:jc w:val="left"/>
              <w:rPr/>
            </w:pPr>
            <w:r>
              <w:rPr/>
              <w:t> </w:t>
            </w:r>
            <w:bookmarkStart w:id="38" w:name="xdx_405_eus-gaap--AccountsReceivableNetC"/>
            <w:bookmarkEnd w:id="38"/>
          </w:p>
        </w:tc>
      </w:tr>
      <w:tr>
        <w:trPr/>
        <w:tc>
          <w:tcPr>
            <w:tcW w:w="7433" w:type="dxa"/>
            <w:tcBorders/>
            <w:shd w:fill="CCEEFF" w:val="clear"/>
            <w:vAlign w:val="center"/>
          </w:tcPr>
          <w:p>
            <w:pPr>
              <w:pStyle w:val="TableContents"/>
              <w:bidi w:val="0"/>
              <w:spacing w:before="0" w:after="283"/>
              <w:jc w:val="left"/>
              <w:rPr/>
            </w:pPr>
            <w:r>
              <w:rPr/>
              <w:t>Trade accounts receivable, net of allowance for credit losses and doubtful accounts of $</w:t>
            </w:r>
            <w:bookmarkStart w:id="39" w:name="xdx_904_eus-gaap--AccountsAndFinancingRe"/>
            <w:bookmarkEnd w:id="39"/>
            <w:r>
              <w:rPr/>
              <w:t>2,234 and $</w:t>
            </w:r>
            <w:bookmarkStart w:id="40" w:name="xdx_902_eus-gaap--AccountsAndFinancingRe"/>
            <w:bookmarkEnd w:id="40"/>
            <w:r>
              <w:rPr/>
              <w:t>2,165, respectively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19,416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17,803</w:t>
            </w:r>
          </w:p>
        </w:tc>
        <w:tc>
          <w:tcPr>
            <w:tcW w:w="113" w:type="dxa"/>
            <w:tcBorders/>
            <w:shd w:fill="CCEEFF" w:val="clear"/>
            <w:vAlign w:val="center"/>
          </w:tcPr>
          <w:p>
            <w:pPr>
              <w:pStyle w:val="TableContents"/>
              <w:bidi w:val="0"/>
              <w:spacing w:before="0" w:after="283"/>
              <w:jc w:val="left"/>
              <w:rPr/>
            </w:pPr>
            <w:r>
              <w:rPr/>
              <w:t> </w:t>
            </w:r>
            <w:bookmarkStart w:id="41" w:name="xdx_40C_eus-gaap--InventoryNet_i02I_maAC"/>
            <w:bookmarkEnd w:id="41"/>
          </w:p>
        </w:tc>
      </w:tr>
      <w:tr>
        <w:trPr/>
        <w:tc>
          <w:tcPr>
            <w:tcW w:w="7433"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33,287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30,263</w:t>
            </w:r>
          </w:p>
        </w:tc>
        <w:tc>
          <w:tcPr>
            <w:tcW w:w="113" w:type="dxa"/>
            <w:tcBorders/>
            <w:shd w:fill="FFFFFF" w:val="clear"/>
            <w:vAlign w:val="center"/>
          </w:tcPr>
          <w:p>
            <w:pPr>
              <w:pStyle w:val="TableContents"/>
              <w:bidi w:val="0"/>
              <w:spacing w:before="0" w:after="283"/>
              <w:jc w:val="left"/>
              <w:rPr/>
            </w:pPr>
            <w:r>
              <w:rPr/>
              <w:t> </w:t>
            </w:r>
            <w:bookmarkStart w:id="42" w:name="xdx_40F_eus-gaap--NotesAndLoansReceivabl"/>
            <w:bookmarkEnd w:id="42"/>
          </w:p>
        </w:tc>
      </w:tr>
      <w:tr>
        <w:trPr/>
        <w:tc>
          <w:tcPr>
            <w:tcW w:w="7433" w:type="dxa"/>
            <w:tcBorders/>
            <w:shd w:fill="CCEEFF" w:val="clear"/>
            <w:vAlign w:val="center"/>
          </w:tcPr>
          <w:p>
            <w:pPr>
              <w:pStyle w:val="TableContents"/>
              <w:bidi w:val="0"/>
              <w:spacing w:before="0" w:after="283"/>
              <w:jc w:val="left"/>
              <w:rPr/>
            </w:pPr>
            <w:r>
              <w:rPr/>
              <w:t>Note receivable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10,462</w:t>
            </w:r>
          </w:p>
        </w:tc>
        <w:tc>
          <w:tcPr>
            <w:tcW w:w="113" w:type="dxa"/>
            <w:tcBorders/>
            <w:shd w:fill="CCEEFF" w:val="clear"/>
            <w:vAlign w:val="center"/>
          </w:tcPr>
          <w:p>
            <w:pPr>
              <w:pStyle w:val="TableContents"/>
              <w:bidi w:val="0"/>
              <w:spacing w:before="0" w:after="283"/>
              <w:jc w:val="left"/>
              <w:rPr/>
            </w:pPr>
            <w:r>
              <w:rPr/>
              <w:t> </w:t>
            </w:r>
            <w:bookmarkStart w:id="43" w:name="xdx_40B_eus-gaap--PrepaidExpenseAndOther"/>
            <w:bookmarkEnd w:id="43"/>
          </w:p>
        </w:tc>
      </w:tr>
      <w:tr>
        <w:trPr/>
        <w:tc>
          <w:tcPr>
            <w:tcW w:w="7433" w:type="dxa"/>
            <w:tcBorders/>
            <w:shd w:fill="FFFFFF" w:val="clear"/>
            <w:vAlign w:val="center"/>
          </w:tcPr>
          <w:p>
            <w:pPr>
              <w:pStyle w:val="TableContents"/>
              <w:bidi w:val="0"/>
              <w:spacing w:before="0" w:after="283"/>
              <w:jc w:val="left"/>
              <w:rPr/>
            </w:pPr>
            <w:r>
              <w:rPr/>
              <w:t>Prepaid and other current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pPr>
            <w:r>
              <w:rPr/>
              <w:t>1,857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2,389</w:t>
            </w:r>
          </w:p>
        </w:tc>
        <w:tc>
          <w:tcPr>
            <w:tcW w:w="113" w:type="dxa"/>
            <w:tcBorders/>
            <w:shd w:fill="FFFFFF" w:val="clear"/>
            <w:vAlign w:val="center"/>
          </w:tcPr>
          <w:p>
            <w:pPr>
              <w:pStyle w:val="TableContents"/>
              <w:bidi w:val="0"/>
              <w:spacing w:before="0" w:after="283"/>
              <w:jc w:val="left"/>
              <w:rPr/>
            </w:pPr>
            <w:r>
              <w:rPr/>
              <w:t> </w:t>
            </w:r>
            <w:bookmarkStart w:id="44" w:name="xdx_409_eus-gaap--AssetsCurrent_i02TI_mt"/>
            <w:bookmarkEnd w:id="44"/>
          </w:p>
        </w:tc>
      </w:tr>
      <w:tr>
        <w:trPr/>
        <w:tc>
          <w:tcPr>
            <w:tcW w:w="743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64,777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78,245</w:t>
            </w:r>
          </w:p>
        </w:tc>
        <w:tc>
          <w:tcPr>
            <w:tcW w:w="113" w:type="dxa"/>
            <w:tcBorders/>
            <w:shd w:fill="CCEEFF" w:val="clear"/>
            <w:vAlign w:val="center"/>
          </w:tcPr>
          <w:p>
            <w:pPr>
              <w:pStyle w:val="TableContents"/>
              <w:bidi w:val="0"/>
              <w:spacing w:before="0" w:after="283"/>
              <w:jc w:val="left"/>
              <w:rPr/>
            </w:pPr>
            <w:r>
              <w:rPr/>
              <w:t> </w:t>
            </w:r>
            <w:bookmarkStart w:id="45" w:name="xdx_408_eus-gaap--PropertyPlantAndEquipm"/>
            <w:bookmarkEnd w:id="45"/>
          </w:p>
        </w:tc>
      </w:tr>
      <w:tr>
        <w:trPr/>
        <w:tc>
          <w:tcPr>
            <w:tcW w:w="7433"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5,542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6,202</w:t>
            </w:r>
          </w:p>
        </w:tc>
        <w:tc>
          <w:tcPr>
            <w:tcW w:w="113" w:type="dxa"/>
            <w:tcBorders/>
            <w:shd w:fill="FFFFFF" w:val="clear"/>
            <w:vAlign w:val="center"/>
          </w:tcPr>
          <w:p>
            <w:pPr>
              <w:pStyle w:val="TableContents"/>
              <w:bidi w:val="0"/>
              <w:spacing w:before="0" w:after="283"/>
              <w:jc w:val="left"/>
              <w:rPr/>
            </w:pPr>
            <w:r>
              <w:rPr/>
              <w:t> </w:t>
            </w:r>
            <w:bookmarkStart w:id="46" w:name="xdx_40D_eus-gaap--OperatingLeaseRightOfU"/>
            <w:bookmarkEnd w:id="46"/>
          </w:p>
        </w:tc>
      </w:tr>
      <w:tr>
        <w:trPr/>
        <w:tc>
          <w:tcPr>
            <w:tcW w:w="7433" w:type="dxa"/>
            <w:tcBorders/>
            <w:shd w:fill="CCEEFF" w:val="clear"/>
            <w:vAlign w:val="center"/>
          </w:tcPr>
          <w:p>
            <w:pPr>
              <w:pStyle w:val="TableContents"/>
              <w:bidi w:val="0"/>
              <w:spacing w:before="0" w:after="283"/>
              <w:jc w:val="left"/>
              <w:rPr/>
            </w:pPr>
            <w:r>
              <w:rPr/>
              <w:t>Right-of-use asset, net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3,192</w:t>
            </w:r>
          </w:p>
        </w:tc>
        <w:tc>
          <w:tcPr>
            <w:tcW w:w="113" w:type="dxa"/>
            <w:tcBorders/>
            <w:shd w:fill="CCEEFF" w:val="clear"/>
            <w:vAlign w:val="center"/>
          </w:tcPr>
          <w:p>
            <w:pPr>
              <w:pStyle w:val="TableContents"/>
              <w:bidi w:val="0"/>
              <w:spacing w:before="0" w:after="283"/>
              <w:jc w:val="left"/>
              <w:rPr/>
            </w:pPr>
            <w:r>
              <w:rPr/>
              <w:t> </w:t>
            </w:r>
            <w:bookmarkStart w:id="47" w:name="xdx_409_eus-gaap--Goodwill_i01I_maAzDLe_"/>
            <w:bookmarkEnd w:id="47"/>
          </w:p>
        </w:tc>
      </w:tr>
      <w:tr>
        <w:trPr/>
        <w:tc>
          <w:tcPr>
            <w:tcW w:w="7433"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6,074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6,074</w:t>
            </w:r>
          </w:p>
        </w:tc>
        <w:tc>
          <w:tcPr>
            <w:tcW w:w="113" w:type="dxa"/>
            <w:tcBorders/>
            <w:shd w:fill="FFFFFF" w:val="clear"/>
            <w:vAlign w:val="center"/>
          </w:tcPr>
          <w:p>
            <w:pPr>
              <w:pStyle w:val="TableContents"/>
              <w:bidi w:val="0"/>
              <w:spacing w:before="0" w:after="283"/>
              <w:jc w:val="left"/>
              <w:rPr/>
            </w:pPr>
            <w:r>
              <w:rPr/>
              <w:t> </w:t>
            </w:r>
            <w:bookmarkStart w:id="48" w:name="xdx_404_eus-gaap--IntangibleAssetsNetExc"/>
            <w:bookmarkEnd w:id="48"/>
          </w:p>
        </w:tc>
      </w:tr>
      <w:tr>
        <w:trPr/>
        <w:tc>
          <w:tcPr>
            <w:tcW w:w="7433"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299</w:t>
            </w:r>
          </w:p>
        </w:tc>
        <w:tc>
          <w:tcPr>
            <w:tcW w:w="113" w:type="dxa"/>
            <w:tcBorders/>
            <w:shd w:fill="CCEEFF" w:val="clear"/>
            <w:vAlign w:val="center"/>
          </w:tcPr>
          <w:p>
            <w:pPr>
              <w:pStyle w:val="TableContents"/>
              <w:bidi w:val="0"/>
              <w:spacing w:before="0" w:after="283"/>
              <w:jc w:val="left"/>
              <w:rPr/>
            </w:pPr>
            <w:r>
              <w:rPr/>
              <w:t> </w:t>
            </w:r>
            <w:bookmarkStart w:id="49" w:name="xdx_40A_eus-gaap--OtherAssetsNoncurrent_"/>
            <w:bookmarkEnd w:id="49"/>
          </w:p>
        </w:tc>
      </w:tr>
      <w:tr>
        <w:trPr/>
        <w:tc>
          <w:tcPr>
            <w:tcW w:w="7433"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pPr>
            <w:r>
              <w:rPr/>
              <w:t>128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133</w:t>
            </w:r>
          </w:p>
        </w:tc>
        <w:tc>
          <w:tcPr>
            <w:tcW w:w="113" w:type="dxa"/>
            <w:tcBorders/>
            <w:shd w:fill="FFFFFF" w:val="clear"/>
            <w:vAlign w:val="center"/>
          </w:tcPr>
          <w:p>
            <w:pPr>
              <w:pStyle w:val="TableContents"/>
              <w:bidi w:val="0"/>
              <w:spacing w:before="0" w:after="283"/>
              <w:jc w:val="left"/>
              <w:rPr/>
            </w:pPr>
            <w:r>
              <w:rPr/>
              <w:t> </w:t>
            </w:r>
            <w:bookmarkStart w:id="50" w:name="xdx_40D_eus-gaap--Assets_i01TI_mtAzDLe_z"/>
            <w:bookmarkEnd w:id="50"/>
          </w:p>
        </w:tc>
      </w:tr>
      <w:tr>
        <w:trPr/>
        <w:tc>
          <w:tcPr>
            <w:tcW w:w="7433"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0" w:type="dxa"/>
            <w:tcBorders>
              <w:bottom w:val="double" w:sz="6" w:space="0" w:color="000000"/>
            </w:tcBorders>
            <w:shd w:fill="CCEEFF" w:val="clear"/>
            <w:tcMar>
              <w:bottom w:w="28" w:type="dxa"/>
            </w:tcMar>
            <w:vAlign w:val="center"/>
          </w:tcPr>
          <w:p>
            <w:pPr>
              <w:pStyle w:val="TableContents"/>
              <w:bidi w:val="0"/>
              <w:spacing w:before="0" w:after="283"/>
              <w:jc w:val="right"/>
              <w:rPr/>
            </w:pPr>
            <w:r>
              <w:rPr/>
              <w:t>79,667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jc w:val="right"/>
              <w:rPr/>
            </w:pPr>
            <w:r>
              <w:rPr/>
              <w:t>94,145</w:t>
            </w:r>
          </w:p>
        </w:tc>
        <w:tc>
          <w:tcPr>
            <w:tcW w:w="113" w:type="dxa"/>
            <w:tcBorders/>
            <w:shd w:fill="CCEEFF" w:val="clear"/>
            <w:vAlign w:val="center"/>
          </w:tcPr>
          <w:p>
            <w:pPr>
              <w:pStyle w:val="TableContents"/>
              <w:bidi w:val="0"/>
              <w:spacing w:before="0" w:after="283"/>
              <w:jc w:val="left"/>
              <w:rPr/>
            </w:pPr>
            <w:r>
              <w:rPr/>
              <w:t> </w:t>
            </w:r>
          </w:p>
        </w:tc>
      </w:tr>
      <w:tr>
        <w:trPr/>
        <w:tc>
          <w:tcPr>
            <w:tcW w:w="74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1" w:name="xdx_40C_eus-gaap--LiabilitiesAndStockhol"/>
            <w:bookmarkEnd w:id="51"/>
          </w:p>
        </w:tc>
      </w:tr>
      <w:tr>
        <w:trPr/>
        <w:tc>
          <w:tcPr>
            <w:tcW w:w="7433" w:type="dxa"/>
            <w:tcBorders/>
            <w:shd w:fill="CCEEFF" w:val="clear"/>
            <w:vAlign w:val="center"/>
          </w:tcPr>
          <w:p>
            <w:pPr>
              <w:pStyle w:val="TableContents"/>
              <w:bidi w:val="0"/>
              <w:spacing w:before="0" w:after="283"/>
              <w:jc w:val="left"/>
              <w:rPr/>
            </w:pPr>
            <w:r>
              <w:rPr/>
              <w:t>LIABILITIES &amp; STOCKHOLDERS’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2" w:name="xdx_405_eus-gaap--LiabilitiesCurrentAbst"/>
            <w:bookmarkEnd w:id="52"/>
          </w:p>
        </w:tc>
      </w:tr>
      <w:tr>
        <w:trPr/>
        <w:tc>
          <w:tcPr>
            <w:tcW w:w="7433"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3" w:name="xdx_400_eus-gaap--AccountsPayableCurrent"/>
            <w:bookmarkEnd w:id="53"/>
          </w:p>
        </w:tc>
      </w:tr>
      <w:tr>
        <w:trPr/>
        <w:tc>
          <w:tcPr>
            <w:tcW w:w="743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w:t>
            </w:r>
          </w:p>
        </w:tc>
        <w:tc>
          <w:tcPr>
            <w:tcW w:w="1050" w:type="dxa"/>
            <w:tcBorders/>
            <w:shd w:fill="CCEEFF" w:val="clear"/>
            <w:vAlign w:val="center"/>
          </w:tcPr>
          <w:p>
            <w:pPr>
              <w:pStyle w:val="TableContents"/>
              <w:bidi w:val="0"/>
              <w:spacing w:before="0" w:after="283"/>
              <w:jc w:val="right"/>
              <w:rPr/>
            </w:pPr>
            <w:r>
              <w:rPr/>
              <w:t>6,154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1034" w:type="dxa"/>
            <w:tcBorders/>
            <w:shd w:fill="CCEEFF" w:val="clear"/>
            <w:vAlign w:val="center"/>
          </w:tcPr>
          <w:p>
            <w:pPr>
              <w:pStyle w:val="TableContents"/>
              <w:bidi w:val="0"/>
              <w:spacing w:before="0" w:after="283"/>
              <w:jc w:val="right"/>
              <w:rPr/>
            </w:pPr>
            <w:r>
              <w:rPr/>
              <w:t>3,844</w:t>
            </w:r>
          </w:p>
        </w:tc>
        <w:tc>
          <w:tcPr>
            <w:tcW w:w="113" w:type="dxa"/>
            <w:tcBorders/>
            <w:shd w:fill="CCEEFF" w:val="clear"/>
            <w:vAlign w:val="center"/>
          </w:tcPr>
          <w:p>
            <w:pPr>
              <w:pStyle w:val="TableContents"/>
              <w:bidi w:val="0"/>
              <w:spacing w:before="0" w:after="283"/>
              <w:jc w:val="left"/>
              <w:rPr/>
            </w:pPr>
            <w:r>
              <w:rPr/>
              <w:t> </w:t>
            </w:r>
            <w:bookmarkStart w:id="54" w:name="xdx_40C_eus-gaap--AccruedLiabilitiesCurr"/>
            <w:bookmarkEnd w:id="54"/>
          </w:p>
        </w:tc>
      </w:tr>
      <w:tr>
        <w:trPr/>
        <w:tc>
          <w:tcPr>
            <w:tcW w:w="7433"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7,481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10,626</w:t>
            </w:r>
          </w:p>
        </w:tc>
        <w:tc>
          <w:tcPr>
            <w:tcW w:w="113" w:type="dxa"/>
            <w:tcBorders/>
            <w:shd w:fill="FFFFFF" w:val="clear"/>
            <w:vAlign w:val="center"/>
          </w:tcPr>
          <w:p>
            <w:pPr>
              <w:pStyle w:val="TableContents"/>
              <w:bidi w:val="0"/>
              <w:spacing w:before="0" w:after="283"/>
              <w:jc w:val="left"/>
              <w:rPr/>
            </w:pPr>
            <w:r>
              <w:rPr/>
              <w:t> </w:t>
            </w:r>
            <w:bookmarkStart w:id="55" w:name="xdx_402_eus-gaap--LongTermDebtCurrent_i0"/>
            <w:bookmarkEnd w:id="55"/>
          </w:p>
        </w:tc>
      </w:tr>
      <w:tr>
        <w:trPr/>
        <w:tc>
          <w:tcPr>
            <w:tcW w:w="7433" w:type="dxa"/>
            <w:tcBorders/>
            <w:shd w:fill="CCEEFF" w:val="clear"/>
            <w:vAlign w:val="center"/>
          </w:tcPr>
          <w:p>
            <w:pPr>
              <w:pStyle w:val="TableContents"/>
              <w:bidi w:val="0"/>
              <w:spacing w:before="0" w:after="283"/>
              <w:jc w:val="left"/>
              <w:rPr/>
            </w:pPr>
            <w:r>
              <w:rPr/>
              <w:t>Current portion of long-term debt</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3,720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3,500</w:t>
            </w:r>
          </w:p>
        </w:tc>
        <w:tc>
          <w:tcPr>
            <w:tcW w:w="113" w:type="dxa"/>
            <w:tcBorders/>
            <w:shd w:fill="CCEEFF" w:val="clear"/>
            <w:vAlign w:val="center"/>
          </w:tcPr>
          <w:p>
            <w:pPr>
              <w:pStyle w:val="TableContents"/>
              <w:bidi w:val="0"/>
              <w:spacing w:before="0" w:after="283"/>
              <w:jc w:val="left"/>
              <w:rPr/>
            </w:pPr>
            <w:r>
              <w:rPr/>
              <w:t> </w:t>
            </w:r>
            <w:bookmarkStart w:id="56" w:name="xdx_407_eus-gaap--OperatingLeaseLiabilit"/>
            <w:bookmarkEnd w:id="56"/>
          </w:p>
        </w:tc>
      </w:tr>
      <w:tr>
        <w:trPr/>
        <w:tc>
          <w:tcPr>
            <w:tcW w:w="7433" w:type="dxa"/>
            <w:tcBorders/>
            <w:shd w:fill="FFFFFF" w:val="clear"/>
            <w:vAlign w:val="center"/>
          </w:tcPr>
          <w:p>
            <w:pPr>
              <w:pStyle w:val="TableContents"/>
              <w:bidi w:val="0"/>
              <w:spacing w:before="0" w:after="283"/>
              <w:jc w:val="left"/>
              <w:rPr/>
            </w:pPr>
            <w:r>
              <w:rPr/>
              <w:t>Current portion of lease liability</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622</w:t>
            </w:r>
          </w:p>
        </w:tc>
        <w:tc>
          <w:tcPr>
            <w:tcW w:w="113" w:type="dxa"/>
            <w:tcBorders/>
            <w:shd w:fill="FFFFFF" w:val="clear"/>
            <w:vAlign w:val="center"/>
          </w:tcPr>
          <w:p>
            <w:pPr>
              <w:pStyle w:val="TableContents"/>
              <w:bidi w:val="0"/>
              <w:spacing w:before="0" w:after="283"/>
              <w:jc w:val="left"/>
              <w:rPr/>
            </w:pPr>
            <w:r>
              <w:rPr/>
              <w:t> </w:t>
            </w:r>
            <w:bookmarkStart w:id="57" w:name="xdx_40C_eus-gaap--FinanceLeaseLiabilityC"/>
            <w:bookmarkEnd w:id="57"/>
          </w:p>
        </w:tc>
      </w:tr>
      <w:tr>
        <w:trPr/>
        <w:tc>
          <w:tcPr>
            <w:tcW w:w="7433" w:type="dxa"/>
            <w:tcBorders/>
            <w:shd w:fill="CCEEFF" w:val="clear"/>
            <w:vAlign w:val="center"/>
          </w:tcPr>
          <w:p>
            <w:pPr>
              <w:pStyle w:val="TableContents"/>
              <w:bidi w:val="0"/>
              <w:spacing w:before="0" w:after="283"/>
              <w:jc w:val="left"/>
              <w:rPr/>
            </w:pPr>
            <w:r>
              <w:rPr/>
              <w:t>Current portion of finance lease obligations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35</w:t>
            </w:r>
          </w:p>
        </w:tc>
        <w:tc>
          <w:tcPr>
            <w:tcW w:w="113" w:type="dxa"/>
            <w:tcBorders/>
            <w:shd w:fill="CCEEFF" w:val="clear"/>
            <w:vAlign w:val="center"/>
          </w:tcPr>
          <w:p>
            <w:pPr>
              <w:pStyle w:val="TableContents"/>
              <w:bidi w:val="0"/>
              <w:spacing w:before="0" w:after="283"/>
              <w:jc w:val="left"/>
              <w:rPr/>
            </w:pPr>
            <w:r>
              <w:rPr/>
              <w:t> </w:t>
            </w:r>
            <w:bookmarkStart w:id="58" w:name="xdx_40E_eus-gaap--LinesOfCreditCurrent_i"/>
            <w:bookmarkEnd w:id="58"/>
          </w:p>
        </w:tc>
      </w:tr>
      <w:tr>
        <w:trPr/>
        <w:tc>
          <w:tcPr>
            <w:tcW w:w="7433" w:type="dxa"/>
            <w:tcBorders/>
            <w:shd w:fill="FFFFFF" w:val="clear"/>
            <w:vAlign w:val="center"/>
          </w:tcPr>
          <w:p>
            <w:pPr>
              <w:pStyle w:val="TableContents"/>
              <w:bidi w:val="0"/>
              <w:spacing w:before="0" w:after="283"/>
              <w:jc w:val="left"/>
              <w:rPr/>
            </w:pPr>
            <w:r>
              <w:rPr/>
              <w:t>Line of credit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pPr>
            <w:r>
              <w:rPr/>
              <w:t>11,985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10,857</w:t>
            </w:r>
          </w:p>
        </w:tc>
        <w:tc>
          <w:tcPr>
            <w:tcW w:w="113" w:type="dxa"/>
            <w:tcBorders/>
            <w:shd w:fill="FFFFFF" w:val="clear"/>
            <w:vAlign w:val="center"/>
          </w:tcPr>
          <w:p>
            <w:pPr>
              <w:pStyle w:val="TableContents"/>
              <w:bidi w:val="0"/>
              <w:spacing w:before="0" w:after="283"/>
              <w:jc w:val="left"/>
              <w:rPr/>
            </w:pPr>
            <w:r>
              <w:rPr/>
              <w:t> </w:t>
            </w:r>
            <w:bookmarkStart w:id="59" w:name="xdx_402_eus-gaap--LiabilitiesCurrent_i02"/>
            <w:bookmarkEnd w:id="59"/>
          </w:p>
        </w:tc>
      </w:tr>
      <w:tr>
        <w:trPr/>
        <w:tc>
          <w:tcPr>
            <w:tcW w:w="7433" w:type="dxa"/>
            <w:tcBorders/>
            <w:shd w:fill="CCEEFF" w:val="clear"/>
            <w:vAlign w:val="center"/>
          </w:tcPr>
          <w:p>
            <w:pPr>
              <w:pStyle w:val="TableContents"/>
              <w:bidi w:val="0"/>
              <w:spacing w:before="0" w:after="283"/>
              <w:jc w:val="left"/>
              <w:rPr/>
            </w:pPr>
            <w:r>
              <w:rPr/>
              <w:t>Total current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29,963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29,484</w:t>
            </w:r>
          </w:p>
        </w:tc>
        <w:tc>
          <w:tcPr>
            <w:tcW w:w="113" w:type="dxa"/>
            <w:tcBorders/>
            <w:shd w:fill="CCEEFF" w:val="clear"/>
            <w:vAlign w:val="center"/>
          </w:tcPr>
          <w:p>
            <w:pPr>
              <w:pStyle w:val="TableContents"/>
              <w:bidi w:val="0"/>
              <w:spacing w:before="0" w:after="283"/>
              <w:jc w:val="left"/>
              <w:rPr/>
            </w:pPr>
            <w:r>
              <w:rPr/>
              <w:t> </w:t>
            </w:r>
            <w:bookmarkStart w:id="60" w:name="xdx_403_eus-gaap--LiabilitiesNoncurrentA"/>
            <w:bookmarkEnd w:id="60"/>
          </w:p>
        </w:tc>
      </w:tr>
      <w:tr>
        <w:trPr/>
        <w:tc>
          <w:tcPr>
            <w:tcW w:w="7433"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1" w:name="xdx_405_eus-gaap--OperatingLeaseLiabilit"/>
            <w:bookmarkEnd w:id="61"/>
          </w:p>
        </w:tc>
      </w:tr>
      <w:tr>
        <w:trPr/>
        <w:tc>
          <w:tcPr>
            <w:tcW w:w="7433" w:type="dxa"/>
            <w:tcBorders/>
            <w:shd w:fill="CCEEFF" w:val="clear"/>
            <w:vAlign w:val="center"/>
          </w:tcPr>
          <w:p>
            <w:pPr>
              <w:pStyle w:val="TableContents"/>
              <w:bidi w:val="0"/>
              <w:spacing w:before="0" w:after="283"/>
              <w:jc w:val="left"/>
              <w:rPr/>
            </w:pPr>
            <w:r>
              <w:rPr/>
              <w:t>Lease liability, less current portion</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2,397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2,665</w:t>
            </w:r>
          </w:p>
        </w:tc>
        <w:tc>
          <w:tcPr>
            <w:tcW w:w="113" w:type="dxa"/>
            <w:tcBorders/>
            <w:shd w:fill="CCEEFF" w:val="clear"/>
            <w:vAlign w:val="center"/>
          </w:tcPr>
          <w:p>
            <w:pPr>
              <w:pStyle w:val="TableContents"/>
              <w:bidi w:val="0"/>
              <w:spacing w:before="0" w:after="283"/>
              <w:jc w:val="left"/>
              <w:rPr/>
            </w:pPr>
            <w:r>
              <w:rPr/>
              <w:t> </w:t>
            </w:r>
            <w:bookmarkStart w:id="62" w:name="xdx_40E_eus-gaap--FinanceLeaseLiabilityN"/>
            <w:bookmarkEnd w:id="62"/>
          </w:p>
        </w:tc>
      </w:tr>
      <w:tr>
        <w:trPr/>
        <w:tc>
          <w:tcPr>
            <w:tcW w:w="7433" w:type="dxa"/>
            <w:tcBorders/>
            <w:shd w:fill="FFFFFF" w:val="clear"/>
            <w:vAlign w:val="center"/>
          </w:tcPr>
          <w:p>
            <w:pPr>
              <w:pStyle w:val="TableContents"/>
              <w:bidi w:val="0"/>
              <w:spacing w:before="0" w:after="283"/>
              <w:jc w:val="left"/>
              <w:rPr/>
            </w:pPr>
            <w:r>
              <w:rPr/>
              <w:t>Finance lease obligation, less current portion</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12</w:t>
            </w:r>
          </w:p>
        </w:tc>
        <w:tc>
          <w:tcPr>
            <w:tcW w:w="113" w:type="dxa"/>
            <w:tcBorders/>
            <w:shd w:fill="FFFFFF" w:val="clear"/>
            <w:vAlign w:val="center"/>
          </w:tcPr>
          <w:p>
            <w:pPr>
              <w:pStyle w:val="TableContents"/>
              <w:bidi w:val="0"/>
              <w:spacing w:before="0" w:after="283"/>
              <w:jc w:val="left"/>
              <w:rPr/>
            </w:pPr>
            <w:r>
              <w:rPr/>
              <w:t> </w:t>
            </w:r>
            <w:bookmarkStart w:id="63" w:name="xdx_404_eus-gaap--LongTermDebtNoncurrent"/>
            <w:bookmarkEnd w:id="63"/>
          </w:p>
        </w:tc>
      </w:tr>
      <w:tr>
        <w:trPr/>
        <w:tc>
          <w:tcPr>
            <w:tcW w:w="7433" w:type="dxa"/>
            <w:tcBorders/>
            <w:shd w:fill="CCEEFF" w:val="clear"/>
            <w:vAlign w:val="center"/>
          </w:tcPr>
          <w:p>
            <w:pPr>
              <w:pStyle w:val="TableContents"/>
              <w:bidi w:val="0"/>
              <w:spacing w:before="0" w:after="283"/>
              <w:jc w:val="left"/>
              <w:rPr/>
            </w:pPr>
            <w:r>
              <w:rPr/>
              <w:t>Long-term debt, plus premium and less issuance costs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7,287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11,026</w:t>
            </w:r>
          </w:p>
        </w:tc>
        <w:tc>
          <w:tcPr>
            <w:tcW w:w="113" w:type="dxa"/>
            <w:tcBorders/>
            <w:shd w:fill="CCEEFF" w:val="clear"/>
            <w:vAlign w:val="center"/>
          </w:tcPr>
          <w:p>
            <w:pPr>
              <w:pStyle w:val="TableContents"/>
              <w:bidi w:val="0"/>
              <w:spacing w:before="0" w:after="283"/>
              <w:jc w:val="left"/>
              <w:rPr/>
            </w:pPr>
            <w:r>
              <w:rPr/>
              <w:t> </w:t>
            </w:r>
            <w:bookmarkStart w:id="64" w:name="xdx_40E_eus-gaap--OtherLiabilitiesNoncur"/>
            <w:bookmarkEnd w:id="64"/>
          </w:p>
        </w:tc>
      </w:tr>
      <w:tr>
        <w:trPr/>
        <w:tc>
          <w:tcPr>
            <w:tcW w:w="7433"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5</w:t>
            </w:r>
          </w:p>
        </w:tc>
        <w:tc>
          <w:tcPr>
            <w:tcW w:w="113" w:type="dxa"/>
            <w:tcBorders/>
            <w:shd w:fill="FFFFFF" w:val="clear"/>
            <w:vAlign w:val="center"/>
          </w:tcPr>
          <w:p>
            <w:pPr>
              <w:pStyle w:val="TableContents"/>
              <w:bidi w:val="0"/>
              <w:spacing w:before="0" w:after="283"/>
              <w:jc w:val="left"/>
              <w:rPr/>
            </w:pPr>
            <w:r>
              <w:rPr/>
              <w:t> </w:t>
            </w:r>
            <w:bookmarkStart w:id="65" w:name="xdx_403_eus-gaap--Liabilities_i02TI_mtLz"/>
            <w:bookmarkEnd w:id="65"/>
          </w:p>
        </w:tc>
      </w:tr>
      <w:tr>
        <w:trPr/>
        <w:tc>
          <w:tcPr>
            <w:tcW w:w="7433"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39,652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pPr>
            <w:r>
              <w:rPr/>
              <w:t>43,192</w:t>
            </w:r>
          </w:p>
        </w:tc>
        <w:tc>
          <w:tcPr>
            <w:tcW w:w="113" w:type="dxa"/>
            <w:tcBorders/>
            <w:shd w:fill="CCEEFF" w:val="clear"/>
            <w:vAlign w:val="center"/>
          </w:tcPr>
          <w:p>
            <w:pPr>
              <w:pStyle w:val="TableContents"/>
              <w:bidi w:val="0"/>
              <w:spacing w:before="0" w:after="283"/>
              <w:jc w:val="left"/>
              <w:rPr/>
            </w:pPr>
            <w:r>
              <w:rPr/>
              <w:t> </w:t>
            </w:r>
            <w:bookmarkStart w:id="66" w:name="xdx_40B_eus-gaap--CommitmentsAndContinge"/>
            <w:bookmarkEnd w:id="66"/>
          </w:p>
        </w:tc>
      </w:tr>
      <w:tr>
        <w:trPr/>
        <w:tc>
          <w:tcPr>
            <w:tcW w:w="7433" w:type="dxa"/>
            <w:tcBorders/>
            <w:shd w:fill="FFFFFF" w:val="clear"/>
            <w:vAlign w:val="center"/>
          </w:tcPr>
          <w:p>
            <w:pPr>
              <w:pStyle w:val="TableContents"/>
              <w:bidi w:val="0"/>
              <w:spacing w:before="0" w:after="283"/>
              <w:jc w:val="left"/>
              <w:rPr/>
            </w:pPr>
            <w:r>
              <w:rPr/>
              <w:t>Commitments and Contingencies (note 13)</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bookmarkStart w:id="67" w:name="xdx_402_eus-gaap--StockholdersEquityAbst"/>
            <w:bookmarkEnd w:id="67"/>
          </w:p>
        </w:tc>
      </w:tr>
      <w:tr>
        <w:trPr/>
        <w:tc>
          <w:tcPr>
            <w:tcW w:w="7433"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68" w:name="xdx_40A_eus-gaap--PreferredStockValue_i0"/>
            <w:bookmarkEnd w:id="68"/>
          </w:p>
        </w:tc>
      </w:tr>
      <w:tr>
        <w:trPr/>
        <w:tc>
          <w:tcPr>
            <w:tcW w:w="7433" w:type="dxa"/>
            <w:tcBorders/>
            <w:shd w:fill="FFFFFF" w:val="clear"/>
            <w:vAlign w:val="center"/>
          </w:tcPr>
          <w:p>
            <w:pPr>
              <w:pStyle w:val="TableContents"/>
              <w:bidi w:val="0"/>
              <w:spacing w:before="0" w:after="283"/>
              <w:jc w:val="left"/>
              <w:rPr/>
            </w:pPr>
            <w:r>
              <w:rPr/>
              <w:t>Preferred stock, $</w:t>
            </w:r>
            <w:bookmarkStart w:id="69" w:name="xdx_906_eus-gaap--PreferredStockParOrSta"/>
            <w:bookmarkStart w:id="70" w:name="xdx_902_eus-gaap--PreferredStockParOrSta"/>
            <w:bookmarkEnd w:id="69"/>
            <w:bookmarkEnd w:id="70"/>
            <w:r>
              <w:rPr/>
              <w:t xml:space="preserve">0.000001 par value; </w:t>
            </w:r>
            <w:bookmarkStart w:id="71" w:name="xdx_90A_eus-gaap--PreferredStockSharesAu"/>
            <w:bookmarkStart w:id="72" w:name="xdx_903_eus-gaap--PreferredStockSharesAu"/>
            <w:bookmarkEnd w:id="71"/>
            <w:bookmarkEnd w:id="72"/>
            <w:r>
              <w:rPr/>
              <w:t xml:space="preserve">10,000,000 shares authorized; </w:t>
            </w:r>
            <w:bookmarkStart w:id="73" w:name="xdx_905_eus-gaap--PreferredStockSharesOu"/>
            <w:bookmarkStart w:id="74" w:name="xdx_90F_eus-gaap--PreferredStockSharesIs"/>
            <w:bookmarkStart w:id="75" w:name="xdx_909_eus-gaap--PreferredStockSharesOu"/>
            <w:bookmarkStart w:id="76" w:name="xdx_902_eus-gaap--PreferredStockSharesIs"/>
            <w:bookmarkEnd w:id="73"/>
            <w:bookmarkEnd w:id="74"/>
            <w:bookmarkEnd w:id="75"/>
            <w:bookmarkEnd w:id="76"/>
            <w:r>
              <w:rPr/>
              <w:t>no shares issued and outstanding</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77" w:name="xdx_404_eus-gaap--CommonStockValue_i02I_"/>
            <w:bookmarkEnd w:id="77"/>
          </w:p>
        </w:tc>
      </w:tr>
      <w:tr>
        <w:trPr/>
        <w:tc>
          <w:tcPr>
            <w:tcW w:w="7433" w:type="dxa"/>
            <w:tcBorders/>
            <w:shd w:fill="CCEEFF" w:val="clear"/>
            <w:vAlign w:val="center"/>
          </w:tcPr>
          <w:p>
            <w:pPr>
              <w:pStyle w:val="TableContents"/>
              <w:bidi w:val="0"/>
              <w:spacing w:before="0" w:after="283"/>
              <w:jc w:val="left"/>
              <w:rPr/>
            </w:pPr>
            <w:r>
              <w:rPr/>
              <w:t>Common stock, $</w:t>
            </w:r>
            <w:bookmarkStart w:id="78" w:name="xdx_90F_eus-gaap--CommonStockParOrStated"/>
            <w:bookmarkStart w:id="79" w:name="xdx_90B_eus-gaap--CommonStockParOrStated"/>
            <w:bookmarkEnd w:id="78"/>
            <w:bookmarkEnd w:id="79"/>
            <w:r>
              <w:rPr/>
              <w:t xml:space="preserve">0.000001 par value; </w:t>
            </w:r>
            <w:bookmarkStart w:id="80" w:name="xdx_90E_eus-gaap--CommonStockSharesAutho"/>
            <w:bookmarkStart w:id="81" w:name="xdx_905_eus-gaap--CommonStockSharesAutho"/>
            <w:bookmarkEnd w:id="80"/>
            <w:bookmarkEnd w:id="81"/>
            <w:r>
              <w:rPr/>
              <w:t xml:space="preserve">300,000,000 shares authorized; </w:t>
            </w:r>
            <w:bookmarkStart w:id="82" w:name="xdx_903_eus-gaap--CommonStockSharesOutst"/>
            <w:bookmarkStart w:id="83" w:name="xdx_905_eus-gaap--CommonStockSharesIssue"/>
            <w:bookmarkEnd w:id="82"/>
            <w:bookmarkEnd w:id="83"/>
            <w:r>
              <w:rPr/>
              <w:t xml:space="preserve">140,262,960 shares issued and outstanding as of June 30, 2026 and </w:t>
            </w:r>
            <w:bookmarkStart w:id="84" w:name="xdx_909_eus-gaap--CommonStockSharesOutst"/>
            <w:bookmarkStart w:id="85" w:name="xdx_904_eus-gaap--CommonStockSharesIssue"/>
            <w:bookmarkEnd w:id="84"/>
            <w:bookmarkEnd w:id="85"/>
            <w:r>
              <w:rPr/>
              <w:t>140,039,557 shares issued and outstanding as of December 31, 2025</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86" w:name="xdx_404_eus-gaap--AdditionalPaidInCapita"/>
            <w:bookmarkEnd w:id="86"/>
          </w:p>
        </w:tc>
      </w:tr>
      <w:tr>
        <w:trPr/>
        <w:tc>
          <w:tcPr>
            <w:tcW w:w="743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pPr>
            <w:r>
              <w:rPr/>
              <w:t>307,004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right"/>
              <w:rPr/>
            </w:pPr>
            <w:r>
              <w:rPr/>
              <w:t>305,439</w:t>
            </w:r>
          </w:p>
        </w:tc>
        <w:tc>
          <w:tcPr>
            <w:tcW w:w="113" w:type="dxa"/>
            <w:tcBorders/>
            <w:shd w:fill="FFFFFF" w:val="clear"/>
            <w:vAlign w:val="center"/>
          </w:tcPr>
          <w:p>
            <w:pPr>
              <w:pStyle w:val="TableContents"/>
              <w:bidi w:val="0"/>
              <w:spacing w:before="0" w:after="283"/>
              <w:jc w:val="left"/>
              <w:rPr/>
            </w:pPr>
            <w:r>
              <w:rPr/>
              <w:t> </w:t>
            </w:r>
            <w:bookmarkStart w:id="87" w:name="xdx_406_eus-gaap--AccumulatedOtherCompre"/>
            <w:bookmarkEnd w:id="87"/>
          </w:p>
        </w:tc>
      </w:tr>
      <w:tr>
        <w:trPr/>
        <w:tc>
          <w:tcPr>
            <w:tcW w:w="7433"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88" w:name="xdx_40C_eus-gaap--RetainedEarningsAccumu"/>
            <w:bookmarkEnd w:id="88"/>
          </w:p>
        </w:tc>
      </w:tr>
      <w:tr>
        <w:trPr/>
        <w:tc>
          <w:tcPr>
            <w:tcW w:w="743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FFFFFF" w:val="clear"/>
            <w:tcMar>
              <w:bottom w:w="28" w:type="dxa"/>
            </w:tcMar>
            <w:vAlign w:val="center"/>
          </w:tcPr>
          <w:p>
            <w:pPr>
              <w:pStyle w:val="TableContents"/>
              <w:bidi w:val="0"/>
              <w:spacing w:before="0" w:after="283"/>
              <w:jc w:val="right"/>
              <w:rPr/>
            </w:pPr>
            <w:r>
              <w:rPr/>
              <w:t>(266,988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FFFFFF" w:val="clear"/>
            <w:tcMar>
              <w:bottom w:w="28" w:type="dxa"/>
            </w:tcMar>
            <w:vAlign w:val="center"/>
          </w:tcPr>
          <w:p>
            <w:pPr>
              <w:pStyle w:val="TableContents"/>
              <w:bidi w:val="0"/>
              <w:spacing w:before="0" w:after="283"/>
              <w:jc w:val="right"/>
              <w:rPr/>
            </w:pPr>
            <w:r>
              <w:rPr/>
              <w:t>(254,486</w:t>
            </w:r>
          </w:p>
        </w:tc>
        <w:tc>
          <w:tcPr>
            <w:tcW w:w="113" w:type="dxa"/>
            <w:tcBorders/>
            <w:shd w:fill="FFFFFF" w:val="clear"/>
            <w:vAlign w:val="center"/>
          </w:tcPr>
          <w:p>
            <w:pPr>
              <w:pStyle w:val="TableContents"/>
              <w:bidi w:val="0"/>
              <w:spacing w:before="0" w:after="283"/>
              <w:jc w:val="left"/>
              <w:rPr/>
            </w:pPr>
            <w:r>
              <w:rPr/>
              <w:t>)</w:t>
            </w:r>
            <w:bookmarkStart w:id="89" w:name="xdx_402_eus-gaap--StockholdersEquity_i02"/>
            <w:bookmarkEnd w:id="89"/>
          </w:p>
        </w:tc>
      </w:tr>
      <w:tr>
        <w:trPr/>
        <w:tc>
          <w:tcPr>
            <w:tcW w:w="7433"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8" w:space="0" w:color="000000"/>
            </w:tcBorders>
            <w:shd w:fill="CCEEFF" w:val="clear"/>
            <w:tcMar>
              <w:bottom w:w="28" w:type="dxa"/>
            </w:tcMar>
            <w:vAlign w:val="center"/>
          </w:tcPr>
          <w:p>
            <w:pPr>
              <w:pStyle w:val="TableContents"/>
              <w:bidi w:val="0"/>
              <w:spacing w:before="0" w:after="283"/>
              <w:jc w:val="right"/>
              <w:rPr/>
            </w:pPr>
            <w:r>
              <w:rPr/>
              <w:t>40,015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4" w:type="dxa"/>
            <w:tcBorders>
              <w:bottom w:val="single" w:sz="8" w:space="0" w:color="000000"/>
            </w:tcBorders>
            <w:shd w:fill="CCEEFF" w:val="clear"/>
            <w:tcMar>
              <w:bottom w:w="28" w:type="dxa"/>
            </w:tcMar>
            <w:vAlign w:val="center"/>
          </w:tcPr>
          <w:p>
            <w:pPr>
              <w:pStyle w:val="TableContents"/>
              <w:bidi w:val="0"/>
              <w:spacing w:before="0" w:after="283"/>
              <w:jc w:val="right"/>
              <w:rPr/>
            </w:pPr>
            <w:r>
              <w:rPr/>
              <w:t>50,953</w:t>
            </w:r>
          </w:p>
        </w:tc>
        <w:tc>
          <w:tcPr>
            <w:tcW w:w="113" w:type="dxa"/>
            <w:tcBorders/>
            <w:shd w:fill="CCEEFF" w:val="clear"/>
            <w:vAlign w:val="center"/>
          </w:tcPr>
          <w:p>
            <w:pPr>
              <w:pStyle w:val="TableContents"/>
              <w:bidi w:val="0"/>
              <w:spacing w:before="0" w:after="283"/>
              <w:jc w:val="left"/>
              <w:rPr/>
            </w:pPr>
            <w:r>
              <w:rPr/>
              <w:t> </w:t>
            </w:r>
            <w:bookmarkStart w:id="90" w:name="xdx_40D_eus-gaap--LiabilitiesAndStockhol"/>
            <w:bookmarkEnd w:id="90"/>
          </w:p>
        </w:tc>
      </w:tr>
      <w:tr>
        <w:trPr/>
        <w:tc>
          <w:tcPr>
            <w:tcW w:w="7433" w:type="dxa"/>
            <w:tcBorders/>
            <w:shd w:fill="FFFFFF" w:val="clear"/>
            <w:vAlign w:val="center"/>
          </w:tcPr>
          <w:p>
            <w:pPr>
              <w:pStyle w:val="TableContents"/>
              <w:bidi w:val="0"/>
              <w:spacing w:before="0" w:after="283"/>
              <w:jc w:val="left"/>
              <w:rPr/>
            </w:pPr>
            <w:r>
              <w:rPr/>
              <w:t>Total Liabilities &amp; Stockholders’ Equity</w:t>
            </w:r>
          </w:p>
        </w:tc>
        <w:tc>
          <w:tcPr>
            <w:tcW w:w="60" w:type="dxa"/>
            <w:tcBorders/>
            <w:shd w:fill="FFFFFF" w:val="clear"/>
            <w:vAlign w:val="center"/>
          </w:tcPr>
          <w:p>
            <w:pPr>
              <w:pStyle w:val="TableContents"/>
              <w:bidi w:val="0"/>
              <w:spacing w:before="0" w:after="283"/>
              <w:jc w:val="left"/>
              <w:rPr/>
            </w:pPr>
            <w:r>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jc w:val="right"/>
              <w:rPr/>
            </w:pPr>
            <w:r>
              <w:rPr/>
              <w:t>79,667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jc w:val="right"/>
              <w:rPr/>
            </w:pPr>
            <w:r>
              <w:rPr/>
              <w:t>94,145</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in thousands, except number of shares and per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1" w:name="xdx_30A_113_pn3n3_z8jvdA5BuN24"/>
      <w:bookmarkStart w:id="92" w:name="xdx_30A_113_pn3n3_z8jvdA5BuN24"/>
      <w:bookmarkEnd w:id="92"/>
    </w:p>
    <w:tbl>
      <w:tblPr>
        <w:tblW w:w="10205" w:type="dxa"/>
        <w:jc w:val="left"/>
        <w:tblInd w:w="0" w:type="dxa"/>
        <w:tblLayout w:type="fixed"/>
        <w:tblCellMar>
          <w:top w:w="0" w:type="dxa"/>
          <w:left w:w="0" w:type="dxa"/>
          <w:bottom w:w="0" w:type="dxa"/>
          <w:right w:w="0" w:type="dxa"/>
        </w:tblCellMar>
      </w:tblPr>
      <w:tblGrid>
        <w:gridCol w:w="4130"/>
        <w:gridCol w:w="60"/>
        <w:gridCol w:w="140"/>
        <w:gridCol w:w="1220"/>
        <w:gridCol w:w="95"/>
        <w:gridCol w:w="60"/>
        <w:gridCol w:w="140"/>
        <w:gridCol w:w="1220"/>
        <w:gridCol w:w="95"/>
        <w:gridCol w:w="60"/>
        <w:gridCol w:w="140"/>
        <w:gridCol w:w="1220"/>
        <w:gridCol w:w="95"/>
        <w:gridCol w:w="60"/>
        <w:gridCol w:w="140"/>
        <w:gridCol w:w="1220"/>
        <w:gridCol w:w="110"/>
      </w:tblGrid>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3" w:name="xdx_492_20260401__20260630_zXPjPU4R6Rxi"/>
            <w:bookmarkEnd w:id="93"/>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4" w:name="xdx_496_20250401__20250630_zaPlB1hE72C4"/>
            <w:bookmarkEnd w:id="94"/>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5" w:name="xdx_496_20260101__20260630_zblCx3ZX6Isg"/>
            <w:bookmarkEnd w:id="95"/>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6" w:name="xdx_498_20250101__20250630_zN2sLqdggAn2"/>
            <w:bookmarkEnd w:id="96"/>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bookmarkStart w:id="97" w:name="xdx_403_eus-gaap--RevenuesAbstract_iB_zC"/>
            <w:bookmarkEnd w:id="97"/>
          </w:p>
        </w:tc>
      </w:tr>
      <w:tr>
        <w:trPr/>
        <w:tc>
          <w:tcPr>
            <w:tcW w:w="4130"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8" w:name="xdx_40C_eus-gaap--RevenueFromContractWit"/>
            <w:bookmarkEnd w:id="98"/>
          </w:p>
        </w:tc>
      </w:tr>
      <w:tr>
        <w:trPr/>
        <w:tc>
          <w:tcPr>
            <w:tcW w:w="4130" w:type="dxa"/>
            <w:tcBorders/>
            <w:shd w:fill="FFFFFF" w:val="clear"/>
            <w:vAlign w:val="center"/>
          </w:tcPr>
          <w:p>
            <w:pPr>
              <w:pStyle w:val="TableContents"/>
              <w:bidi w:val="0"/>
              <w:spacing w:before="0" w:after="283"/>
              <w:jc w:val="left"/>
              <w:rPr/>
            </w:pPr>
            <w:r>
              <w:rPr/>
              <w:t>Product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23,031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30,436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43,915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59,720</w:t>
            </w:r>
          </w:p>
        </w:tc>
        <w:tc>
          <w:tcPr>
            <w:tcW w:w="110" w:type="dxa"/>
            <w:tcBorders/>
            <w:shd w:fill="FFFFFF" w:val="clear"/>
            <w:vAlign w:val="center"/>
          </w:tcPr>
          <w:p>
            <w:pPr>
              <w:pStyle w:val="TableContents"/>
              <w:bidi w:val="0"/>
              <w:spacing w:before="0" w:after="283"/>
              <w:jc w:val="left"/>
              <w:rPr/>
            </w:pPr>
            <w:r>
              <w:rPr/>
              <w:t> </w:t>
            </w:r>
            <w:bookmarkStart w:id="99" w:name="xdx_407_eus-gaap--RevenueFromContractWit"/>
            <w:bookmarkEnd w:id="99"/>
          </w:p>
        </w:tc>
      </w:tr>
      <w:tr>
        <w:trPr/>
        <w:tc>
          <w:tcPr>
            <w:tcW w:w="4130" w:type="dxa"/>
            <w:tcBorders/>
            <w:shd w:fill="CCEEFF" w:val="clear"/>
            <w:vAlign w:val="center"/>
          </w:tcPr>
          <w:p>
            <w:pPr>
              <w:pStyle w:val="TableContents"/>
              <w:bidi w:val="0"/>
              <w:spacing w:before="0" w:after="283"/>
              <w:jc w:val="left"/>
              <w:rPr/>
            </w:pPr>
            <w:r>
              <w:rPr/>
              <w:t>License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4,975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8,595</w:t>
            </w:r>
          </w:p>
        </w:tc>
        <w:tc>
          <w:tcPr>
            <w:tcW w:w="110" w:type="dxa"/>
            <w:tcBorders/>
            <w:shd w:fill="CCEEFF" w:val="clear"/>
            <w:vAlign w:val="center"/>
          </w:tcPr>
          <w:p>
            <w:pPr>
              <w:pStyle w:val="TableContents"/>
              <w:bidi w:val="0"/>
              <w:spacing w:before="0" w:after="283"/>
              <w:jc w:val="left"/>
              <w:rPr/>
            </w:pPr>
            <w:r>
              <w:rPr/>
              <w:t> </w:t>
            </w:r>
            <w:bookmarkStart w:id="100" w:name="xdx_409_eus-gaap--RevenueFromContractWit"/>
            <w:bookmarkEnd w:id="100"/>
          </w:p>
        </w:tc>
      </w:tr>
      <w:tr>
        <w:trPr/>
        <w:tc>
          <w:tcPr>
            <w:tcW w:w="413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23,031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35,411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43,915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68,315</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1" w:name="xdx_40A_eus-gaap--CostOfGoodsAndServices"/>
            <w:bookmarkEnd w:id="101"/>
          </w:p>
        </w:tc>
      </w:tr>
      <w:tr>
        <w:trPr/>
        <w:tc>
          <w:tcPr>
            <w:tcW w:w="4130" w:type="dxa"/>
            <w:tcBorders/>
            <w:shd w:fill="FFFFFF" w:val="clear"/>
            <w:vAlign w:val="center"/>
          </w:tcPr>
          <w:p>
            <w:pPr>
              <w:pStyle w:val="TableContents"/>
              <w:bidi w:val="0"/>
              <w:spacing w:before="0" w:after="283"/>
              <w:jc w:val="left"/>
              <w:rPr/>
            </w:pPr>
            <w:r>
              <w:rPr/>
              <w:t>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11,127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18,614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23,788</w:t>
            </w:r>
          </w:p>
        </w:tc>
        <w:tc>
          <w:tcPr>
            <w:tcW w:w="110" w:type="dxa"/>
            <w:tcBorders/>
            <w:shd w:fill="FFFFFF" w:val="clear"/>
            <w:vAlign w:val="center"/>
          </w:tcPr>
          <w:p>
            <w:pPr>
              <w:pStyle w:val="TableContents"/>
              <w:bidi w:val="0"/>
              <w:spacing w:before="0" w:after="283"/>
              <w:jc w:val="left"/>
              <w:rPr/>
            </w:pPr>
            <w:r>
              <w:rPr/>
              <w:t> </w:t>
            </w:r>
            <w:bookmarkStart w:id="102" w:name="xdx_408_eus-gaap--GrossProfit_iT_maCzIw5"/>
            <w:bookmarkEnd w:id="102"/>
          </w:p>
        </w:tc>
      </w:tr>
      <w:tr>
        <w:trPr/>
        <w:tc>
          <w:tcPr>
            <w:tcW w:w="413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13,330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24,284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25,301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44,527</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3" w:name="xdx_40B_eus-gaap--OperatingExpensesAbstr"/>
            <w:bookmarkEnd w:id="103"/>
          </w:p>
        </w:tc>
      </w:tr>
      <w:tr>
        <w:trPr/>
        <w:tc>
          <w:tcPr>
            <w:tcW w:w="413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4" w:name="xdx_408_eus-gaap--GeneralAndAdministrati"/>
            <w:bookmarkEnd w:id="104"/>
          </w:p>
        </w:tc>
      </w:tr>
      <w:tr>
        <w:trPr/>
        <w:tc>
          <w:tcPr>
            <w:tcW w:w="413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6,436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7,478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15,011</w:t>
            </w:r>
          </w:p>
        </w:tc>
        <w:tc>
          <w:tcPr>
            <w:tcW w:w="110" w:type="dxa"/>
            <w:tcBorders/>
            <w:shd w:fill="FFFFFF" w:val="clear"/>
            <w:vAlign w:val="center"/>
          </w:tcPr>
          <w:p>
            <w:pPr>
              <w:pStyle w:val="TableContents"/>
              <w:bidi w:val="0"/>
              <w:spacing w:before="0" w:after="283"/>
              <w:jc w:val="left"/>
              <w:rPr/>
            </w:pPr>
            <w:r>
              <w:rPr/>
              <w:t> </w:t>
            </w:r>
            <w:bookmarkStart w:id="105" w:name="xdx_403_eus-gaap--SellingAndMarketingExp"/>
            <w:bookmarkEnd w:id="105"/>
          </w:p>
        </w:tc>
      </w:tr>
      <w:tr>
        <w:trPr/>
        <w:tc>
          <w:tcPr>
            <w:tcW w:w="413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11,616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18,554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22,820</w:t>
            </w:r>
          </w:p>
        </w:tc>
        <w:tc>
          <w:tcPr>
            <w:tcW w:w="110" w:type="dxa"/>
            <w:tcBorders/>
            <w:shd w:fill="CCEEFF" w:val="clear"/>
            <w:vAlign w:val="center"/>
          </w:tcPr>
          <w:p>
            <w:pPr>
              <w:pStyle w:val="TableContents"/>
              <w:bidi w:val="0"/>
              <w:spacing w:before="0" w:after="283"/>
              <w:jc w:val="left"/>
              <w:rPr/>
            </w:pPr>
            <w:r>
              <w:rPr/>
              <w:t> </w:t>
            </w:r>
            <w:bookmarkStart w:id="106" w:name="xdx_40B_eus-gaap--ResearchAndDevelopment"/>
            <w:bookmarkEnd w:id="106"/>
          </w:p>
        </w:tc>
      </w:tr>
      <w:tr>
        <w:trPr/>
        <w:tc>
          <w:tcPr>
            <w:tcW w:w="413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1,009</w:t>
            </w:r>
          </w:p>
        </w:tc>
        <w:tc>
          <w:tcPr>
            <w:tcW w:w="110" w:type="dxa"/>
            <w:tcBorders/>
            <w:shd w:fill="FFFFFF" w:val="clear"/>
            <w:vAlign w:val="center"/>
          </w:tcPr>
          <w:p>
            <w:pPr>
              <w:pStyle w:val="TableContents"/>
              <w:bidi w:val="0"/>
              <w:spacing w:before="0" w:after="283"/>
              <w:jc w:val="left"/>
              <w:rPr/>
            </w:pPr>
            <w:r>
              <w:rPr/>
              <w:t> </w:t>
            </w:r>
            <w:bookmarkStart w:id="107" w:name="xdx_404_ecustom--WriteoffOfDistributionA"/>
            <w:bookmarkEnd w:id="107"/>
          </w:p>
        </w:tc>
      </w:tr>
      <w:tr>
        <w:trPr/>
        <w:tc>
          <w:tcPr>
            <w:tcW w:w="4130" w:type="dxa"/>
            <w:tcBorders/>
            <w:shd w:fill="CCEEFF" w:val="clear"/>
            <w:vAlign w:val="center"/>
          </w:tcPr>
          <w:p>
            <w:pPr>
              <w:pStyle w:val="TableContents"/>
              <w:bidi w:val="0"/>
              <w:spacing w:before="0" w:after="283"/>
              <w:jc w:val="left"/>
              <w:rPr/>
            </w:pPr>
            <w:r>
              <w:rPr/>
              <w:t>Write-off of distribution agreement deposit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08" w:name="xdx_402_eus-gaap--OperatingExpenses_i01T"/>
            <w:bookmarkEnd w:id="108"/>
          </w:p>
        </w:tc>
      </w:tr>
      <w:tr>
        <w:trPr/>
        <w:tc>
          <w:tcPr>
            <w:tcW w:w="4130"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22,499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19,660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37,393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38,840</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9" w:name="xdx_405_eus-gaap--OperatingIncomeLoss_iT"/>
            <w:bookmarkEnd w:id="109"/>
          </w:p>
        </w:tc>
      </w:tr>
      <w:tr>
        <w:trPr/>
        <w:tc>
          <w:tcPr>
            <w:tcW w:w="4130" w:type="dxa"/>
            <w:tcBorders/>
            <w:shd w:fill="FFFFFF" w:val="clear"/>
            <w:vAlign w:val="center"/>
          </w:tcPr>
          <w:p>
            <w:pPr>
              <w:pStyle w:val="TableContents"/>
              <w:bidi w:val="0"/>
              <w:spacing w:before="0" w:after="283"/>
              <w:jc w:val="left"/>
              <w:rPr/>
            </w:pPr>
            <w:r>
              <w:rPr/>
              <w:t>(Loss) Income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4,624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(12,092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5,687</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0" w:name="xdx_409_eus-gaap--OtherExpensesAbstract_"/>
            <w:bookmarkEnd w:id="110"/>
          </w:p>
        </w:tc>
      </w:tr>
      <w:tr>
        <w:trPr/>
        <w:tc>
          <w:tcPr>
            <w:tcW w:w="4130" w:type="dxa"/>
            <w:tcBorders/>
            <w:shd w:fill="FFFFFF" w:val="clear"/>
            <w:vAlign w:val="center"/>
          </w:tcPr>
          <w:p>
            <w:pPr>
              <w:pStyle w:val="TableContents"/>
              <w:bidi w:val="0"/>
              <w:spacing w:before="0" w:after="283"/>
              <w:jc w:val="left"/>
              <w:rPr/>
            </w:pPr>
            <w:r>
              <w:rPr/>
              <w:t>Other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1" w:name="xdx_40D_eus-gaap--InterestExpenseNonoper"/>
            <w:bookmarkEnd w:id="111"/>
          </w:p>
        </w:tc>
      </w:tr>
      <w:tr>
        <w:trPr/>
        <w:tc>
          <w:tcPr>
            <w:tcW w:w="4130"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(2,049</w:t>
            </w:r>
          </w:p>
        </w:tc>
        <w:tc>
          <w:tcPr>
            <w:tcW w:w="110" w:type="dxa"/>
            <w:tcBorders/>
            <w:shd w:fill="CCEEFF" w:val="clear"/>
            <w:vAlign w:val="center"/>
          </w:tcPr>
          <w:p>
            <w:pPr>
              <w:pStyle w:val="TableContents"/>
              <w:bidi w:val="0"/>
              <w:spacing w:before="0" w:after="283"/>
              <w:jc w:val="left"/>
              <w:rPr/>
            </w:pPr>
            <w:r>
              <w:rPr/>
              <w:t>)</w:t>
            </w:r>
            <w:bookmarkStart w:id="112" w:name="xdx_407_eus-gaap--InvestmentIncomeIntere"/>
            <w:bookmarkEnd w:id="112"/>
          </w:p>
        </w:tc>
      </w:tr>
      <w:tr>
        <w:trPr/>
        <w:tc>
          <w:tcPr>
            <w:tcW w:w="4130" w:type="dxa"/>
            <w:tcBorders/>
            <w:shd w:fill="FFFFFF" w:val="clear"/>
            <w:vAlign w:val="center"/>
          </w:tcPr>
          <w:p>
            <w:pPr>
              <w:pStyle w:val="TableContents"/>
              <w:bidi w:val="0"/>
              <w:spacing w:before="0" w:after="283"/>
              <w:jc w:val="left"/>
              <w:rPr/>
            </w:pPr>
            <w:r>
              <w:rPr/>
              <w:t>Interest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3" w:name="xdx_40E_eus-gaap--ForeignCurrencyTransac"/>
            <w:bookmarkEnd w:id="113"/>
          </w:p>
        </w:tc>
      </w:tr>
      <w:tr>
        <w:trPr/>
        <w:tc>
          <w:tcPr>
            <w:tcW w:w="4130" w:type="dxa"/>
            <w:tcBorders/>
            <w:shd w:fill="CCEEFF" w:val="clear"/>
            <w:vAlign w:val="center"/>
          </w:tcPr>
          <w:p>
            <w:pPr>
              <w:pStyle w:val="TableContents"/>
              <w:bidi w:val="0"/>
              <w:spacing w:before="0" w:after="283"/>
              <w:jc w:val="left"/>
              <w:rPr/>
            </w:pPr>
            <w:r>
              <w:rPr/>
              <w:t>Unrealized foreign currency translation gain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202</w:t>
            </w:r>
          </w:p>
        </w:tc>
        <w:tc>
          <w:tcPr>
            <w:tcW w:w="110" w:type="dxa"/>
            <w:tcBorders/>
            <w:shd w:fill="CCEEFF" w:val="clear"/>
            <w:vAlign w:val="center"/>
          </w:tcPr>
          <w:p>
            <w:pPr>
              <w:pStyle w:val="TableContents"/>
              <w:bidi w:val="0"/>
              <w:spacing w:before="0" w:after="283"/>
              <w:jc w:val="left"/>
              <w:rPr/>
            </w:pPr>
            <w:r>
              <w:rPr/>
              <w:t> </w:t>
            </w:r>
            <w:bookmarkStart w:id="114" w:name="xdx_408_eus-gaap--OtherNonoperatingIncom"/>
            <w:bookmarkEnd w:id="114"/>
          </w:p>
        </w:tc>
      </w:tr>
      <w:tr>
        <w:trPr/>
        <w:tc>
          <w:tcPr>
            <w:tcW w:w="4130"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bookmarkStart w:id="115" w:name="xdx_402_eus-gaap--NonoperatingIncomeExpe"/>
            <w:bookmarkEnd w:id="115"/>
          </w:p>
        </w:tc>
      </w:tr>
      <w:tr>
        <w:trPr/>
        <w:tc>
          <w:tcPr>
            <w:tcW w:w="4130" w:type="dxa"/>
            <w:tcBorders/>
            <w:shd w:fill="CCEEFF" w:val="clear"/>
            <w:vAlign w:val="center"/>
          </w:tcPr>
          <w:p>
            <w:pPr>
              <w:pStyle w:val="TableContents"/>
              <w:bidi w:val="0"/>
              <w:spacing w:before="0" w:after="283"/>
              <w:jc w:val="left"/>
              <w:rPr/>
            </w:pPr>
            <w:r>
              <w:rPr/>
              <w:t>Total Other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(819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(1,849</w:t>
            </w:r>
          </w:p>
        </w:tc>
        <w:tc>
          <w:tcPr>
            <w:tcW w:w="110" w:type="dxa"/>
            <w:tcBorders/>
            <w:shd w:fill="CCEEFF" w:val="clear"/>
            <w:vAlign w:val="center"/>
          </w:tcPr>
          <w:p>
            <w:pPr>
              <w:pStyle w:val="TableContents"/>
              <w:bidi w:val="0"/>
              <w:spacing w:before="0" w:after="283"/>
              <w:jc w:val="left"/>
              <w:rPr/>
            </w:pPr>
            <w:r>
              <w:rPr/>
              <w:t>)</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6" w:name="xdx_40D_eus-gaap--IncomeLossFromContinui"/>
            <w:bookmarkEnd w:id="116"/>
          </w:p>
        </w:tc>
      </w:tr>
      <w:tr>
        <w:trPr/>
        <w:tc>
          <w:tcPr>
            <w:tcW w:w="4130" w:type="dxa"/>
            <w:tcBorders/>
            <w:shd w:fill="CCEEFF" w:val="clear"/>
            <w:vAlign w:val="center"/>
          </w:tcPr>
          <w:p>
            <w:pPr>
              <w:pStyle w:val="TableContents"/>
              <w:bidi w:val="0"/>
              <w:spacing w:before="0" w:after="283"/>
              <w:jc w:val="left"/>
              <w:rPr/>
            </w:pPr>
            <w:r>
              <w:rPr/>
              <w:t>Net (Loss) Income from Operations Before 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(9,340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(12,402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3,838</w:t>
            </w:r>
          </w:p>
        </w:tc>
        <w:tc>
          <w:tcPr>
            <w:tcW w:w="110" w:type="dxa"/>
            <w:tcBorders/>
            <w:shd w:fill="CCEEFF" w:val="clear"/>
            <w:vAlign w:val="center"/>
          </w:tcPr>
          <w:p>
            <w:pPr>
              <w:pStyle w:val="TableContents"/>
              <w:bidi w:val="0"/>
              <w:spacing w:before="0" w:after="283"/>
              <w:jc w:val="left"/>
              <w:rPr/>
            </w:pPr>
            <w:r>
              <w:rPr/>
              <w:t> </w:t>
            </w:r>
          </w:p>
        </w:tc>
      </w:tr>
      <w:tr>
        <w:trPr/>
        <w:tc>
          <w:tcPr>
            <w:tcW w:w="4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17" w:name="xdx_407_eus-gaap--IncomeTaxExpenseBenefi"/>
            <w:bookmarkEnd w:id="117"/>
          </w:p>
        </w:tc>
      </w:tr>
      <w:tr>
        <w:trPr/>
        <w:tc>
          <w:tcPr>
            <w:tcW w:w="4130" w:type="dxa"/>
            <w:tcBorders/>
            <w:shd w:fill="CCEEFF" w:val="clear"/>
            <w:vAlign w:val="center"/>
          </w:tcPr>
          <w:p>
            <w:pPr>
              <w:pStyle w:val="TableContents"/>
              <w:bidi w:val="0"/>
              <w:spacing w:before="0" w:after="283"/>
              <w:jc w:val="left"/>
              <w:rPr/>
            </w:pPr>
            <w:r>
              <w:rPr/>
              <w:t>Provision for Income Taxes Current and Deferred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(230</w:t>
            </w:r>
          </w:p>
        </w:tc>
        <w:tc>
          <w:tcPr>
            <w:tcW w:w="110" w:type="dxa"/>
            <w:tcBorders/>
            <w:shd w:fill="CCEEFF" w:val="clear"/>
            <w:vAlign w:val="center"/>
          </w:tcPr>
          <w:p>
            <w:pPr>
              <w:pStyle w:val="TableContents"/>
              <w:bidi w:val="0"/>
              <w:spacing w:before="0" w:after="283"/>
              <w:jc w:val="left"/>
              <w:rPr/>
            </w:pPr>
            <w:r>
              <w:rPr/>
              <w:t>)</w:t>
            </w:r>
            <w:bookmarkStart w:id="118" w:name="xdx_40B_eus-gaap--NetIncomeLoss_iT_mtCzW"/>
            <w:bookmarkEnd w:id="118"/>
          </w:p>
        </w:tc>
      </w:tr>
      <w:tr>
        <w:trPr/>
        <w:tc>
          <w:tcPr>
            <w:tcW w:w="413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(9,413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(12,502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3,608</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19" w:name="xdx_40E_eus-gaap--EarningsPerShareAbstra"/>
            <w:bookmarkEnd w:id="119"/>
          </w:p>
        </w:tc>
      </w:tr>
      <w:tr>
        <w:trPr/>
        <w:tc>
          <w:tcPr>
            <w:tcW w:w="4130" w:type="dxa"/>
            <w:tcBorders/>
            <w:shd w:fill="FFFFFF" w:val="clear"/>
            <w:vAlign w:val="center"/>
          </w:tcPr>
          <w:p>
            <w:pPr>
              <w:pStyle w:val="TableContents"/>
              <w:bidi w:val="0"/>
              <w:spacing w:before="0" w:after="283"/>
              <w:jc w:val="left"/>
              <w:rPr/>
            </w:pPr>
            <w:r>
              <w:rPr/>
              <w:t>Net (Loss) Income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0" w:name="xdx_400_eus-gaap--EarningsPerShareBasic_"/>
            <w:bookmarkEnd w:id="120"/>
          </w:p>
        </w:tc>
      </w:tr>
      <w:tr>
        <w:trPr/>
        <w:tc>
          <w:tcPr>
            <w:tcW w:w="413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0.03</w:t>
            </w:r>
          </w:p>
        </w:tc>
        <w:tc>
          <w:tcPr>
            <w:tcW w:w="110" w:type="dxa"/>
            <w:tcBorders/>
            <w:shd w:fill="CCEEFF" w:val="clear"/>
            <w:vAlign w:val="center"/>
          </w:tcPr>
          <w:p>
            <w:pPr>
              <w:pStyle w:val="TableContents"/>
              <w:bidi w:val="0"/>
              <w:spacing w:before="0" w:after="283"/>
              <w:jc w:val="left"/>
              <w:rPr/>
            </w:pPr>
            <w:r>
              <w:rPr/>
              <w:t> </w:t>
            </w:r>
            <w:bookmarkStart w:id="121" w:name="xdx_40A_eus-gaap--EarningsPerShareDilute"/>
            <w:bookmarkEnd w:id="121"/>
          </w:p>
        </w:tc>
      </w:tr>
      <w:tr>
        <w:trPr/>
        <w:tc>
          <w:tcPr>
            <w:tcW w:w="4130" w:type="dxa"/>
            <w:tcBorders/>
            <w:shd w:fill="FFFFFF" w:val="clear"/>
            <w:vAlign w:val="center"/>
          </w:tcPr>
          <w:p>
            <w:pPr>
              <w:pStyle w:val="TableContents"/>
              <w:bidi w:val="0"/>
              <w:spacing w:before="0" w:after="283"/>
              <w:jc w:val="left"/>
              <w:rPr/>
            </w:pPr>
            <w:r>
              <w:rPr/>
              <w:t>Dilutive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0.02</w:t>
            </w:r>
          </w:p>
        </w:tc>
        <w:tc>
          <w:tcPr>
            <w:tcW w:w="110" w:type="dxa"/>
            <w:tcBorders/>
            <w:shd w:fill="FFFFFF" w:val="clear"/>
            <w:vAlign w:val="center"/>
          </w:tcPr>
          <w:p>
            <w:pPr>
              <w:pStyle w:val="TableContents"/>
              <w:bidi w:val="0"/>
              <w:spacing w:before="0" w:after="283"/>
              <w:jc w:val="left"/>
              <w:rPr/>
            </w:pPr>
            <w:r>
              <w:rPr/>
              <w:t> </w:t>
            </w:r>
          </w:p>
        </w:tc>
      </w:tr>
      <w:tr>
        <w:trPr/>
        <w:tc>
          <w:tcPr>
            <w:tcW w:w="4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2" w:name="xdx_40C_eus-gaap--WeightedAverageNumberO"/>
            <w:bookmarkEnd w:id="122"/>
          </w:p>
        </w:tc>
      </w:tr>
      <w:tr>
        <w:trPr/>
        <w:tc>
          <w:tcPr>
            <w:tcW w:w="4130" w:type="dxa"/>
            <w:tcBorders/>
            <w:shd w:fill="FFFFFF" w:val="clear"/>
            <w:vAlign w:val="center"/>
          </w:tcPr>
          <w:p>
            <w:pPr>
              <w:pStyle w:val="TableContents"/>
              <w:bidi w:val="0"/>
              <w:spacing w:before="0" w:after="283"/>
              <w:jc w:val="left"/>
              <w:rPr/>
            </w:pPr>
            <w:r>
              <w:rPr/>
              <w:t>Shares used in the computation: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3" w:name="xdx_40B_eus-gaap--WeightedAverageNumberO"/>
            <w:bookmarkEnd w:id="123"/>
          </w:p>
        </w:tc>
      </w:tr>
      <w:tr>
        <w:trPr/>
        <w:tc>
          <w:tcPr>
            <w:tcW w:w="413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140,258,667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139,310,589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140,159,255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139,190,378</w:t>
            </w:r>
          </w:p>
        </w:tc>
        <w:tc>
          <w:tcPr>
            <w:tcW w:w="110" w:type="dxa"/>
            <w:tcBorders/>
            <w:shd w:fill="CCEEFF" w:val="clear"/>
            <w:vAlign w:val="center"/>
          </w:tcPr>
          <w:p>
            <w:pPr>
              <w:pStyle w:val="TableContents"/>
              <w:bidi w:val="0"/>
              <w:spacing w:before="0" w:after="283"/>
              <w:jc w:val="left"/>
              <w:rPr/>
            </w:pPr>
            <w:r>
              <w:rPr/>
              <w:t> </w:t>
            </w:r>
            <w:bookmarkStart w:id="124" w:name="xdx_407_eus-gaap--WeightedAverageNumberO"/>
            <w:bookmarkEnd w:id="124"/>
          </w:p>
        </w:tc>
      </w:tr>
      <w:tr>
        <w:trPr/>
        <w:tc>
          <w:tcPr>
            <w:tcW w:w="4130" w:type="dxa"/>
            <w:tcBorders/>
            <w:shd w:fill="FFFFFF" w:val="clear"/>
            <w:vAlign w:val="center"/>
          </w:tcPr>
          <w:p>
            <w:pPr>
              <w:pStyle w:val="TableContents"/>
              <w:bidi w:val="0"/>
              <w:spacing w:before="0" w:after="283"/>
              <w:jc w:val="left"/>
              <w:rPr/>
            </w:pPr>
            <w:r>
              <w:rPr/>
              <w:t>Dilutive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140,258,667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148,574,242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140,159,255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148,339,423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(Loss) Income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5" w:name="xdx_307_113_pn3n3_zfLWwCJZTg7d"/>
      <w:bookmarkStart w:id="126" w:name="xdx_307_113_pn3n3_zfLWwCJZTg7d"/>
      <w:bookmarkEnd w:id="126"/>
    </w:p>
    <w:tbl>
      <w:tblPr>
        <w:tblW w:w="7651" w:type="dxa"/>
        <w:jc w:val="left"/>
        <w:tblInd w:w="0" w:type="dxa"/>
        <w:tblLayout w:type="fixed"/>
        <w:tblCellMar>
          <w:top w:w="0" w:type="dxa"/>
          <w:left w:w="0" w:type="dxa"/>
          <w:bottom w:w="0" w:type="dxa"/>
          <w:right w:w="0" w:type="dxa"/>
        </w:tblCellMar>
      </w:tblPr>
      <w:tblGrid>
        <w:gridCol w:w="3860"/>
        <w:gridCol w:w="60"/>
        <w:gridCol w:w="153"/>
        <w:gridCol w:w="697"/>
        <w:gridCol w:w="104"/>
        <w:gridCol w:w="65"/>
        <w:gridCol w:w="153"/>
        <w:gridCol w:w="614"/>
        <w:gridCol w:w="60"/>
        <w:gridCol w:w="60"/>
        <w:gridCol w:w="140"/>
        <w:gridCol w:w="755"/>
        <w:gridCol w:w="95"/>
        <w:gridCol w:w="60"/>
        <w:gridCol w:w="140"/>
        <w:gridCol w:w="560"/>
        <w:gridCol w:w="75"/>
      </w:tblGrid>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27" w:name="xdx_499_20260401__20260630_zyVZ50qjjXdc"/>
            <w:bookmarkEnd w:id="127"/>
          </w:p>
        </w:tc>
        <w:tc>
          <w:tcPr>
            <w:tcW w:w="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128" w:name="xdx_493_20250401__20250630_zzHbhVTB2CU"/>
            <w:bookmarkEnd w:id="128"/>
          </w:p>
        </w:tc>
        <w:tc>
          <w:tcPr>
            <w:tcW w:w="7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29" w:name="xdx_493_20260101__20260630_zBDrJirmeEf2"/>
            <w:bookmarkEnd w:id="129"/>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0" w:name="xdx_493_20250101__20250630_zIMOjkUGapt3"/>
            <w:bookmarkEnd w:id="130"/>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38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4"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131" w:name="xdx_408_eus-gaap--NetIncomeLoss_maCINOTz"/>
            <w:bookmarkEnd w:id="131"/>
          </w:p>
        </w:tc>
      </w:tr>
      <w:tr>
        <w:trPr/>
        <w:tc>
          <w:tcPr>
            <w:tcW w:w="3860"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97" w:type="dxa"/>
            <w:tcBorders/>
            <w:shd w:fill="CCEEFF" w:val="clear"/>
            <w:vAlign w:val="center"/>
          </w:tcPr>
          <w:p>
            <w:pPr>
              <w:pStyle w:val="TableContents"/>
              <w:bidi w:val="0"/>
              <w:spacing w:before="0" w:after="283"/>
              <w:jc w:val="right"/>
              <w:rPr/>
            </w:pPr>
            <w:r>
              <w:rPr/>
              <w:t>(9,413</w:t>
            </w:r>
          </w:p>
        </w:tc>
        <w:tc>
          <w:tcPr>
            <w:tcW w:w="104"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614" w:type="dxa"/>
            <w:tcBorders/>
            <w:shd w:fill="CCEEFF" w:val="clear"/>
            <w:vAlign w:val="center"/>
          </w:tcPr>
          <w:p>
            <w:pPr>
              <w:pStyle w:val="TableContents"/>
              <w:bidi w:val="0"/>
              <w:spacing w:before="0" w:after="283"/>
              <w:jc w:val="right"/>
              <w:rPr/>
            </w:pPr>
            <w:r>
              <w:rPr/>
              <w:t>3,550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(12,502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3,608</w:t>
            </w:r>
          </w:p>
        </w:tc>
        <w:tc>
          <w:tcPr>
            <w:tcW w:w="75" w:type="dxa"/>
            <w:tcBorders/>
            <w:shd w:fill="CCEEFF" w:val="clear"/>
            <w:vAlign w:val="center"/>
          </w:tcPr>
          <w:p>
            <w:pPr>
              <w:pStyle w:val="TableContents"/>
              <w:bidi w:val="0"/>
              <w:spacing w:before="0" w:after="283"/>
              <w:jc w:val="left"/>
              <w:rPr/>
            </w:pPr>
            <w:r>
              <w:rPr/>
              <w:t> </w:t>
            </w:r>
            <w:bookmarkStart w:id="132" w:name="xdx_40F_eus-gaap--OtherComprehensiveInco"/>
            <w:bookmarkEnd w:id="132"/>
          </w:p>
        </w:tc>
      </w:tr>
      <w:tr>
        <w:trPr/>
        <w:tc>
          <w:tcPr>
            <w:tcW w:w="3860" w:type="dxa"/>
            <w:tcBorders/>
            <w:shd w:fill="FFFFFF" w:val="clear"/>
            <w:vAlign w:val="center"/>
          </w:tcPr>
          <w:p>
            <w:pPr>
              <w:pStyle w:val="TableContents"/>
              <w:bidi w:val="0"/>
              <w:spacing w:before="0" w:after="283"/>
              <w:jc w:val="left"/>
              <w:rPr/>
            </w:pPr>
            <w:r>
              <w:rPr/>
              <w:t>Other Comprehensive (Loss) Income</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97"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133" w:name="xdx_40D_eus-gaap--OtherComprehensiveInco"/>
            <w:bookmarkEnd w:id="133"/>
          </w:p>
        </w:tc>
      </w:tr>
      <w:tr>
        <w:trPr/>
        <w:tc>
          <w:tcPr>
            <w:tcW w:w="3860" w:type="dxa"/>
            <w:tcBorders/>
            <w:shd w:fill="CCEEFF" w:val="clear"/>
            <w:vAlign w:val="center"/>
          </w:tcPr>
          <w:p>
            <w:pPr>
              <w:pStyle w:val="TableContents"/>
              <w:bidi w:val="0"/>
              <w:spacing w:before="0" w:after="283"/>
              <w:jc w:val="left"/>
              <w:rPr/>
            </w:pPr>
            <w:r>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4"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361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468</w:t>
            </w:r>
          </w:p>
        </w:tc>
        <w:tc>
          <w:tcPr>
            <w:tcW w:w="75" w:type="dxa"/>
            <w:tcBorders/>
            <w:shd w:fill="CCEEFF" w:val="clear"/>
            <w:vAlign w:val="center"/>
          </w:tcPr>
          <w:p>
            <w:pPr>
              <w:pStyle w:val="TableContents"/>
              <w:bidi w:val="0"/>
              <w:spacing w:before="0" w:after="283"/>
              <w:jc w:val="left"/>
              <w:rPr/>
            </w:pPr>
            <w:r>
              <w:rPr/>
              <w:t> </w:t>
            </w:r>
            <w:bookmarkStart w:id="134" w:name="xdx_40E_eus-gaap--ComprehensiveIncomeNet"/>
            <w:bookmarkEnd w:id="134"/>
          </w:p>
        </w:tc>
      </w:tr>
      <w:tr>
        <w:trPr/>
        <w:tc>
          <w:tcPr>
            <w:tcW w:w="3860" w:type="dxa"/>
            <w:tcBorders/>
            <w:shd w:fill="FFFFFF" w:val="clear"/>
            <w:vAlign w:val="center"/>
          </w:tcPr>
          <w:p>
            <w:pPr>
              <w:pStyle w:val="TableContents"/>
              <w:bidi w:val="0"/>
              <w:spacing w:before="0" w:after="283"/>
              <w:jc w:val="left"/>
              <w:rPr/>
            </w:pPr>
            <w:r>
              <w:rPr/>
              <w:t>Comprehensive (Loss) Income</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97" w:type="dxa"/>
            <w:tcBorders>
              <w:bottom w:val="double" w:sz="6" w:space="0" w:color="000000"/>
            </w:tcBorders>
            <w:shd w:fill="FFFFFF" w:val="clear"/>
            <w:tcMar>
              <w:bottom w:w="28" w:type="dxa"/>
            </w:tcMar>
            <w:vAlign w:val="center"/>
          </w:tcPr>
          <w:p>
            <w:pPr>
              <w:pStyle w:val="TableContents"/>
              <w:bidi w:val="0"/>
              <w:spacing w:before="0" w:after="283"/>
              <w:jc w:val="right"/>
              <w:rPr/>
            </w:pPr>
            <w:r>
              <w:rPr/>
              <w:t>(9,413</w:t>
            </w:r>
          </w:p>
        </w:tc>
        <w:tc>
          <w:tcPr>
            <w:tcW w:w="104"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pPr>
            <w:r>
              <w:rPr/>
              <w:t>3,911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(12,503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4,076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1"/>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in thousands, except number of shares)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5" w:name="xdx_30A_114_pn3n3_zQqMt6PaZQA3"/>
      <w:bookmarkStart w:id="136" w:name="xdx_30A_114_pn3n3_zQqMt6PaZQA3"/>
      <w:bookmarkEnd w:id="136"/>
    </w:p>
    <w:tbl>
      <w:tblPr>
        <w:tblW w:w="10205" w:type="dxa"/>
        <w:jc w:val="left"/>
        <w:tblInd w:w="0" w:type="dxa"/>
        <w:tblLayout w:type="fixed"/>
        <w:tblCellMar>
          <w:top w:w="0" w:type="dxa"/>
          <w:left w:w="0" w:type="dxa"/>
          <w:bottom w:w="0" w:type="dxa"/>
          <w:right w:w="0" w:type="dxa"/>
        </w:tblCellMar>
      </w:tblPr>
      <w:tblGrid>
        <w:gridCol w:w="1591"/>
        <w:gridCol w:w="60"/>
        <w:gridCol w:w="60"/>
        <w:gridCol w:w="1220"/>
        <w:gridCol w:w="95"/>
        <w:gridCol w:w="60"/>
        <w:gridCol w:w="301"/>
        <w:gridCol w:w="559"/>
        <w:gridCol w:w="60"/>
        <w:gridCol w:w="60"/>
        <w:gridCol w:w="169"/>
        <w:gridCol w:w="973"/>
        <w:gridCol w:w="95"/>
        <w:gridCol w:w="60"/>
        <w:gridCol w:w="400"/>
        <w:gridCol w:w="1306"/>
        <w:gridCol w:w="95"/>
        <w:gridCol w:w="60"/>
        <w:gridCol w:w="188"/>
        <w:gridCol w:w="1182"/>
        <w:gridCol w:w="95"/>
        <w:gridCol w:w="60"/>
        <w:gridCol w:w="199"/>
        <w:gridCol w:w="1143"/>
        <w:gridCol w:w="114"/>
      </w:tblGrid>
      <w:tr>
        <w:trPr/>
        <w:tc>
          <w:tcPr>
            <w:tcW w:w="15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7" w:name="xdx_4B0_us-gaap--StatementEquityComponen"/>
            <w:bookmarkEnd w:id="137"/>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8" w:name="xdx_4BC_us-gaap--StatementEquityComponen"/>
            <w:bookmarkEnd w:id="138"/>
          </w:p>
        </w:tc>
        <w:tc>
          <w:tcPr>
            <w:tcW w:w="11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39" w:name="xdx_4B4_us-gaap--StatementEquityComponen"/>
            <w:bookmarkEnd w:id="139"/>
          </w:p>
        </w:tc>
        <w:tc>
          <w:tcPr>
            <w:tcW w:w="1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0" w:name="xdx_4BB_us-gaap--StatementEquityComponen"/>
            <w:bookmarkEnd w:id="140"/>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 w:name="xdx_4BD_zx9WIXrY2Xx2"/>
            <w:bookmarkEnd w:id="141"/>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4" w:type="dxa"/>
            <w:tcBorders/>
            <w:vAlign w:val="center"/>
          </w:tcPr>
          <w:p>
            <w:pPr>
              <w:pStyle w:val="TableContents"/>
              <w:bidi w:val="0"/>
              <w:spacing w:before="0" w:after="283"/>
              <w:jc w:val="left"/>
              <w:rPr/>
            </w:pPr>
            <w:r>
              <w:rPr/>
              <w:t> </w:t>
            </w:r>
          </w:p>
        </w:tc>
      </w:tr>
      <w:tr>
        <w:trPr/>
        <w:tc>
          <w:tcPr>
            <w:tcW w:w="159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9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vAlign w:val="center"/>
          </w:tcPr>
          <w:p>
            <w:pPr>
              <w:pStyle w:val="TableContents"/>
              <w:bidi w:val="0"/>
              <w:spacing w:before="0" w:after="283"/>
              <w:jc w:val="center"/>
              <w:rPr>
                <w:b/>
              </w:rPr>
            </w:pPr>
            <w:r>
              <w:rPr>
                <w:b/>
              </w:rPr>
              <w:t>Additional 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6" w:type="dxa"/>
            <w:gridSpan w:val="2"/>
            <w:tcBorders/>
            <w:vAlign w:val="center"/>
          </w:tcPr>
          <w:p>
            <w:pPr>
              <w:pStyle w:val="TableContents"/>
              <w:bidi w:val="0"/>
              <w:spacing w:before="0" w:after="283"/>
              <w:jc w:val="center"/>
              <w:rPr>
                <w:b/>
              </w:rPr>
            </w:pPr>
            <w:r>
              <w:rPr>
                <w:b/>
              </w:rPr>
              <w:t>Accumulated Other 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2" w:type="dxa"/>
            <w:gridSpan w:val="2"/>
            <w:tcBorders/>
            <w:vAlign w:val="center"/>
          </w:tcPr>
          <w:p>
            <w:pPr>
              <w:pStyle w:val="TableContents"/>
              <w:bidi w:val="0"/>
              <w:spacing w:before="0" w:after="283"/>
              <w:jc w:val="center"/>
              <w:rPr>
                <w:b/>
              </w:rPr>
            </w:pPr>
            <w:r>
              <w:rPr>
                <w:b/>
              </w:rPr>
              <w:t>Total</w:t>
              <w:br/>
              <w:t>Stockholders’</w:t>
            </w:r>
          </w:p>
        </w:tc>
        <w:tc>
          <w:tcPr>
            <w:tcW w:w="114" w:type="dxa"/>
            <w:tcBorders/>
            <w:vAlign w:val="center"/>
          </w:tcPr>
          <w:p>
            <w:pPr>
              <w:pStyle w:val="TableContents"/>
              <w:bidi w:val="0"/>
              <w:spacing w:before="0" w:after="283"/>
              <w:jc w:val="left"/>
              <w:rPr/>
            </w:pPr>
            <w:r>
              <w:rPr/>
              <w:t> </w:t>
            </w:r>
          </w:p>
        </w:tc>
      </w:tr>
      <w:tr>
        <w:trPr/>
        <w:tc>
          <w:tcPr>
            <w:tcW w:w="15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4" w:type="dxa"/>
            <w:tcBorders/>
            <w:vAlign w:val="center"/>
          </w:tcPr>
          <w:p>
            <w:pPr>
              <w:pStyle w:val="TableContents"/>
              <w:bidi w:val="0"/>
              <w:spacing w:before="0" w:after="283"/>
              <w:jc w:val="left"/>
              <w:rPr/>
            </w:pPr>
            <w:r>
              <w:rPr/>
              <w:t> </w:t>
            </w:r>
            <w:bookmarkStart w:id="142" w:name="xdx_435_c20250101__20250331_eus-gaap--St"/>
            <w:bookmarkEnd w:id="142"/>
          </w:p>
        </w:tc>
      </w:tr>
      <w:tr>
        <w:trPr/>
        <w:tc>
          <w:tcPr>
            <w:tcW w:w="1591" w:type="dxa"/>
            <w:tcBorders/>
            <w:shd w:fill="CCEEFF" w:val="clear"/>
            <w:vAlign w:val="center"/>
          </w:tcPr>
          <w:p>
            <w:pPr>
              <w:pStyle w:val="TableContents"/>
              <w:bidi w:val="0"/>
              <w:spacing w:before="0" w:after="283"/>
              <w:jc w:val="left"/>
              <w:rPr/>
            </w:pPr>
            <w:r>
              <w:rPr/>
              <w:t>Balance at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3" w:name="xdx_981_eus-gaap--SharesOutstanding_iS_p"/>
            <w:bookmarkEnd w:id="143"/>
          </w:p>
        </w:tc>
        <w:tc>
          <w:tcPr>
            <w:tcW w:w="1220" w:type="dxa"/>
            <w:tcBorders/>
            <w:shd w:fill="CCEEFF" w:val="clear"/>
            <w:vAlign w:val="center"/>
          </w:tcPr>
          <w:p>
            <w:pPr>
              <w:pStyle w:val="TableContents"/>
              <w:bidi w:val="0"/>
              <w:spacing w:before="0" w:after="283"/>
              <w:jc w:val="right"/>
              <w:rPr/>
            </w:pPr>
            <w:r>
              <w:rPr/>
              <w:t>139,045,664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973" w:type="dxa"/>
            <w:tcBorders/>
            <w:shd w:fill="CCEEFF" w:val="clear"/>
            <w:vAlign w:val="center"/>
          </w:tcPr>
          <w:p>
            <w:pPr>
              <w:pStyle w:val="TableContents"/>
              <w:bidi w:val="0"/>
              <w:spacing w:before="0" w:after="283"/>
              <w:jc w:val="right"/>
              <w:rPr/>
            </w:pPr>
            <w:r>
              <w:rPr/>
              <w:t>302,738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w:t>
            </w:r>
          </w:p>
        </w:tc>
        <w:tc>
          <w:tcPr>
            <w:tcW w:w="1306" w:type="dxa"/>
            <w:tcBorders/>
            <w:shd w:fill="CCEEFF" w:val="clear"/>
            <w:vAlign w:val="center"/>
          </w:tcPr>
          <w:p>
            <w:pPr>
              <w:pStyle w:val="TableContents"/>
              <w:bidi w:val="0"/>
              <w:spacing w:before="0" w:after="283"/>
              <w:jc w:val="right"/>
              <w:rPr/>
            </w:pPr>
            <w:r>
              <w:rPr/>
              <w:t>(316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(259,459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1143" w:type="dxa"/>
            <w:tcBorders/>
            <w:shd w:fill="CCEEFF" w:val="clear"/>
            <w:vAlign w:val="center"/>
          </w:tcPr>
          <w:p>
            <w:pPr>
              <w:pStyle w:val="TableContents"/>
              <w:bidi w:val="0"/>
              <w:spacing w:before="0" w:after="283"/>
              <w:jc w:val="right"/>
              <w:rPr/>
            </w:pPr>
            <w:r>
              <w:rPr/>
              <w:t>  </w:t>
            </w:r>
            <w:r>
              <w:rPr/>
              <w:t>42,963</w:t>
            </w:r>
          </w:p>
        </w:tc>
        <w:tc>
          <w:tcPr>
            <w:tcW w:w="114" w:type="dxa"/>
            <w:tcBorders/>
            <w:shd w:fill="CCEEFF" w:val="clear"/>
            <w:vAlign w:val="center"/>
          </w:tcPr>
          <w:p>
            <w:pPr>
              <w:pStyle w:val="TableContents"/>
              <w:bidi w:val="0"/>
              <w:spacing w:before="0" w:after="283"/>
              <w:jc w:val="left"/>
              <w:rPr/>
            </w:pPr>
            <w:r>
              <w:rPr/>
              <w:t> </w:t>
            </w:r>
            <w:bookmarkStart w:id="144" w:name="xdx_403_eus-gaap--StockIssuedDuringPerio"/>
            <w:bookmarkEnd w:id="144"/>
          </w:p>
        </w:tc>
      </w:tr>
      <w:tr>
        <w:trPr/>
        <w:tc>
          <w:tcPr>
            <w:tcW w:w="1591" w:type="dxa"/>
            <w:tcBorders/>
            <w:shd w:fill="FFFFFF" w:val="clear"/>
            <w:vAlign w:val="center"/>
          </w:tcPr>
          <w:p>
            <w:pPr>
              <w:pStyle w:val="TableContents"/>
              <w:bidi w:val="0"/>
              <w:spacing w:before="0" w:after="283"/>
              <w:jc w:val="left"/>
              <w:rPr/>
            </w:pPr>
            <w:r>
              <w:rPr/>
              <w:t>Common stock issued upon settlement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5" w:name="xdx_986_eus-gaap--StockIssuedDuringPerio"/>
            <w:bookmarkEnd w:id="145"/>
          </w:p>
        </w:tc>
        <w:tc>
          <w:tcPr>
            <w:tcW w:w="1220" w:type="dxa"/>
            <w:tcBorders/>
            <w:shd w:fill="FFFFFF" w:val="clear"/>
            <w:vAlign w:val="center"/>
          </w:tcPr>
          <w:p>
            <w:pPr>
              <w:pStyle w:val="TableContents"/>
              <w:bidi w:val="0"/>
              <w:spacing w:before="0" w:after="283"/>
              <w:jc w:val="right"/>
              <w:rPr/>
            </w:pPr>
            <w:r>
              <w:rPr/>
              <w:t>44,496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46" w:name="xdx_40B_ecustom--WithholdingOfCommonStoc"/>
            <w:bookmarkEnd w:id="146"/>
          </w:p>
        </w:tc>
      </w:tr>
      <w:tr>
        <w:trPr/>
        <w:tc>
          <w:tcPr>
            <w:tcW w:w="1591" w:type="dxa"/>
            <w:tcBorders/>
            <w:shd w:fill="CCEEFF" w:val="clear"/>
            <w:vAlign w:val="center"/>
          </w:tcPr>
          <w:p>
            <w:pPr>
              <w:pStyle w:val="TableContents"/>
              <w:bidi w:val="0"/>
              <w:spacing w:before="0" w:after="283"/>
              <w:jc w:val="left"/>
              <w:rPr/>
            </w:pPr>
            <w:r>
              <w:rPr/>
              <w:t>Withholding of common stock upon settlement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7" w:name="xdx_981_ecustom--WithholdingOfCommonStoc"/>
            <w:bookmarkEnd w:id="147"/>
          </w:p>
        </w:tc>
        <w:tc>
          <w:tcPr>
            <w:tcW w:w="1220" w:type="dxa"/>
            <w:tcBorders/>
            <w:shd w:fill="CCEEFF" w:val="clear"/>
            <w:vAlign w:val="center"/>
          </w:tcPr>
          <w:p>
            <w:pPr>
              <w:pStyle w:val="TableContents"/>
              <w:bidi w:val="0"/>
              <w:spacing w:before="0" w:after="283"/>
              <w:jc w:val="right"/>
              <w:rPr/>
            </w:pPr>
            <w:r>
              <w:rPr/>
              <w:t>(7,986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(9</w:t>
            </w:r>
          </w:p>
        </w:tc>
        <w:tc>
          <w:tcPr>
            <w:tcW w:w="114" w:type="dxa"/>
            <w:tcBorders/>
            <w:shd w:fill="CCEEFF" w:val="clear"/>
            <w:vAlign w:val="center"/>
          </w:tcPr>
          <w:p>
            <w:pPr>
              <w:pStyle w:val="TableContents"/>
              <w:bidi w:val="0"/>
              <w:spacing w:before="0" w:after="283"/>
              <w:jc w:val="left"/>
              <w:rPr/>
            </w:pPr>
            <w:r>
              <w:rPr/>
              <w:t>)</w:t>
            </w:r>
            <w:bookmarkStart w:id="148" w:name="xdx_40D_eus-gaap--AdjustmentsToAdditiona"/>
            <w:bookmarkEnd w:id="148"/>
          </w:p>
        </w:tc>
      </w:tr>
      <w:tr>
        <w:trPr/>
        <w:tc>
          <w:tcPr>
            <w:tcW w:w="159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758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758</w:t>
            </w:r>
          </w:p>
        </w:tc>
        <w:tc>
          <w:tcPr>
            <w:tcW w:w="114" w:type="dxa"/>
            <w:tcBorders/>
            <w:shd w:fill="FFFFFF" w:val="clear"/>
            <w:vAlign w:val="center"/>
          </w:tcPr>
          <w:p>
            <w:pPr>
              <w:pStyle w:val="TableContents"/>
              <w:bidi w:val="0"/>
              <w:spacing w:before="0" w:after="283"/>
              <w:jc w:val="left"/>
              <w:rPr/>
            </w:pPr>
            <w:r>
              <w:rPr/>
              <w:t> </w:t>
            </w:r>
            <w:bookmarkStart w:id="149" w:name="xdx_40D_eus-gaap--OtherComprehensiveInco"/>
            <w:bookmarkEnd w:id="149"/>
          </w:p>
        </w:tc>
      </w:tr>
      <w:tr>
        <w:trPr/>
        <w:tc>
          <w:tcPr>
            <w:tcW w:w="1591"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107</w:t>
            </w:r>
          </w:p>
        </w:tc>
        <w:tc>
          <w:tcPr>
            <w:tcW w:w="114" w:type="dxa"/>
            <w:tcBorders/>
            <w:shd w:fill="CCEEFF" w:val="clear"/>
            <w:vAlign w:val="center"/>
          </w:tcPr>
          <w:p>
            <w:pPr>
              <w:pStyle w:val="TableContents"/>
              <w:bidi w:val="0"/>
              <w:spacing w:before="0" w:after="283"/>
              <w:jc w:val="left"/>
              <w:rPr/>
            </w:pPr>
            <w:r>
              <w:rPr/>
              <w:t> </w:t>
            </w:r>
            <w:bookmarkStart w:id="150" w:name="xdx_406_eus-gaap--NetIncomeLoss_zVSLy94f"/>
            <w:bookmarkEnd w:id="150"/>
          </w:p>
        </w:tc>
      </w:tr>
      <w:tr>
        <w:trPr/>
        <w:tc>
          <w:tcPr>
            <w:tcW w:w="1591"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FFFFFF" w:val="clear"/>
            <w:tcMar>
              <w:bottom w:w="28" w:type="dxa"/>
            </w:tcMar>
            <w:vAlign w:val="center"/>
          </w:tcPr>
          <w:p>
            <w:pPr>
              <w:pStyle w:val="TableContents"/>
              <w:bidi w:val="0"/>
              <w:spacing w:before="0" w:after="283"/>
              <w:jc w:val="right"/>
              <w:rPr/>
            </w:pPr>
            <w:r>
              <w:rPr/>
              <w:t>58</w:t>
            </w:r>
          </w:p>
        </w:tc>
        <w:tc>
          <w:tcPr>
            <w:tcW w:w="114" w:type="dxa"/>
            <w:tcBorders/>
            <w:shd w:fill="FFFFFF" w:val="clear"/>
            <w:vAlign w:val="center"/>
          </w:tcPr>
          <w:p>
            <w:pPr>
              <w:pStyle w:val="TableContents"/>
              <w:bidi w:val="0"/>
              <w:spacing w:before="0" w:after="283"/>
              <w:jc w:val="left"/>
              <w:rPr/>
            </w:pPr>
            <w:r>
              <w:rPr/>
              <w:t> </w:t>
            </w:r>
            <w:bookmarkStart w:id="151" w:name="xdx_439_c20250401__20250630_eus-gaap--St"/>
            <w:bookmarkEnd w:id="151"/>
          </w:p>
        </w:tc>
      </w:tr>
      <w:tr>
        <w:trPr/>
        <w:tc>
          <w:tcPr>
            <w:tcW w:w="1591" w:type="dxa"/>
            <w:tcBorders/>
            <w:shd w:fill="CCEEFF" w:val="clear"/>
            <w:vAlign w:val="center"/>
          </w:tcPr>
          <w:p>
            <w:pPr>
              <w:pStyle w:val="TableContents"/>
              <w:bidi w:val="0"/>
              <w:spacing w:before="0" w:after="283"/>
              <w:jc w:val="left"/>
              <w:rPr/>
            </w:pPr>
            <w:r>
              <w:rPr/>
              <w:t>Balance at March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2" w:name="xdx_98F_eus-gaap--SharesOutstanding_iS_p"/>
            <w:bookmarkEnd w:id="152"/>
          </w:p>
        </w:tc>
        <w:tc>
          <w:tcPr>
            <w:tcW w:w="1220" w:type="dxa"/>
            <w:tcBorders/>
            <w:shd w:fill="CCEEFF" w:val="clear"/>
            <w:vAlign w:val="center"/>
          </w:tcPr>
          <w:p>
            <w:pPr>
              <w:pStyle w:val="TableContents"/>
              <w:bidi w:val="0"/>
              <w:spacing w:before="0" w:after="283"/>
              <w:jc w:val="right"/>
              <w:rPr/>
            </w:pPr>
            <w:r>
              <w:rPr/>
              <w:t>139,082,174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303,487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(259,401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43,877</w:t>
            </w:r>
          </w:p>
        </w:tc>
        <w:tc>
          <w:tcPr>
            <w:tcW w:w="114" w:type="dxa"/>
            <w:tcBorders/>
            <w:shd w:fill="CCEEFF" w:val="clear"/>
            <w:vAlign w:val="center"/>
          </w:tcPr>
          <w:p>
            <w:pPr>
              <w:pStyle w:val="TableContents"/>
              <w:bidi w:val="0"/>
              <w:spacing w:before="0" w:after="283"/>
              <w:jc w:val="left"/>
              <w:rPr/>
            </w:pPr>
            <w:r>
              <w:rPr/>
              <w:t> </w:t>
            </w:r>
          </w:p>
        </w:tc>
      </w:tr>
      <w:tr>
        <w:trPr/>
        <w:tc>
          <w:tcPr>
            <w:tcW w:w="15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bookmarkStart w:id="153" w:name="xdx_40C_eus-gaap--StockIssuedDuringPerio"/>
            <w:bookmarkEnd w:id="153"/>
          </w:p>
        </w:tc>
      </w:tr>
      <w:tr>
        <w:trPr/>
        <w:tc>
          <w:tcPr>
            <w:tcW w:w="1591" w:type="dxa"/>
            <w:tcBorders/>
            <w:shd w:fill="CCEEFF" w:val="clear"/>
            <w:vAlign w:val="center"/>
          </w:tcPr>
          <w:p>
            <w:pPr>
              <w:pStyle w:val="TableContents"/>
              <w:bidi w:val="0"/>
              <w:spacing w:before="0" w:after="283"/>
              <w:jc w:val="left"/>
              <w:rPr/>
            </w:pPr>
            <w:r>
              <w:rPr/>
              <w:t>Common stock issued upon settlement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9_eus-gaap--StockIssuedDuringPerio"/>
            <w:bookmarkEnd w:id="154"/>
          </w:p>
        </w:tc>
        <w:tc>
          <w:tcPr>
            <w:tcW w:w="1220" w:type="dxa"/>
            <w:tcBorders/>
            <w:shd w:fill="CCEEFF" w:val="clear"/>
            <w:vAlign w:val="center"/>
          </w:tcPr>
          <w:p>
            <w:pPr>
              <w:pStyle w:val="TableContents"/>
              <w:bidi w:val="0"/>
              <w:spacing w:before="0" w:after="283"/>
              <w:jc w:val="right"/>
              <w:rPr/>
            </w:pPr>
            <w:r>
              <w:rPr/>
              <w:t>342,128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55" w:name="xdx_409_ecustom--WithholdingOfCommonStoc"/>
            <w:bookmarkEnd w:id="155"/>
          </w:p>
        </w:tc>
      </w:tr>
      <w:tr>
        <w:trPr/>
        <w:tc>
          <w:tcPr>
            <w:tcW w:w="1591" w:type="dxa"/>
            <w:tcBorders/>
            <w:shd w:fill="FFFFFF" w:val="clear"/>
            <w:vAlign w:val="center"/>
          </w:tcPr>
          <w:p>
            <w:pPr>
              <w:pStyle w:val="TableContents"/>
              <w:bidi w:val="0"/>
              <w:spacing w:before="0" w:after="283"/>
              <w:jc w:val="left"/>
              <w:rPr/>
            </w:pPr>
            <w:r>
              <w:rPr/>
              <w:t>Withholding of common stock upon settlement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6" w:name="xdx_986_ecustom--WithholdingOfCommonStoc"/>
            <w:bookmarkEnd w:id="156"/>
          </w:p>
        </w:tc>
        <w:tc>
          <w:tcPr>
            <w:tcW w:w="1220" w:type="dxa"/>
            <w:tcBorders/>
            <w:shd w:fill="FFFFFF" w:val="clear"/>
            <w:vAlign w:val="center"/>
          </w:tcPr>
          <w:p>
            <w:pPr>
              <w:pStyle w:val="TableContents"/>
              <w:bidi w:val="0"/>
              <w:spacing w:before="0" w:after="283"/>
              <w:jc w:val="right"/>
              <w:rPr/>
            </w:pPr>
            <w:r>
              <w:rPr/>
              <w:t>(108,580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(52</w:t>
            </w:r>
          </w:p>
        </w:tc>
        <w:tc>
          <w:tcPr>
            <w:tcW w:w="114" w:type="dxa"/>
            <w:tcBorders/>
            <w:shd w:fill="FFFFFF" w:val="clear"/>
            <w:vAlign w:val="center"/>
          </w:tcPr>
          <w:p>
            <w:pPr>
              <w:pStyle w:val="TableContents"/>
              <w:bidi w:val="0"/>
              <w:spacing w:before="0" w:after="283"/>
              <w:jc w:val="left"/>
              <w:rPr/>
            </w:pPr>
            <w:r>
              <w:rPr/>
              <w:t>)</w:t>
            </w:r>
            <w:bookmarkStart w:id="157" w:name="xdx_403_eus-gaap--AdjustmentsToAdditiona"/>
            <w:bookmarkEnd w:id="157"/>
          </w:p>
        </w:tc>
      </w:tr>
      <w:tr>
        <w:trPr/>
        <w:tc>
          <w:tcPr>
            <w:tcW w:w="159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766</w:t>
            </w:r>
          </w:p>
        </w:tc>
        <w:tc>
          <w:tcPr>
            <w:tcW w:w="114" w:type="dxa"/>
            <w:tcBorders/>
            <w:shd w:fill="CCEEFF" w:val="clear"/>
            <w:vAlign w:val="center"/>
          </w:tcPr>
          <w:p>
            <w:pPr>
              <w:pStyle w:val="TableContents"/>
              <w:bidi w:val="0"/>
              <w:spacing w:before="0" w:after="283"/>
              <w:jc w:val="left"/>
              <w:rPr/>
            </w:pPr>
            <w:r>
              <w:rPr/>
              <w:t> </w:t>
            </w:r>
            <w:bookmarkStart w:id="158" w:name="xdx_40B_eus-gaap--OtherComprehensiveInco"/>
            <w:bookmarkEnd w:id="158"/>
          </w:p>
        </w:tc>
      </w:tr>
      <w:tr>
        <w:trPr/>
        <w:tc>
          <w:tcPr>
            <w:tcW w:w="1591"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361</w:t>
            </w:r>
          </w:p>
        </w:tc>
        <w:tc>
          <w:tcPr>
            <w:tcW w:w="114" w:type="dxa"/>
            <w:tcBorders/>
            <w:shd w:fill="FFFFFF" w:val="clear"/>
            <w:vAlign w:val="center"/>
          </w:tcPr>
          <w:p>
            <w:pPr>
              <w:pStyle w:val="TableContents"/>
              <w:bidi w:val="0"/>
              <w:spacing w:before="0" w:after="283"/>
              <w:jc w:val="left"/>
              <w:rPr/>
            </w:pPr>
            <w:r>
              <w:rPr/>
              <w:t> </w:t>
            </w:r>
            <w:bookmarkStart w:id="159" w:name="xdx_406_eus-gaap--NetIncomeLoss_zyRpkdvp"/>
            <w:bookmarkEnd w:id="159"/>
          </w:p>
        </w:tc>
      </w:tr>
      <w:tr>
        <w:trPr/>
        <w:tc>
          <w:tcPr>
            <w:tcW w:w="1591"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3,550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3,550</w:t>
            </w:r>
          </w:p>
        </w:tc>
        <w:tc>
          <w:tcPr>
            <w:tcW w:w="114" w:type="dxa"/>
            <w:tcBorders/>
            <w:shd w:fill="CCEEFF" w:val="clear"/>
            <w:vAlign w:val="center"/>
          </w:tcPr>
          <w:p>
            <w:pPr>
              <w:pStyle w:val="TableContents"/>
              <w:bidi w:val="0"/>
              <w:spacing w:before="0" w:after="283"/>
              <w:jc w:val="left"/>
              <w:rPr/>
            </w:pPr>
            <w:r>
              <w:rPr/>
              <w:t> </w:t>
            </w:r>
            <w:bookmarkStart w:id="160" w:name="xdx_435_c20250401__20250630_eus-gaap--St"/>
            <w:bookmarkEnd w:id="160"/>
          </w:p>
        </w:tc>
      </w:tr>
      <w:tr>
        <w:trPr/>
        <w:tc>
          <w:tcPr>
            <w:tcW w:w="1591" w:type="dxa"/>
            <w:tcBorders/>
            <w:shd w:fill="FFFFFF" w:val="clear"/>
            <w:vAlign w:val="center"/>
          </w:tcPr>
          <w:p>
            <w:pPr>
              <w:pStyle w:val="TableContents"/>
              <w:bidi w:val="0"/>
              <w:spacing w:before="0" w:after="283"/>
              <w:jc w:val="left"/>
              <w:rPr/>
            </w:pPr>
            <w:r>
              <w:rPr/>
              <w:t>Balance at June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1" w:name="xdx_985_eus-gaap--SharesOutstanding_iE_p"/>
            <w:bookmarkEnd w:id="161"/>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139,315,722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bottom w:w="28" w:type="dxa"/>
            </w:tcMar>
            <w:vAlign w:val="center"/>
          </w:tcPr>
          <w:p>
            <w:pPr>
              <w:pStyle w:val="TableContents"/>
              <w:bidi w:val="0"/>
              <w:spacing w:before="0" w:after="283"/>
              <w:jc w:val="right"/>
              <w:rPr/>
            </w:pPr>
            <w:r>
              <w:rPr/>
              <w:t>304,201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pPr>
            <w:r>
              <w:rPr/>
              <w:t>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(255,851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pPr>
            <w:r>
              <w:rPr/>
              <w:t>48,502</w:t>
            </w:r>
          </w:p>
        </w:tc>
        <w:tc>
          <w:tcPr>
            <w:tcW w:w="114" w:type="dxa"/>
            <w:tcBorders/>
            <w:shd w:fill="FFFFFF" w:val="clear"/>
            <w:vAlign w:val="center"/>
          </w:tcPr>
          <w:p>
            <w:pPr>
              <w:pStyle w:val="TableContents"/>
              <w:bidi w:val="0"/>
              <w:spacing w:before="0" w:after="283"/>
              <w:jc w:val="left"/>
              <w:rPr/>
            </w:pPr>
            <w:r>
              <w:rPr/>
              <w:t> </w:t>
            </w:r>
          </w:p>
        </w:tc>
      </w:tr>
      <w:tr>
        <w:trPr/>
        <w:tc>
          <w:tcPr>
            <w:tcW w:w="15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62" w:name="xdx_436_c20260101__20260331_eus-gaap--St"/>
            <w:bookmarkEnd w:id="162"/>
          </w:p>
        </w:tc>
      </w:tr>
      <w:tr>
        <w:trPr/>
        <w:tc>
          <w:tcPr>
            <w:tcW w:w="1591" w:type="dxa"/>
            <w:tcBorders/>
            <w:shd w:fill="FFFFFF" w:val="clear"/>
            <w:vAlign w:val="center"/>
          </w:tcPr>
          <w:p>
            <w:pPr>
              <w:pStyle w:val="TableContents"/>
              <w:bidi w:val="0"/>
              <w:spacing w:before="0" w:after="283"/>
              <w:jc w:val="left"/>
              <w:rPr/>
            </w:pPr>
            <w:r>
              <w:rPr/>
              <w:t>Balance at December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 w:name="xdx_985_eus-gaap--SharesOutstanding_iS_p"/>
            <w:bookmarkEnd w:id="163"/>
          </w:p>
        </w:tc>
        <w:tc>
          <w:tcPr>
            <w:tcW w:w="1220" w:type="dxa"/>
            <w:tcBorders/>
            <w:shd w:fill="FFFFFF" w:val="clear"/>
            <w:vAlign w:val="center"/>
          </w:tcPr>
          <w:p>
            <w:pPr>
              <w:pStyle w:val="TableContents"/>
              <w:bidi w:val="0"/>
              <w:spacing w:before="0" w:after="283"/>
              <w:jc w:val="right"/>
              <w:rPr/>
            </w:pPr>
            <w:r>
              <w:rPr/>
              <w:t>140,039,557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973" w:type="dxa"/>
            <w:tcBorders/>
            <w:shd w:fill="FFFFFF" w:val="clear"/>
            <w:vAlign w:val="center"/>
          </w:tcPr>
          <w:p>
            <w:pPr>
              <w:pStyle w:val="TableContents"/>
              <w:bidi w:val="0"/>
              <w:spacing w:before="0" w:after="283"/>
              <w:jc w:val="right"/>
              <w:rPr/>
            </w:pPr>
            <w:r>
              <w:rPr/>
              <w:t>305,439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w:t>
            </w:r>
          </w:p>
        </w:tc>
        <w:tc>
          <w:tcPr>
            <w:tcW w:w="13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w:t>
            </w:r>
          </w:p>
        </w:tc>
        <w:tc>
          <w:tcPr>
            <w:tcW w:w="1182" w:type="dxa"/>
            <w:tcBorders/>
            <w:shd w:fill="FFFFFF" w:val="clear"/>
            <w:vAlign w:val="center"/>
          </w:tcPr>
          <w:p>
            <w:pPr>
              <w:pStyle w:val="TableContents"/>
              <w:bidi w:val="0"/>
              <w:spacing w:before="0" w:after="283"/>
              <w:jc w:val="right"/>
              <w:rPr/>
            </w:pPr>
            <w:r>
              <w:rPr/>
              <w:t>(254,486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w:t>
            </w:r>
          </w:p>
        </w:tc>
        <w:tc>
          <w:tcPr>
            <w:tcW w:w="1143" w:type="dxa"/>
            <w:tcBorders/>
            <w:shd w:fill="FFFFFF" w:val="clear"/>
            <w:vAlign w:val="center"/>
          </w:tcPr>
          <w:p>
            <w:pPr>
              <w:pStyle w:val="TableContents"/>
              <w:bidi w:val="0"/>
              <w:spacing w:before="0" w:after="283"/>
              <w:jc w:val="right"/>
              <w:rPr/>
            </w:pPr>
            <w:r>
              <w:rPr/>
              <w:t>50,953</w:t>
            </w:r>
          </w:p>
        </w:tc>
        <w:tc>
          <w:tcPr>
            <w:tcW w:w="114" w:type="dxa"/>
            <w:tcBorders/>
            <w:shd w:fill="FFFFFF" w:val="clear"/>
            <w:vAlign w:val="center"/>
          </w:tcPr>
          <w:p>
            <w:pPr>
              <w:pStyle w:val="TableContents"/>
              <w:bidi w:val="0"/>
              <w:spacing w:before="0" w:after="283"/>
              <w:jc w:val="left"/>
              <w:rPr/>
            </w:pPr>
            <w:r>
              <w:rPr/>
              <w:t> </w:t>
            </w:r>
            <w:bookmarkStart w:id="164" w:name="xdx_403_eus-gaap--StockIssuedDuringPerio"/>
            <w:bookmarkEnd w:id="164"/>
          </w:p>
        </w:tc>
      </w:tr>
      <w:tr>
        <w:trPr/>
        <w:tc>
          <w:tcPr>
            <w:tcW w:w="1591" w:type="dxa"/>
            <w:tcBorders/>
            <w:shd w:fill="CCEEFF" w:val="clear"/>
            <w:vAlign w:val="center"/>
          </w:tcPr>
          <w:p>
            <w:pPr>
              <w:pStyle w:val="TableContents"/>
              <w:bidi w:val="0"/>
              <w:spacing w:before="0" w:after="283"/>
              <w:jc w:val="left"/>
              <w:rPr/>
            </w:pPr>
            <w:r>
              <w:rPr/>
              <w:t>Common stock issued upon settlement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B_eus-gaap--StockIssuedDuringPerio"/>
            <w:bookmarkEnd w:id="165"/>
          </w:p>
        </w:tc>
        <w:tc>
          <w:tcPr>
            <w:tcW w:w="1220" w:type="dxa"/>
            <w:tcBorders/>
            <w:shd w:fill="CCEEFF" w:val="clear"/>
            <w:vAlign w:val="center"/>
          </w:tcPr>
          <w:p>
            <w:pPr>
              <w:pStyle w:val="TableContents"/>
              <w:bidi w:val="0"/>
              <w:spacing w:before="0" w:after="283"/>
              <w:jc w:val="right"/>
              <w:rPr/>
            </w:pPr>
            <w:r>
              <w:rPr/>
              <w:t>44,496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bookmarkStart w:id="166" w:name="xdx_40F_ecustom--WithholdingOfCommonStoc"/>
            <w:bookmarkEnd w:id="166"/>
          </w:p>
        </w:tc>
      </w:tr>
      <w:tr>
        <w:trPr/>
        <w:tc>
          <w:tcPr>
            <w:tcW w:w="1591" w:type="dxa"/>
            <w:tcBorders/>
            <w:shd w:fill="FFFFFF" w:val="clear"/>
            <w:vAlign w:val="center"/>
          </w:tcPr>
          <w:p>
            <w:pPr>
              <w:pStyle w:val="TableContents"/>
              <w:bidi w:val="0"/>
              <w:spacing w:before="0" w:after="283"/>
              <w:jc w:val="left"/>
              <w:rPr/>
            </w:pPr>
            <w:r>
              <w:rPr/>
              <w:t>Withholding of common stock upon settlement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3_ecustom--WithholdingOfCommonStoc"/>
            <w:bookmarkEnd w:id="167"/>
          </w:p>
        </w:tc>
        <w:tc>
          <w:tcPr>
            <w:tcW w:w="1220" w:type="dxa"/>
            <w:tcBorders/>
            <w:shd w:fill="FFFFFF" w:val="clear"/>
            <w:vAlign w:val="center"/>
          </w:tcPr>
          <w:p>
            <w:pPr>
              <w:pStyle w:val="TableContents"/>
              <w:bidi w:val="0"/>
              <w:spacing w:before="0" w:after="283"/>
              <w:jc w:val="right"/>
              <w:rPr/>
            </w:pPr>
            <w:r>
              <w:rPr/>
              <w:t>(15,793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(10</w:t>
            </w:r>
          </w:p>
        </w:tc>
        <w:tc>
          <w:tcPr>
            <w:tcW w:w="114" w:type="dxa"/>
            <w:tcBorders/>
            <w:shd w:fill="FFFFFF" w:val="clear"/>
            <w:vAlign w:val="center"/>
          </w:tcPr>
          <w:p>
            <w:pPr>
              <w:pStyle w:val="TableContents"/>
              <w:bidi w:val="0"/>
              <w:spacing w:before="0" w:after="283"/>
              <w:jc w:val="left"/>
              <w:rPr/>
            </w:pPr>
            <w:r>
              <w:rPr/>
              <w:t>)</w:t>
            </w:r>
            <w:bookmarkStart w:id="168" w:name="xdx_40D_eus-gaap--AdjustmentsToAdditiona"/>
            <w:bookmarkEnd w:id="168"/>
          </w:p>
        </w:tc>
      </w:tr>
      <w:tr>
        <w:trPr/>
        <w:tc>
          <w:tcPr>
            <w:tcW w:w="1591"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746</w:t>
            </w:r>
          </w:p>
        </w:tc>
        <w:tc>
          <w:tcPr>
            <w:tcW w:w="114" w:type="dxa"/>
            <w:tcBorders/>
            <w:shd w:fill="CCEEFF" w:val="clear"/>
            <w:vAlign w:val="center"/>
          </w:tcPr>
          <w:p>
            <w:pPr>
              <w:pStyle w:val="TableContents"/>
              <w:bidi w:val="0"/>
              <w:spacing w:before="0" w:after="283"/>
              <w:jc w:val="left"/>
              <w:rPr/>
            </w:pPr>
            <w:r>
              <w:rPr/>
              <w:t> </w:t>
            </w:r>
            <w:bookmarkStart w:id="169" w:name="xdx_40D_eus-gaap--OtherComprehensiveInco"/>
            <w:bookmarkEnd w:id="169"/>
          </w:p>
        </w:tc>
      </w:tr>
      <w:tr>
        <w:trPr/>
        <w:tc>
          <w:tcPr>
            <w:tcW w:w="1591" w:type="dxa"/>
            <w:tcBorders/>
            <w:shd w:fill="FFFFFF" w:val="clear"/>
            <w:vAlign w:val="center"/>
          </w:tcPr>
          <w:p>
            <w:pPr>
              <w:pStyle w:val="TableContents"/>
              <w:bidi w:val="0"/>
              <w:spacing w:before="0" w:after="283"/>
              <w:jc w:val="left"/>
              <w:rPr/>
            </w:pPr>
            <w:r>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(1</w:t>
            </w:r>
          </w:p>
        </w:tc>
        <w:tc>
          <w:tcPr>
            <w:tcW w:w="114" w:type="dxa"/>
            <w:tcBorders/>
            <w:shd w:fill="FFFFFF" w:val="clear"/>
            <w:vAlign w:val="center"/>
          </w:tcPr>
          <w:p>
            <w:pPr>
              <w:pStyle w:val="TableContents"/>
              <w:bidi w:val="0"/>
              <w:spacing w:before="0" w:after="283"/>
              <w:jc w:val="left"/>
              <w:rPr/>
            </w:pPr>
            <w:r>
              <w:rPr/>
              <w:t>)</w:t>
            </w:r>
            <w:bookmarkStart w:id="170" w:name="xdx_406_eus-gaap--NetIncomeLoss_zmzQ3df8"/>
            <w:bookmarkEnd w:id="170"/>
          </w:p>
        </w:tc>
      </w:tr>
      <w:tr>
        <w:trPr/>
        <w:tc>
          <w:tcPr>
            <w:tcW w:w="159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(3,089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(3,089</w:t>
            </w:r>
          </w:p>
        </w:tc>
        <w:tc>
          <w:tcPr>
            <w:tcW w:w="114" w:type="dxa"/>
            <w:tcBorders/>
            <w:shd w:fill="CCEEFF" w:val="clear"/>
            <w:vAlign w:val="center"/>
          </w:tcPr>
          <w:p>
            <w:pPr>
              <w:pStyle w:val="TableContents"/>
              <w:bidi w:val="0"/>
              <w:spacing w:before="0" w:after="283"/>
              <w:jc w:val="left"/>
              <w:rPr/>
            </w:pPr>
            <w:r>
              <w:rPr/>
              <w:t>)</w:t>
            </w:r>
            <w:bookmarkStart w:id="171" w:name="xdx_430_c20260401__20260630_eus-gaap--St"/>
            <w:bookmarkEnd w:id="171"/>
          </w:p>
        </w:tc>
      </w:tr>
      <w:tr>
        <w:trPr/>
        <w:tc>
          <w:tcPr>
            <w:tcW w:w="1591" w:type="dxa"/>
            <w:tcBorders/>
            <w:shd w:fill="FFFFFF" w:val="clear"/>
            <w:vAlign w:val="center"/>
          </w:tcPr>
          <w:p>
            <w:pPr>
              <w:pStyle w:val="TableContents"/>
              <w:bidi w:val="0"/>
              <w:spacing w:before="0" w:after="283"/>
              <w:jc w:val="left"/>
              <w:rPr/>
            </w:pPr>
            <w:r>
              <w:rPr/>
              <w:t>Balance at March 31, 2026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2" w:name="xdx_982_eus-gaap--SharesOutstanding_iS_p"/>
            <w:bookmarkEnd w:id="172"/>
          </w:p>
        </w:tc>
        <w:tc>
          <w:tcPr>
            <w:tcW w:w="1220" w:type="dxa"/>
            <w:tcBorders/>
            <w:shd w:fill="FFFFFF" w:val="clear"/>
            <w:vAlign w:val="center"/>
          </w:tcPr>
          <w:p>
            <w:pPr>
              <w:pStyle w:val="TableContents"/>
              <w:bidi w:val="0"/>
              <w:spacing w:before="0" w:after="283"/>
              <w:jc w:val="right"/>
              <w:rPr/>
            </w:pPr>
            <w:r>
              <w:rPr/>
              <w:t>140,068,260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306,175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(257,575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48,599</w:t>
            </w:r>
          </w:p>
        </w:tc>
        <w:tc>
          <w:tcPr>
            <w:tcW w:w="114" w:type="dxa"/>
            <w:tcBorders/>
            <w:shd w:fill="FFFFFF" w:val="clear"/>
            <w:vAlign w:val="center"/>
          </w:tcPr>
          <w:p>
            <w:pPr>
              <w:pStyle w:val="TableContents"/>
              <w:bidi w:val="0"/>
              <w:spacing w:before="0" w:after="283"/>
              <w:jc w:val="left"/>
              <w:rPr/>
            </w:pPr>
            <w:r>
              <w:rPr/>
              <w:t> </w:t>
            </w:r>
            <w:bookmarkStart w:id="173" w:name="xdx_43D_c20260401__20260630_eus-gaap--St"/>
            <w:bookmarkEnd w:id="173"/>
          </w:p>
        </w:tc>
      </w:tr>
      <w:tr>
        <w:trPr/>
        <w:tc>
          <w:tcPr>
            <w:tcW w:w="1591"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4" w:name="xdx_984_eus-gaap--SharesOutstanding_iS_p"/>
            <w:bookmarkEnd w:id="174"/>
          </w:p>
        </w:tc>
        <w:tc>
          <w:tcPr>
            <w:tcW w:w="1220" w:type="dxa"/>
            <w:tcBorders/>
            <w:shd w:fill="FFFFFF" w:val="clear"/>
            <w:vAlign w:val="center"/>
          </w:tcPr>
          <w:p>
            <w:pPr>
              <w:pStyle w:val="TableContents"/>
              <w:bidi w:val="0"/>
              <w:spacing w:before="0" w:after="283"/>
              <w:jc w:val="right"/>
              <w:rPr/>
            </w:pPr>
            <w:r>
              <w:rPr/>
              <w:t>140,068,260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306,175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(257,575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48,599</w:t>
            </w:r>
          </w:p>
        </w:tc>
        <w:tc>
          <w:tcPr>
            <w:tcW w:w="114" w:type="dxa"/>
            <w:tcBorders/>
            <w:shd w:fill="FFFFFF" w:val="clear"/>
            <w:vAlign w:val="center"/>
          </w:tcPr>
          <w:p>
            <w:pPr>
              <w:pStyle w:val="TableContents"/>
              <w:bidi w:val="0"/>
              <w:spacing w:before="0" w:after="283"/>
              <w:jc w:val="left"/>
              <w:rPr/>
            </w:pPr>
            <w:r>
              <w:rPr/>
              <w:t> </w:t>
            </w:r>
          </w:p>
        </w:tc>
      </w:tr>
      <w:tr>
        <w:trPr/>
        <w:tc>
          <w:tcPr>
            <w:tcW w:w="159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bookmarkStart w:id="175" w:name="xdx_40C_eus-gaap--StockIssuedDuringPerio"/>
            <w:bookmarkEnd w:id="175"/>
          </w:p>
        </w:tc>
      </w:tr>
      <w:tr>
        <w:trPr/>
        <w:tc>
          <w:tcPr>
            <w:tcW w:w="1591" w:type="dxa"/>
            <w:tcBorders/>
            <w:shd w:fill="FFFFFF" w:val="clear"/>
            <w:vAlign w:val="center"/>
          </w:tcPr>
          <w:p>
            <w:pPr>
              <w:pStyle w:val="TableContents"/>
              <w:bidi w:val="0"/>
              <w:spacing w:before="0" w:after="283"/>
              <w:jc w:val="left"/>
              <w:rPr/>
            </w:pPr>
            <w:r>
              <w:rPr/>
              <w:t>Common stock issued upon settlement of restricted stock units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6" w:name="xdx_98F_eus-gaap--StockIssuedDuringPerio"/>
            <w:bookmarkEnd w:id="176"/>
          </w:p>
        </w:tc>
        <w:tc>
          <w:tcPr>
            <w:tcW w:w="1220" w:type="dxa"/>
            <w:tcBorders/>
            <w:shd w:fill="FFFFFF" w:val="clear"/>
            <w:vAlign w:val="center"/>
          </w:tcPr>
          <w:p>
            <w:pPr>
              <w:pStyle w:val="TableContents"/>
              <w:bidi w:val="0"/>
              <w:spacing w:before="0" w:after="283"/>
              <w:jc w:val="right"/>
              <w:rPr/>
            </w:pPr>
            <w:r>
              <w:rPr/>
              <w:t>288,673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bookmarkStart w:id="177" w:name="xdx_402_ecustom--WithholdingOfCommonStoc"/>
            <w:bookmarkEnd w:id="177"/>
          </w:p>
        </w:tc>
      </w:tr>
      <w:tr>
        <w:trPr/>
        <w:tc>
          <w:tcPr>
            <w:tcW w:w="1591" w:type="dxa"/>
            <w:tcBorders/>
            <w:shd w:fill="CCEEFF" w:val="clear"/>
            <w:vAlign w:val="center"/>
          </w:tcPr>
          <w:p>
            <w:pPr>
              <w:pStyle w:val="TableContents"/>
              <w:bidi w:val="0"/>
              <w:spacing w:before="0" w:after="283"/>
              <w:jc w:val="left"/>
              <w:rPr/>
            </w:pPr>
            <w:r>
              <w:rPr/>
              <w:t>Withholding of common stock upon settlement of restricted stock units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8" w:name="xdx_983_ecustom--WithholdingOfCommonStoc"/>
            <w:bookmarkEnd w:id="178"/>
          </w:p>
        </w:tc>
        <w:tc>
          <w:tcPr>
            <w:tcW w:w="1220" w:type="dxa"/>
            <w:tcBorders/>
            <w:shd w:fill="CCEEFF" w:val="clear"/>
            <w:vAlign w:val="center"/>
          </w:tcPr>
          <w:p>
            <w:pPr>
              <w:pStyle w:val="TableContents"/>
              <w:bidi w:val="0"/>
              <w:spacing w:before="0" w:after="283"/>
              <w:jc w:val="right"/>
              <w:rPr/>
            </w:pPr>
            <w:r>
              <w:rPr/>
              <w:t>(93,973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right"/>
              <w:rPr/>
            </w:pPr>
            <w:r>
              <w:rPr/>
              <w:t>(46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00" w:type="dxa"/>
            <w:tcBorders/>
            <w:shd w:fill="CCEEFF" w:val="clear"/>
            <w:vAlign w:val="center"/>
          </w:tcPr>
          <w:p>
            <w:pPr>
              <w:pStyle w:val="TableContents"/>
              <w:bidi w:val="0"/>
              <w:spacing w:before="0" w:after="283"/>
              <w:jc w:val="left"/>
              <w:rPr/>
            </w:pPr>
            <w:r>
              <w:rPr/>
              <w:t> </w:t>
            </w:r>
          </w:p>
        </w:tc>
        <w:tc>
          <w:tcPr>
            <w:tcW w:w="130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143" w:type="dxa"/>
            <w:tcBorders/>
            <w:shd w:fill="CCEEFF" w:val="clear"/>
            <w:vAlign w:val="center"/>
          </w:tcPr>
          <w:p>
            <w:pPr>
              <w:pStyle w:val="TableContents"/>
              <w:bidi w:val="0"/>
              <w:spacing w:before="0" w:after="283"/>
              <w:jc w:val="right"/>
              <w:rPr/>
            </w:pPr>
            <w:r>
              <w:rPr/>
              <w:t>(46</w:t>
            </w:r>
          </w:p>
        </w:tc>
        <w:tc>
          <w:tcPr>
            <w:tcW w:w="114" w:type="dxa"/>
            <w:tcBorders/>
            <w:shd w:fill="CCEEFF" w:val="clear"/>
            <w:vAlign w:val="center"/>
          </w:tcPr>
          <w:p>
            <w:pPr>
              <w:pStyle w:val="TableContents"/>
              <w:bidi w:val="0"/>
              <w:spacing w:before="0" w:after="283"/>
              <w:jc w:val="left"/>
              <w:rPr/>
            </w:pPr>
            <w:r>
              <w:rPr/>
              <w:t>)</w:t>
            </w:r>
            <w:bookmarkStart w:id="179" w:name="xdx_40D_eus-gaap--AdjustmentsToAdditiona"/>
            <w:bookmarkEnd w:id="179"/>
          </w:p>
        </w:tc>
      </w:tr>
      <w:tr>
        <w:trPr/>
        <w:tc>
          <w:tcPr>
            <w:tcW w:w="1591"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right"/>
              <w:rPr/>
            </w:pPr>
            <w:r>
              <w:rPr/>
              <w:t>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shd w:fill="FFFFFF" w:val="clear"/>
            <w:vAlign w:val="center"/>
          </w:tcPr>
          <w:p>
            <w:pPr>
              <w:pStyle w:val="TableContents"/>
              <w:bidi w:val="0"/>
              <w:spacing w:before="0" w:after="283"/>
              <w:jc w:val="left"/>
              <w:rPr/>
            </w:pPr>
            <w:r>
              <w:rPr/>
              <w:t> </w:t>
            </w:r>
          </w:p>
        </w:tc>
        <w:tc>
          <w:tcPr>
            <w:tcW w:w="130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143" w:type="dxa"/>
            <w:tcBorders/>
            <w:shd w:fill="FFFFFF" w:val="clear"/>
            <w:vAlign w:val="center"/>
          </w:tcPr>
          <w:p>
            <w:pPr>
              <w:pStyle w:val="TableContents"/>
              <w:bidi w:val="0"/>
              <w:spacing w:before="0" w:after="283"/>
              <w:jc w:val="right"/>
              <w:rPr/>
            </w:pPr>
            <w:r>
              <w:rPr/>
              <w:t>875</w:t>
            </w:r>
          </w:p>
        </w:tc>
        <w:tc>
          <w:tcPr>
            <w:tcW w:w="114" w:type="dxa"/>
            <w:tcBorders/>
            <w:shd w:fill="FFFFFF" w:val="clear"/>
            <w:vAlign w:val="center"/>
          </w:tcPr>
          <w:p>
            <w:pPr>
              <w:pStyle w:val="TableContents"/>
              <w:bidi w:val="0"/>
              <w:spacing w:before="0" w:after="283"/>
              <w:jc w:val="left"/>
              <w:rPr/>
            </w:pPr>
            <w:r>
              <w:rPr/>
              <w:t> </w:t>
            </w:r>
            <w:bookmarkStart w:id="180" w:name="xdx_406_eus-gaap--NetIncomeLoss_zQvBvKr1"/>
            <w:bookmarkEnd w:id="180"/>
          </w:p>
        </w:tc>
      </w:tr>
      <w:tr>
        <w:trPr/>
        <w:tc>
          <w:tcPr>
            <w:tcW w:w="1591"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(9,413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(9,413</w:t>
            </w:r>
          </w:p>
        </w:tc>
        <w:tc>
          <w:tcPr>
            <w:tcW w:w="114" w:type="dxa"/>
            <w:tcBorders/>
            <w:shd w:fill="CCEEFF" w:val="clear"/>
            <w:vAlign w:val="center"/>
          </w:tcPr>
          <w:p>
            <w:pPr>
              <w:pStyle w:val="TableContents"/>
              <w:bidi w:val="0"/>
              <w:spacing w:before="0" w:after="283"/>
              <w:jc w:val="left"/>
              <w:rPr/>
            </w:pPr>
            <w:r>
              <w:rPr/>
              <w:t>)</w:t>
            </w:r>
            <w:bookmarkStart w:id="181" w:name="xdx_406_eus-gaap--NetIncomeLoss_zun8oePT"/>
            <w:bookmarkEnd w:id="181"/>
          </w:p>
        </w:tc>
      </w:tr>
      <w:tr>
        <w:trPr/>
        <w:tc>
          <w:tcPr>
            <w:tcW w:w="1591"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7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(9,413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3" w:type="dxa"/>
            <w:tcBorders>
              <w:bottom w:val="single" w:sz="8" w:space="0" w:color="000000"/>
            </w:tcBorders>
            <w:shd w:fill="CCEEFF" w:val="clear"/>
            <w:tcMar>
              <w:bottom w:w="28" w:type="dxa"/>
            </w:tcMar>
            <w:vAlign w:val="center"/>
          </w:tcPr>
          <w:p>
            <w:pPr>
              <w:pStyle w:val="TableContents"/>
              <w:bidi w:val="0"/>
              <w:spacing w:before="0" w:after="283"/>
              <w:jc w:val="right"/>
              <w:rPr/>
            </w:pPr>
            <w:r>
              <w:rPr/>
              <w:t>(9,413</w:t>
            </w:r>
          </w:p>
        </w:tc>
        <w:tc>
          <w:tcPr>
            <w:tcW w:w="114" w:type="dxa"/>
            <w:tcBorders/>
            <w:shd w:fill="CCEEFF" w:val="clear"/>
            <w:vAlign w:val="center"/>
          </w:tcPr>
          <w:p>
            <w:pPr>
              <w:pStyle w:val="TableContents"/>
              <w:bidi w:val="0"/>
              <w:spacing w:before="0" w:after="283"/>
              <w:jc w:val="left"/>
              <w:rPr/>
            </w:pPr>
            <w:r>
              <w:rPr/>
              <w:t>)</w:t>
            </w:r>
            <w:bookmarkStart w:id="182" w:name="xdx_43D_c20260401__20260630_eus-gaap--St"/>
            <w:bookmarkEnd w:id="182"/>
          </w:p>
        </w:tc>
      </w:tr>
      <w:tr>
        <w:trPr/>
        <w:tc>
          <w:tcPr>
            <w:tcW w:w="1591"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3" w:name="xdx_987_eus-gaap--SharesOutstanding_iE_p"/>
            <w:bookmarkEnd w:id="183"/>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140,262,960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bottom w:w="28" w:type="dxa"/>
            </w:tcMar>
            <w:vAlign w:val="center"/>
          </w:tcPr>
          <w:p>
            <w:pPr>
              <w:pStyle w:val="TableContents"/>
              <w:bidi w:val="0"/>
              <w:spacing w:before="0" w:after="283"/>
              <w:jc w:val="right"/>
              <w:rPr/>
            </w:pPr>
            <w:r>
              <w:rPr/>
              <w:t>307,004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(266,988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pPr>
            <w:r>
              <w:rPr/>
              <w:t>40,015</w:t>
            </w:r>
          </w:p>
        </w:tc>
        <w:tc>
          <w:tcPr>
            <w:tcW w:w="114" w:type="dxa"/>
            <w:tcBorders/>
            <w:shd w:fill="FFFFFF" w:val="clear"/>
            <w:vAlign w:val="center"/>
          </w:tcPr>
          <w:p>
            <w:pPr>
              <w:pStyle w:val="TableContents"/>
              <w:bidi w:val="0"/>
              <w:spacing w:before="0" w:after="283"/>
              <w:jc w:val="left"/>
              <w:rPr/>
            </w:pPr>
            <w:r>
              <w:rPr/>
              <w:t> </w:t>
            </w:r>
            <w:bookmarkStart w:id="184" w:name="xdx_438_c20260401__20260630_eus-gaap--St"/>
            <w:bookmarkEnd w:id="184"/>
          </w:p>
        </w:tc>
      </w:tr>
      <w:tr>
        <w:trPr/>
        <w:tc>
          <w:tcPr>
            <w:tcW w:w="1591" w:type="dxa"/>
            <w:tcBorders/>
            <w:shd w:fill="FFFFFF" w:val="clear"/>
            <w:vAlign w:val="center"/>
          </w:tcPr>
          <w:p>
            <w:pPr>
              <w:pStyle w:val="TableContents"/>
              <w:bidi w:val="0"/>
              <w:spacing w:before="0" w:after="283"/>
              <w:jc w:val="left"/>
              <w:rPr/>
            </w:pPr>
            <w:r>
              <w:rPr/>
              <w:t>Balance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5" w:name="xdx_98F_eus-gaap--SharesOutstanding_iE_p"/>
            <w:bookmarkEnd w:id="185"/>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140,262,960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73" w:type="dxa"/>
            <w:tcBorders>
              <w:bottom w:val="double" w:sz="6" w:space="0" w:color="000000"/>
            </w:tcBorders>
            <w:shd w:fill="FFFFFF" w:val="clear"/>
            <w:tcMar>
              <w:bottom w:w="28" w:type="dxa"/>
            </w:tcMar>
            <w:vAlign w:val="center"/>
          </w:tcPr>
          <w:p>
            <w:pPr>
              <w:pStyle w:val="TableContents"/>
              <w:bidi w:val="0"/>
              <w:spacing w:before="0" w:after="283"/>
              <w:jc w:val="right"/>
              <w:rPr/>
            </w:pPr>
            <w:r>
              <w:rPr/>
              <w:t>307,004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6"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(266,988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43" w:type="dxa"/>
            <w:tcBorders>
              <w:bottom w:val="double" w:sz="6" w:space="0" w:color="000000"/>
            </w:tcBorders>
            <w:shd w:fill="FFFFFF" w:val="clear"/>
            <w:tcMar>
              <w:bottom w:w="28" w:type="dxa"/>
            </w:tcMar>
            <w:vAlign w:val="center"/>
          </w:tcPr>
          <w:p>
            <w:pPr>
              <w:pStyle w:val="TableContents"/>
              <w:bidi w:val="0"/>
              <w:spacing w:before="0" w:after="283"/>
              <w:jc w:val="right"/>
              <w:rPr/>
            </w:pPr>
            <w:r>
              <w:rPr/>
              <w:t>40,015</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 in thousands)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6" w:name="xdx_304_112_pn3n3_z130gXq5Lo96"/>
      <w:bookmarkStart w:id="187" w:name="xdx_304_112_pn3n3_z130gXq5Lo96"/>
      <w:bookmarkEnd w:id="187"/>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8" w:name="xdx_49A_20260101__20260630_zJzhYHXtKhQj"/>
            <w:bookmarkEnd w:id="188"/>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89" w:name="xdx_495_20250101__20250630_zrVj0Qss38Zj"/>
            <w:bookmarkEnd w:id="189"/>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190" w:name="xdx_406_eus-gaap--NetCashProvidedByUsedI"/>
            <w:bookmarkEnd w:id="190"/>
          </w:p>
        </w:tc>
      </w:tr>
      <w:tr>
        <w:trPr/>
        <w:tc>
          <w:tcPr>
            <w:tcW w:w="8090" w:type="dxa"/>
            <w:tcBorders/>
            <w:shd w:fill="CCEEFF" w:val="clear"/>
            <w:vAlign w:val="center"/>
          </w:tcPr>
          <w:p>
            <w:pPr>
              <w:pStyle w:val="TableContents"/>
              <w:bidi w:val="0"/>
              <w:spacing w:before="0" w:after="283"/>
              <w:jc w:val="left"/>
              <w:rPr/>
            </w:pPr>
            <w:r>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1" w:name="xdx_40B_eus-gaap--NetIncomeLoss_i01_maNC"/>
            <w:bookmarkEnd w:id="191"/>
          </w:p>
        </w:tc>
      </w:tr>
      <w:tr>
        <w:trPr/>
        <w:tc>
          <w:tcPr>
            <w:tcW w:w="809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(12,502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3,608</w:t>
            </w:r>
          </w:p>
        </w:tc>
        <w:tc>
          <w:tcPr>
            <w:tcW w:w="110" w:type="dxa"/>
            <w:tcBorders/>
            <w:shd w:fill="FFFFFF" w:val="clear"/>
            <w:vAlign w:val="center"/>
          </w:tcPr>
          <w:p>
            <w:pPr>
              <w:pStyle w:val="TableContents"/>
              <w:bidi w:val="0"/>
              <w:spacing w:before="0" w:after="283"/>
              <w:jc w:val="left"/>
              <w:rPr/>
            </w:pPr>
            <w:r>
              <w:rPr/>
              <w:t> </w:t>
            </w:r>
            <w:bookmarkStart w:id="192" w:name="xdx_406_eus-gaap--AdjustmentsToReconcile"/>
            <w:bookmarkEnd w:id="192"/>
          </w:p>
        </w:tc>
      </w:tr>
      <w:tr>
        <w:trPr/>
        <w:tc>
          <w:tcPr>
            <w:tcW w:w="8090" w:type="dxa"/>
            <w:tcBorders/>
            <w:shd w:fill="CCEEFF" w:val="clear"/>
            <w:vAlign w:val="center"/>
          </w:tcPr>
          <w:p>
            <w:pPr>
              <w:pStyle w:val="TableContents"/>
              <w:bidi w:val="0"/>
              <w:spacing w:before="0" w:after="283"/>
              <w:jc w:val="left"/>
              <w:rPr/>
            </w:pPr>
            <w:r>
              <w:rPr/>
              <w:t>Adjustments to reconcile net income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93" w:name="xdx_40D_eus-gaap--DepreciationDepletionA"/>
            <w:bookmarkEnd w:id="193"/>
          </w:p>
        </w:tc>
      </w:tr>
      <w:tr>
        <w:trPr/>
        <w:tc>
          <w:tcPr>
            <w:tcW w:w="809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2,243</w:t>
            </w:r>
          </w:p>
        </w:tc>
        <w:tc>
          <w:tcPr>
            <w:tcW w:w="110" w:type="dxa"/>
            <w:tcBorders/>
            <w:shd w:fill="FFFFFF" w:val="clear"/>
            <w:vAlign w:val="center"/>
          </w:tcPr>
          <w:p>
            <w:pPr>
              <w:pStyle w:val="TableContents"/>
              <w:bidi w:val="0"/>
              <w:spacing w:before="0" w:after="283"/>
              <w:jc w:val="left"/>
              <w:rPr/>
            </w:pPr>
            <w:r>
              <w:rPr/>
              <w:t> </w:t>
            </w:r>
            <w:bookmarkStart w:id="194" w:name="xdx_406_eus-gaap--GainLossOnDispositionO"/>
            <w:bookmarkEnd w:id="194"/>
          </w:p>
        </w:tc>
      </w:tr>
      <w:tr>
        <w:trPr/>
        <w:tc>
          <w:tcPr>
            <w:tcW w:w="8090" w:type="dxa"/>
            <w:tcBorders/>
            <w:shd w:fill="CCEEFF" w:val="clear"/>
            <w:vAlign w:val="center"/>
          </w:tcPr>
          <w:p>
            <w:pPr>
              <w:pStyle w:val="TableContents"/>
              <w:bidi w:val="0"/>
              <w:spacing w:before="0" w:after="283"/>
              <w:jc w:val="left"/>
              <w:rPr/>
            </w:pPr>
            <w:r>
              <w:rPr/>
              <w:t>Loss (gain) on sale of fixed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w:t>
            </w:r>
          </w:p>
        </w:tc>
        <w:tc>
          <w:tcPr>
            <w:tcW w:w="110" w:type="dxa"/>
            <w:tcBorders/>
            <w:shd w:fill="CCEEFF" w:val="clear"/>
            <w:vAlign w:val="center"/>
          </w:tcPr>
          <w:p>
            <w:pPr>
              <w:pStyle w:val="TableContents"/>
              <w:bidi w:val="0"/>
              <w:spacing w:before="0" w:after="283"/>
              <w:jc w:val="left"/>
              <w:rPr/>
            </w:pPr>
            <w:r>
              <w:rPr/>
              <w:t>)</w:t>
            </w:r>
            <w:bookmarkStart w:id="195" w:name="xdx_405_ecustom--NoncashInterest_i02_maN"/>
            <w:bookmarkEnd w:id="195"/>
          </w:p>
        </w:tc>
      </w:tr>
      <w:tr>
        <w:trPr/>
        <w:tc>
          <w:tcPr>
            <w:tcW w:w="8090" w:type="dxa"/>
            <w:tcBorders/>
            <w:shd w:fill="FFFFFF" w:val="clear"/>
            <w:vAlign w:val="center"/>
          </w:tcPr>
          <w:p>
            <w:pPr>
              <w:pStyle w:val="TableContents"/>
              <w:bidi w:val="0"/>
              <w:spacing w:before="0" w:after="283"/>
              <w:jc w:val="left"/>
              <w:rPr/>
            </w:pPr>
            <w:r>
              <w:rPr/>
              <w:t>Non-cash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w:t>
            </w:r>
          </w:p>
        </w:tc>
        <w:tc>
          <w:tcPr>
            <w:tcW w:w="110" w:type="dxa"/>
            <w:tcBorders/>
            <w:shd w:fill="FFFFFF" w:val="clear"/>
            <w:vAlign w:val="center"/>
          </w:tcPr>
          <w:p>
            <w:pPr>
              <w:pStyle w:val="TableContents"/>
              <w:bidi w:val="0"/>
              <w:spacing w:before="0" w:after="283"/>
              <w:jc w:val="left"/>
              <w:rPr/>
            </w:pPr>
            <w:r>
              <w:rPr/>
              <w:t> </w:t>
            </w:r>
            <w:bookmarkStart w:id="196" w:name="xdx_403_eus-gaap--ShareBasedCompensation"/>
            <w:bookmarkEnd w:id="196"/>
          </w:p>
        </w:tc>
      </w:tr>
      <w:tr>
        <w:trPr/>
        <w:tc>
          <w:tcPr>
            <w:tcW w:w="809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1,524</w:t>
            </w:r>
          </w:p>
        </w:tc>
        <w:tc>
          <w:tcPr>
            <w:tcW w:w="110" w:type="dxa"/>
            <w:tcBorders/>
            <w:shd w:fill="CCEEFF" w:val="clear"/>
            <w:vAlign w:val="center"/>
          </w:tcPr>
          <w:p>
            <w:pPr>
              <w:pStyle w:val="TableContents"/>
              <w:bidi w:val="0"/>
              <w:spacing w:before="0" w:after="283"/>
              <w:jc w:val="left"/>
              <w:rPr/>
            </w:pPr>
            <w:r>
              <w:rPr/>
              <w:t> </w:t>
            </w:r>
            <w:bookmarkStart w:id="197" w:name="xdx_404_ecustom--ProvisionForExpectedCre"/>
            <w:bookmarkEnd w:id="197"/>
          </w:p>
        </w:tc>
      </w:tr>
      <w:tr>
        <w:trPr/>
        <w:tc>
          <w:tcPr>
            <w:tcW w:w="8090" w:type="dxa"/>
            <w:tcBorders/>
            <w:shd w:fill="FFFFFF" w:val="clear"/>
            <w:vAlign w:val="center"/>
          </w:tcPr>
          <w:p>
            <w:pPr>
              <w:pStyle w:val="TableContents"/>
              <w:bidi w:val="0"/>
              <w:spacing w:before="0" w:after="283"/>
              <w:jc w:val="left"/>
              <w:rPr/>
            </w:pPr>
            <w:r>
              <w:rPr/>
              <w:t>Provision for reserve on 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395</w:t>
            </w:r>
          </w:p>
        </w:tc>
        <w:tc>
          <w:tcPr>
            <w:tcW w:w="110" w:type="dxa"/>
            <w:tcBorders/>
            <w:shd w:fill="FFFFFF" w:val="clear"/>
            <w:vAlign w:val="center"/>
          </w:tcPr>
          <w:p>
            <w:pPr>
              <w:pStyle w:val="TableContents"/>
              <w:bidi w:val="0"/>
              <w:spacing w:before="0" w:after="283"/>
              <w:jc w:val="left"/>
              <w:rPr/>
            </w:pPr>
            <w:r>
              <w:rPr/>
              <w:t> </w:t>
            </w:r>
            <w:bookmarkStart w:id="198" w:name="xdx_408_eus-gaap--InventoryWriteDown_i02"/>
            <w:bookmarkEnd w:id="198"/>
          </w:p>
        </w:tc>
      </w:tr>
      <w:tr>
        <w:trPr/>
        <w:tc>
          <w:tcPr>
            <w:tcW w:w="8090" w:type="dxa"/>
            <w:tcBorders/>
            <w:shd w:fill="CCEEFF" w:val="clear"/>
            <w:vAlign w:val="center"/>
          </w:tcPr>
          <w:p>
            <w:pPr>
              <w:pStyle w:val="TableContents"/>
              <w:bidi w:val="0"/>
              <w:spacing w:before="0" w:after="283"/>
              <w:jc w:val="left"/>
              <w:rPr/>
            </w:pPr>
            <w:r>
              <w:rPr/>
              <w:t>Provision for excess and obsolete 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490</w:t>
            </w:r>
          </w:p>
        </w:tc>
        <w:tc>
          <w:tcPr>
            <w:tcW w:w="110" w:type="dxa"/>
            <w:tcBorders/>
            <w:shd w:fill="CCEEFF" w:val="clear"/>
            <w:vAlign w:val="center"/>
          </w:tcPr>
          <w:p>
            <w:pPr>
              <w:pStyle w:val="TableContents"/>
              <w:bidi w:val="0"/>
              <w:spacing w:before="0" w:after="283"/>
              <w:jc w:val="left"/>
              <w:rPr/>
            </w:pPr>
            <w:r>
              <w:rPr/>
              <w:t> </w:t>
            </w:r>
            <w:bookmarkStart w:id="199" w:name="xdx_400_ecustom--WriteoffOfDistributionA"/>
            <w:bookmarkEnd w:id="199"/>
          </w:p>
        </w:tc>
      </w:tr>
      <w:tr>
        <w:trPr/>
        <w:tc>
          <w:tcPr>
            <w:tcW w:w="8090" w:type="dxa"/>
            <w:tcBorders/>
            <w:shd w:fill="FFFFFF" w:val="clear"/>
            <w:vAlign w:val="center"/>
          </w:tcPr>
          <w:p>
            <w:pPr>
              <w:pStyle w:val="TableContents"/>
              <w:bidi w:val="0"/>
              <w:spacing w:before="0" w:after="283"/>
              <w:jc w:val="left"/>
              <w:rPr/>
            </w:pPr>
            <w:r>
              <w:rPr/>
              <w:t>Write-off of distribution agreement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00" w:name="xdx_40A_ecustom--AdjustmentsToReconcileN"/>
            <w:bookmarkEnd w:id="200"/>
          </w:p>
        </w:tc>
      </w:tr>
      <w:tr>
        <w:trPr/>
        <w:tc>
          <w:tcPr>
            <w:tcW w:w="809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1" w:name="xdx_404_eus-gaap--IncreaseDecreaseInOper"/>
            <w:bookmarkEnd w:id="201"/>
          </w:p>
        </w:tc>
      </w:tr>
      <w:tr>
        <w:trPr/>
        <w:tc>
          <w:tcPr>
            <w:tcW w:w="809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2" w:name="xdx_400_eus-gaap--IncreaseDecreaseInAcco"/>
            <w:bookmarkEnd w:id="202"/>
          </w:p>
        </w:tc>
      </w:tr>
      <w:tr>
        <w:trPr/>
        <w:tc>
          <w:tcPr>
            <w:tcW w:w="809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(6,873</w:t>
            </w:r>
          </w:p>
        </w:tc>
        <w:tc>
          <w:tcPr>
            <w:tcW w:w="110" w:type="dxa"/>
            <w:tcBorders/>
            <w:shd w:fill="FFFFFF" w:val="clear"/>
            <w:vAlign w:val="center"/>
          </w:tcPr>
          <w:p>
            <w:pPr>
              <w:pStyle w:val="TableContents"/>
              <w:bidi w:val="0"/>
              <w:spacing w:before="0" w:after="283"/>
              <w:jc w:val="left"/>
              <w:rPr/>
            </w:pPr>
            <w:r>
              <w:rPr/>
              <w:t>)</w:t>
            </w:r>
            <w:bookmarkStart w:id="203" w:name="xdx_401_eus-gaap--IncreaseDecreaseInInve"/>
            <w:bookmarkEnd w:id="203"/>
          </w:p>
        </w:tc>
      </w:tr>
      <w:tr>
        <w:trPr/>
        <w:tc>
          <w:tcPr>
            <w:tcW w:w="809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(1,349</w:t>
            </w:r>
          </w:p>
        </w:tc>
        <w:tc>
          <w:tcPr>
            <w:tcW w:w="110" w:type="dxa"/>
            <w:tcBorders/>
            <w:shd w:fill="CCEEFF" w:val="clear"/>
            <w:vAlign w:val="center"/>
          </w:tcPr>
          <w:p>
            <w:pPr>
              <w:pStyle w:val="TableContents"/>
              <w:bidi w:val="0"/>
              <w:spacing w:before="0" w:after="283"/>
              <w:jc w:val="left"/>
              <w:rPr/>
            </w:pPr>
            <w:r>
              <w:rPr/>
              <w:t>)</w:t>
            </w:r>
            <w:bookmarkStart w:id="204" w:name="xdx_40B_eus-gaap--IncreaseDecreaseInPrep"/>
            <w:bookmarkEnd w:id="204"/>
          </w:p>
        </w:tc>
      </w:tr>
      <w:tr>
        <w:trPr/>
        <w:tc>
          <w:tcPr>
            <w:tcW w:w="8090" w:type="dxa"/>
            <w:tcBorders/>
            <w:shd w:fill="FFFFFF" w:val="clear"/>
            <w:vAlign w:val="center"/>
          </w:tcPr>
          <w:p>
            <w:pPr>
              <w:pStyle w:val="TableContents"/>
              <w:bidi w:val="0"/>
              <w:spacing w:before="0" w:after="283"/>
              <w:jc w:val="left"/>
              <w:rPr/>
            </w:pPr>
            <w:r>
              <w:rPr/>
              <w:t>Prepaid and other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347</w:t>
            </w:r>
          </w:p>
        </w:tc>
        <w:tc>
          <w:tcPr>
            <w:tcW w:w="110" w:type="dxa"/>
            <w:tcBorders/>
            <w:shd w:fill="FFFFFF" w:val="clear"/>
            <w:vAlign w:val="center"/>
          </w:tcPr>
          <w:p>
            <w:pPr>
              <w:pStyle w:val="TableContents"/>
              <w:bidi w:val="0"/>
              <w:spacing w:before="0" w:after="283"/>
              <w:jc w:val="left"/>
              <w:rPr/>
            </w:pPr>
            <w:r>
              <w:rPr/>
              <w:t> </w:t>
            </w:r>
            <w:bookmarkStart w:id="205" w:name="xdx_409_eus-gaap--IncreaseDecreaseInAcco"/>
            <w:bookmarkEnd w:id="205"/>
          </w:p>
        </w:tc>
      </w:tr>
      <w:tr>
        <w:trPr/>
        <w:tc>
          <w:tcPr>
            <w:tcW w:w="809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(880</w:t>
            </w:r>
          </w:p>
        </w:tc>
        <w:tc>
          <w:tcPr>
            <w:tcW w:w="110" w:type="dxa"/>
            <w:tcBorders/>
            <w:shd w:fill="CCEEFF" w:val="clear"/>
            <w:vAlign w:val="center"/>
          </w:tcPr>
          <w:p>
            <w:pPr>
              <w:pStyle w:val="TableContents"/>
              <w:bidi w:val="0"/>
              <w:spacing w:before="0" w:after="283"/>
              <w:jc w:val="left"/>
              <w:rPr/>
            </w:pPr>
            <w:r>
              <w:rPr/>
              <w:t>)</w:t>
            </w:r>
            <w:bookmarkStart w:id="206" w:name="xdx_40E_eus-gaap--IncreaseDecreaseInAccr"/>
            <w:bookmarkEnd w:id="206"/>
          </w:p>
        </w:tc>
      </w:tr>
      <w:tr>
        <w:trPr/>
        <w:tc>
          <w:tcPr>
            <w:tcW w:w="8090"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2,763</w:t>
            </w:r>
          </w:p>
        </w:tc>
        <w:tc>
          <w:tcPr>
            <w:tcW w:w="110" w:type="dxa"/>
            <w:tcBorders/>
            <w:shd w:fill="FFFFFF" w:val="clear"/>
            <w:vAlign w:val="center"/>
          </w:tcPr>
          <w:p>
            <w:pPr>
              <w:pStyle w:val="TableContents"/>
              <w:bidi w:val="0"/>
              <w:spacing w:before="0" w:after="283"/>
              <w:jc w:val="left"/>
              <w:rPr/>
            </w:pPr>
            <w:r>
              <w:rPr/>
              <w:t> </w:t>
            </w:r>
            <w:bookmarkStart w:id="207" w:name="xdx_40E_eus-gaap--NetCashProvidedByUsedI"/>
            <w:bookmarkEnd w:id="207"/>
          </w:p>
        </w:tc>
      </w:tr>
      <w:tr>
        <w:trPr/>
        <w:tc>
          <w:tcPr>
            <w:tcW w:w="8090" w:type="dxa"/>
            <w:tcBorders/>
            <w:shd w:fill="CCEEFF" w:val="clear"/>
            <w:vAlign w:val="center"/>
          </w:tcPr>
          <w:p>
            <w:pPr>
              <w:pStyle w:val="TableContents"/>
              <w:bidi w:val="0"/>
              <w:spacing w:before="0" w:after="283"/>
              <w:jc w:val="left"/>
              <w:rPr/>
            </w:pPr>
            <w:r>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(9,422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2,554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8" w:name="xdx_40E_eus-gaap--NetCashProvidedByUsedI"/>
            <w:bookmarkEnd w:id="208"/>
          </w:p>
        </w:tc>
      </w:tr>
      <w:tr>
        <w:trPr/>
        <w:tc>
          <w:tcPr>
            <w:tcW w:w="8090" w:type="dxa"/>
            <w:tcBorders/>
            <w:shd w:fill="CCEEFF" w:val="clear"/>
            <w:vAlign w:val="center"/>
          </w:tcPr>
          <w:p>
            <w:pPr>
              <w:pStyle w:val="TableContents"/>
              <w:bidi w:val="0"/>
              <w:spacing w:before="0" w:after="283"/>
              <w:jc w:val="left"/>
              <w:rPr/>
            </w:pPr>
            <w:r>
              <w:rPr/>
              <w:t>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9" w:name="xdx_400_eus-gaap--PaymentsToAcquirePrope"/>
            <w:bookmarkEnd w:id="209"/>
          </w:p>
        </w:tc>
      </w:tr>
      <w:tr>
        <w:trPr/>
        <w:tc>
          <w:tcPr>
            <w:tcW w:w="8090" w:type="dxa"/>
            <w:tcBorders/>
            <w:shd w:fill="FFFFFF" w:val="clear"/>
            <w:vAlign w:val="center"/>
          </w:tcPr>
          <w:p>
            <w:pPr>
              <w:pStyle w:val="TableContents"/>
              <w:bidi w:val="0"/>
              <w:spacing w:before="0" w:after="283"/>
              <w:jc w:val="left"/>
              <w:rPr/>
            </w:pPr>
            <w:r>
              <w:rPr/>
              <w:t>Purchases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(1,557</w:t>
            </w:r>
          </w:p>
        </w:tc>
        <w:tc>
          <w:tcPr>
            <w:tcW w:w="110" w:type="dxa"/>
            <w:tcBorders/>
            <w:shd w:fill="FFFFFF" w:val="clear"/>
            <w:vAlign w:val="center"/>
          </w:tcPr>
          <w:p>
            <w:pPr>
              <w:pStyle w:val="TableContents"/>
              <w:bidi w:val="0"/>
              <w:spacing w:before="0" w:after="283"/>
              <w:jc w:val="left"/>
              <w:rPr/>
            </w:pPr>
            <w:r>
              <w:rPr/>
              <w:t>)</w:t>
            </w:r>
            <w:bookmarkStart w:id="210" w:name="xdx_408_eus-gaap--ProceedsFromSaleOfProp"/>
            <w:bookmarkEnd w:id="210"/>
          </w:p>
        </w:tc>
      </w:tr>
      <w:tr>
        <w:trPr/>
        <w:tc>
          <w:tcPr>
            <w:tcW w:w="8090" w:type="dxa"/>
            <w:tcBorders/>
            <w:shd w:fill="CCEEFF" w:val="clear"/>
            <w:vAlign w:val="center"/>
          </w:tcPr>
          <w:p>
            <w:pPr>
              <w:pStyle w:val="TableContents"/>
              <w:bidi w:val="0"/>
              <w:spacing w:before="0" w:after="283"/>
              <w:jc w:val="left"/>
              <w:rPr/>
            </w:pPr>
            <w:r>
              <w:rPr/>
              <w:t>Proceeds from sale of fixed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w:t>
            </w:r>
          </w:p>
        </w:tc>
        <w:tc>
          <w:tcPr>
            <w:tcW w:w="110" w:type="dxa"/>
            <w:tcBorders/>
            <w:shd w:fill="CCEEFF" w:val="clear"/>
            <w:vAlign w:val="center"/>
          </w:tcPr>
          <w:p>
            <w:pPr>
              <w:pStyle w:val="TableContents"/>
              <w:bidi w:val="0"/>
              <w:spacing w:before="0" w:after="283"/>
              <w:jc w:val="left"/>
              <w:rPr/>
            </w:pPr>
            <w:r>
              <w:rPr/>
              <w:t> </w:t>
            </w:r>
            <w:bookmarkStart w:id="211" w:name="xdx_40E_ecustom--DistributionAgreementDe"/>
            <w:bookmarkEnd w:id="211"/>
          </w:p>
        </w:tc>
      </w:tr>
      <w:tr>
        <w:trPr/>
        <w:tc>
          <w:tcPr>
            <w:tcW w:w="8090" w:type="dxa"/>
            <w:tcBorders/>
            <w:shd w:fill="FFFFFF" w:val="clear"/>
            <w:vAlign w:val="center"/>
          </w:tcPr>
          <w:p>
            <w:pPr>
              <w:pStyle w:val="TableContents"/>
              <w:bidi w:val="0"/>
              <w:spacing w:before="0" w:after="283"/>
              <w:jc w:val="left"/>
              <w:rPr/>
            </w:pPr>
            <w:r>
              <w:rPr/>
              <w:t>Distribution agreement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12" w:name="xdx_408_ecustom--ProceedsFromDivestiture"/>
            <w:bookmarkEnd w:id="212"/>
          </w:p>
        </w:tc>
      </w:tr>
      <w:tr>
        <w:trPr/>
        <w:tc>
          <w:tcPr>
            <w:tcW w:w="8090" w:type="dxa"/>
            <w:tcBorders/>
            <w:shd w:fill="CCEEFF" w:val="clear"/>
            <w:vAlign w:val="center"/>
          </w:tcPr>
          <w:p>
            <w:pPr>
              <w:pStyle w:val="TableContents"/>
              <w:bidi w:val="0"/>
              <w:spacing w:before="0" w:after="283"/>
              <w:jc w:val="left"/>
              <w:rPr/>
            </w:pPr>
            <w:r>
              <w:rPr/>
              <w:t>Proceeds from divestitures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3" w:name="xdx_403_eus-gaap--NetCashProvidedByUsedI"/>
            <w:bookmarkEnd w:id="213"/>
          </w:p>
        </w:tc>
      </w:tr>
      <w:tr>
        <w:trPr/>
        <w:tc>
          <w:tcPr>
            <w:tcW w:w="809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5,029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(1,460</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14" w:name="xdx_401_eus-gaap--NetCashProvidedByUsedI"/>
            <w:bookmarkEnd w:id="214"/>
          </w:p>
        </w:tc>
      </w:tr>
      <w:tr>
        <w:trPr/>
        <w:tc>
          <w:tcPr>
            <w:tcW w:w="8090" w:type="dxa"/>
            <w:tcBorders/>
            <w:shd w:fill="FFFFFF" w:val="clear"/>
            <w:vAlign w:val="center"/>
          </w:tcPr>
          <w:p>
            <w:pPr>
              <w:pStyle w:val="TableContents"/>
              <w:bidi w:val="0"/>
              <w:spacing w:before="0" w:after="283"/>
              <w:jc w:val="left"/>
              <w:rPr/>
            </w:pPr>
            <w:r>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5" w:name="xdx_408_eus-gaap--ProceedsFromLinesOfCre"/>
            <w:bookmarkEnd w:id="215"/>
          </w:p>
        </w:tc>
      </w:tr>
      <w:tr>
        <w:trPr/>
        <w:tc>
          <w:tcPr>
            <w:tcW w:w="8090" w:type="dxa"/>
            <w:tcBorders/>
            <w:shd w:fill="CCEEFF" w:val="clear"/>
            <w:vAlign w:val="center"/>
          </w:tcPr>
          <w:p>
            <w:pPr>
              <w:pStyle w:val="TableContents"/>
              <w:bidi w:val="0"/>
              <w:spacing w:before="0" w:after="283"/>
              <w:jc w:val="left"/>
              <w:rPr/>
            </w:pPr>
            <w:r>
              <w:rPr/>
              <w:t>Borrowings on line of credit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27,895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51,812</w:t>
            </w:r>
          </w:p>
        </w:tc>
        <w:tc>
          <w:tcPr>
            <w:tcW w:w="110" w:type="dxa"/>
            <w:tcBorders/>
            <w:shd w:fill="CCEEFF" w:val="clear"/>
            <w:vAlign w:val="center"/>
          </w:tcPr>
          <w:p>
            <w:pPr>
              <w:pStyle w:val="TableContents"/>
              <w:bidi w:val="0"/>
              <w:spacing w:before="0" w:after="283"/>
              <w:jc w:val="left"/>
              <w:rPr/>
            </w:pPr>
            <w:r>
              <w:rPr/>
              <w:t> </w:t>
            </w:r>
            <w:bookmarkStart w:id="216" w:name="xdx_402_eus-gaap--RepaymentsOfLinesOfCre"/>
            <w:bookmarkEnd w:id="216"/>
          </w:p>
        </w:tc>
      </w:tr>
      <w:tr>
        <w:trPr/>
        <w:tc>
          <w:tcPr>
            <w:tcW w:w="8090" w:type="dxa"/>
            <w:tcBorders/>
            <w:shd w:fill="FFFFFF" w:val="clear"/>
            <w:vAlign w:val="center"/>
          </w:tcPr>
          <w:p>
            <w:pPr>
              <w:pStyle w:val="TableContents"/>
              <w:bidi w:val="0"/>
              <w:spacing w:before="0" w:after="283"/>
              <w:jc w:val="left"/>
              <w:rPr/>
            </w:pPr>
            <w:r>
              <w:rPr/>
              <w:t>Repayments on line of credit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(26,767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(51,925</w:t>
            </w:r>
          </w:p>
        </w:tc>
        <w:tc>
          <w:tcPr>
            <w:tcW w:w="110" w:type="dxa"/>
            <w:tcBorders/>
            <w:shd w:fill="FFFFFF" w:val="clear"/>
            <w:vAlign w:val="center"/>
          </w:tcPr>
          <w:p>
            <w:pPr>
              <w:pStyle w:val="TableContents"/>
              <w:bidi w:val="0"/>
              <w:spacing w:before="0" w:after="283"/>
              <w:jc w:val="left"/>
              <w:rPr/>
            </w:pPr>
            <w:r>
              <w:rPr/>
              <w:t>)</w:t>
            </w:r>
            <w:bookmarkStart w:id="217" w:name="xdx_40B_eus-gaap--RepaymentsOfLongTermDe"/>
            <w:bookmarkEnd w:id="217"/>
          </w:p>
        </w:tc>
      </w:tr>
      <w:tr>
        <w:trPr/>
        <w:tc>
          <w:tcPr>
            <w:tcW w:w="8090" w:type="dxa"/>
            <w:tcBorders/>
            <w:shd w:fill="CCEEFF" w:val="clear"/>
            <w:vAlign w:val="center"/>
          </w:tcPr>
          <w:p>
            <w:pPr>
              <w:pStyle w:val="TableContents"/>
              <w:bidi w:val="0"/>
              <w:spacing w:before="0" w:after="283"/>
              <w:jc w:val="left"/>
              <w:rPr/>
            </w:pPr>
            <w:r>
              <w:rPr/>
              <w:t>Payments on long-term debt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(3,771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18" w:name="xdx_40E_eus-gaap--PaymentsOfDebtIssuance"/>
            <w:bookmarkEnd w:id="218"/>
          </w:p>
        </w:tc>
      </w:tr>
      <w:tr>
        <w:trPr/>
        <w:tc>
          <w:tcPr>
            <w:tcW w:w="8090" w:type="dxa"/>
            <w:tcBorders/>
            <w:shd w:fill="FFFFFF" w:val="clear"/>
            <w:vAlign w:val="center"/>
          </w:tcPr>
          <w:p>
            <w:pPr>
              <w:pStyle w:val="TableContents"/>
              <w:bidi w:val="0"/>
              <w:spacing w:before="0" w:after="283"/>
              <w:jc w:val="left"/>
              <w:rPr/>
            </w:pPr>
            <w:r>
              <w:rPr/>
              <w:t>Debt issuance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w:t>
            </w:r>
          </w:p>
        </w:tc>
        <w:tc>
          <w:tcPr>
            <w:tcW w:w="110" w:type="dxa"/>
            <w:tcBorders/>
            <w:shd w:fill="FFFFFF" w:val="clear"/>
            <w:vAlign w:val="center"/>
          </w:tcPr>
          <w:p>
            <w:pPr>
              <w:pStyle w:val="TableContents"/>
              <w:bidi w:val="0"/>
              <w:spacing w:before="0" w:after="283"/>
              <w:jc w:val="left"/>
              <w:rPr/>
            </w:pPr>
            <w:r>
              <w:rPr/>
              <w:t>)</w:t>
            </w:r>
            <w:bookmarkStart w:id="219" w:name="xdx_405_eus-gaap--FinanceLeasePrincipalP"/>
            <w:bookmarkEnd w:id="219"/>
          </w:p>
        </w:tc>
      </w:tr>
      <w:tr>
        <w:trPr/>
        <w:tc>
          <w:tcPr>
            <w:tcW w:w="8090" w:type="dxa"/>
            <w:tcBorders/>
            <w:shd w:fill="CCEEFF" w:val="clear"/>
            <w:vAlign w:val="center"/>
          </w:tcPr>
          <w:p>
            <w:pPr>
              <w:pStyle w:val="TableContents"/>
              <w:bidi w:val="0"/>
              <w:spacing w:before="0" w:after="283"/>
              <w:jc w:val="left"/>
              <w:rPr/>
            </w:pPr>
            <w:r>
              <w:rPr/>
              <w:t>Payments on financing leases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(34</w:t>
            </w:r>
          </w:p>
        </w:tc>
        <w:tc>
          <w:tcPr>
            <w:tcW w:w="110" w:type="dxa"/>
            <w:tcBorders/>
            <w:shd w:fill="CCEEFF" w:val="clear"/>
            <w:vAlign w:val="center"/>
          </w:tcPr>
          <w:p>
            <w:pPr>
              <w:pStyle w:val="TableContents"/>
              <w:bidi w:val="0"/>
              <w:spacing w:before="0" w:after="283"/>
              <w:jc w:val="left"/>
              <w:rPr/>
            </w:pPr>
            <w:r>
              <w:rPr/>
              <w:t>)</w:t>
            </w:r>
            <w:bookmarkStart w:id="220" w:name="xdx_404_ecustom--PaymentOfTaxesFromWithh"/>
            <w:bookmarkEnd w:id="220"/>
          </w:p>
        </w:tc>
      </w:tr>
      <w:tr>
        <w:trPr/>
        <w:tc>
          <w:tcPr>
            <w:tcW w:w="8090" w:type="dxa"/>
            <w:tcBorders/>
            <w:shd w:fill="FFFFFF" w:val="clear"/>
            <w:vAlign w:val="center"/>
          </w:tcPr>
          <w:p>
            <w:pPr>
              <w:pStyle w:val="TableContents"/>
              <w:bidi w:val="0"/>
              <w:spacing w:before="0" w:after="283"/>
              <w:jc w:val="left"/>
              <w:rPr/>
            </w:pPr>
            <w:r>
              <w:rPr/>
              <w:t>Payment of taxes from withholding of common stock on settlement of restricted stock units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(61</w:t>
            </w:r>
          </w:p>
        </w:tc>
        <w:tc>
          <w:tcPr>
            <w:tcW w:w="110" w:type="dxa"/>
            <w:tcBorders/>
            <w:shd w:fill="FFFFFF" w:val="clear"/>
            <w:vAlign w:val="center"/>
          </w:tcPr>
          <w:p>
            <w:pPr>
              <w:pStyle w:val="TableContents"/>
              <w:bidi w:val="0"/>
              <w:spacing w:before="0" w:after="283"/>
              <w:jc w:val="left"/>
              <w:rPr/>
            </w:pPr>
            <w:r>
              <w:rPr/>
              <w:t>)</w:t>
            </w:r>
            <w:bookmarkStart w:id="221" w:name="xdx_409_eus-gaap--NetCashProvidedByUsedI"/>
            <w:bookmarkEnd w:id="221"/>
          </w:p>
        </w:tc>
      </w:tr>
      <w:tr>
        <w:trPr/>
        <w:tc>
          <w:tcPr>
            <w:tcW w:w="8090"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(2,717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2" w:name="xdx_403_eus-gaap--EffectOfExchangeRateOn"/>
            <w:bookmarkEnd w:id="222"/>
          </w:p>
        </w:tc>
      </w:tr>
      <w:tr>
        <w:trPr/>
        <w:tc>
          <w:tcPr>
            <w:tcW w:w="8090" w:type="dxa"/>
            <w:tcBorders/>
            <w:shd w:fill="CCEEFF" w:val="clear"/>
            <w:vAlign w:val="center"/>
          </w:tcPr>
          <w:p>
            <w:pPr>
              <w:pStyle w:val="TableContents"/>
              <w:bidi w:val="0"/>
              <w:spacing w:before="0" w:after="283"/>
              <w:jc w:val="left"/>
              <w:rPr/>
            </w:pPr>
            <w:r>
              <w:rPr/>
              <w:t>Effect of exchange rate changes on 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3" w:name="xdx_407_eus-gaap--CashCashEquivalentsRes"/>
            <w:bookmarkEnd w:id="223"/>
          </w:p>
        </w:tc>
      </w:tr>
      <w:tr>
        <w:trPr/>
        <w:tc>
          <w:tcPr>
            <w:tcW w:w="8090" w:type="dxa"/>
            <w:tcBorders/>
            <w:shd w:fill="CCEEFF" w:val="clear"/>
            <w:vAlign w:val="center"/>
          </w:tcPr>
          <w:p>
            <w:pPr>
              <w:pStyle w:val="TableContents"/>
              <w:bidi w:val="0"/>
              <w:spacing w:before="0" w:after="283"/>
              <w:jc w:val="left"/>
              <w:rPr/>
            </w:pPr>
            <w:r>
              <w:rPr/>
              <w:t>Net change in 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(7,111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816</w:t>
            </w:r>
          </w:p>
        </w:tc>
        <w:tc>
          <w:tcPr>
            <w:tcW w:w="110" w:type="dxa"/>
            <w:tcBorders/>
            <w:shd w:fill="CCEEFF" w:val="clear"/>
            <w:vAlign w:val="center"/>
          </w:tcPr>
          <w:p>
            <w:pPr>
              <w:pStyle w:val="TableContents"/>
              <w:bidi w:val="0"/>
              <w:spacing w:before="0" w:after="283"/>
              <w:jc w:val="left"/>
              <w:rPr/>
            </w:pPr>
            <w:r>
              <w:rPr/>
              <w:t> </w:t>
            </w:r>
            <w:bookmarkStart w:id="224" w:name="xdx_409_eus-gaap--CashCashEquivalentsRes"/>
            <w:bookmarkEnd w:id="224"/>
          </w:p>
        </w:tc>
      </w:tr>
      <w:tr>
        <w:trPr/>
        <w:tc>
          <w:tcPr>
            <w:tcW w:w="8090" w:type="dxa"/>
            <w:tcBorders/>
            <w:shd w:fill="FFFFFF" w:val="clear"/>
            <w:vAlign w:val="center"/>
          </w:tcPr>
          <w:p>
            <w:pPr>
              <w:pStyle w:val="TableContents"/>
              <w:bidi w:val="0"/>
              <w:spacing w:before="0" w:after="283"/>
              <w:jc w:val="left"/>
              <w:rPr/>
            </w:pPr>
            <w:r>
              <w:rPr/>
              <w:t>Cash and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6,221</w:t>
            </w:r>
          </w:p>
        </w:tc>
        <w:tc>
          <w:tcPr>
            <w:tcW w:w="110" w:type="dxa"/>
            <w:tcBorders/>
            <w:shd w:fill="FFFFFF" w:val="clear"/>
            <w:vAlign w:val="center"/>
          </w:tcPr>
          <w:p>
            <w:pPr>
              <w:pStyle w:val="TableContents"/>
              <w:bidi w:val="0"/>
              <w:spacing w:before="0" w:after="283"/>
              <w:jc w:val="left"/>
              <w:rPr/>
            </w:pPr>
            <w:r>
              <w:rPr/>
              <w:t> </w:t>
            </w:r>
            <w:bookmarkStart w:id="225" w:name="xdx_401_eus-gaap--CashCashEquivalentsRes"/>
            <w:bookmarkEnd w:id="225"/>
          </w:p>
        </w:tc>
      </w:tr>
      <w:tr>
        <w:trPr/>
        <w:tc>
          <w:tcPr>
            <w:tcW w:w="8090" w:type="dxa"/>
            <w:tcBorders/>
            <w:shd w:fill="CCEEFF" w:val="clear"/>
            <w:vAlign w:val="center"/>
          </w:tcPr>
          <w:p>
            <w:pPr>
              <w:pStyle w:val="TableContents"/>
              <w:bidi w:val="0"/>
              <w:spacing w:before="0" w:after="283"/>
              <w:jc w:val="left"/>
              <w:rPr/>
            </w:pPr>
            <w:r>
              <w:rPr/>
              <w:t>Cash and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10,217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7,037</w:t>
            </w:r>
          </w:p>
        </w:tc>
        <w:tc>
          <w:tcPr>
            <w:tcW w:w="110" w:type="dxa"/>
            <w:tcBorders/>
            <w:shd w:fill="CCEEFF" w:val="clear"/>
            <w:vAlign w:val="center"/>
          </w:tcPr>
          <w:p>
            <w:pPr>
              <w:pStyle w:val="TableContents"/>
              <w:bidi w:val="0"/>
              <w:spacing w:before="0" w:after="283"/>
              <w:jc w:val="left"/>
              <w:rPr/>
            </w:pPr>
            <w:r>
              <w:rPr/>
              <w:t> </w:t>
            </w:r>
            <w:bookmarkStart w:id="226" w:name="xdx_40A_eus-gaap--CashCashEquivalentsRes"/>
            <w:bookmarkEnd w:id="226"/>
          </w:p>
        </w:tc>
      </w:tr>
      <w:tr>
        <w:trPr/>
        <w:tc>
          <w:tcPr>
            <w:tcW w:w="8090" w:type="dxa"/>
            <w:tcBorders/>
            <w:shd w:fill="FFFFFF" w:val="clear"/>
            <w:vAlign w:val="center"/>
          </w:tcPr>
          <w:p>
            <w:pPr>
              <w:pStyle w:val="TableContents"/>
              <w:bidi w:val="0"/>
              <w:spacing w:before="0" w:after="283"/>
              <w:jc w:val="left"/>
              <w:rPr/>
            </w:pPr>
            <w:r>
              <w:rPr/>
              <w:t>Reconciliation of cash and cash equivalents and restricted cash reported in the condensed consolidated balance sheets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7" w:name="xdx_40A_eus-gaap--CashAndCashEquivalents"/>
            <w:bookmarkEnd w:id="227"/>
          </w:p>
        </w:tc>
      </w:tr>
      <w:tr>
        <w:trPr/>
        <w:tc>
          <w:tcPr>
            <w:tcW w:w="8090"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9,870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6,923</w:t>
            </w:r>
          </w:p>
        </w:tc>
        <w:tc>
          <w:tcPr>
            <w:tcW w:w="110" w:type="dxa"/>
            <w:tcBorders/>
            <w:shd w:fill="CCEEFF" w:val="clear"/>
            <w:vAlign w:val="center"/>
          </w:tcPr>
          <w:p>
            <w:pPr>
              <w:pStyle w:val="TableContents"/>
              <w:bidi w:val="0"/>
              <w:spacing w:before="0" w:after="283"/>
              <w:jc w:val="left"/>
              <w:rPr/>
            </w:pPr>
            <w:r>
              <w:rPr/>
              <w:t> </w:t>
            </w:r>
            <w:bookmarkStart w:id="228" w:name="xdx_40A_eus-gaap--RestrictedCashAndCashE"/>
            <w:bookmarkEnd w:id="228"/>
          </w:p>
        </w:tc>
      </w:tr>
      <w:tr>
        <w:trPr/>
        <w:tc>
          <w:tcPr>
            <w:tcW w:w="8090"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114</w:t>
            </w:r>
          </w:p>
        </w:tc>
        <w:tc>
          <w:tcPr>
            <w:tcW w:w="110" w:type="dxa"/>
            <w:tcBorders/>
            <w:shd w:fill="FFFFFF" w:val="clear"/>
            <w:vAlign w:val="center"/>
          </w:tcPr>
          <w:p>
            <w:pPr>
              <w:pStyle w:val="TableContents"/>
              <w:bidi w:val="0"/>
              <w:spacing w:before="0" w:after="283"/>
              <w:jc w:val="left"/>
              <w:rPr/>
            </w:pPr>
            <w:r>
              <w:rPr/>
              <w:t> </w:t>
            </w:r>
            <w:bookmarkStart w:id="229" w:name="xdx_402_eus-gaap--CashCashEquivalentsRes"/>
            <w:bookmarkEnd w:id="229"/>
          </w:p>
        </w:tc>
      </w:tr>
      <w:tr>
        <w:trPr/>
        <w:tc>
          <w:tcPr>
            <w:tcW w:w="8090" w:type="dxa"/>
            <w:tcBorders/>
            <w:shd w:fill="CCEEFF" w:val="clear"/>
            <w:vAlign w:val="center"/>
          </w:tcPr>
          <w:p>
            <w:pPr>
              <w:pStyle w:val="TableContents"/>
              <w:bidi w:val="0"/>
              <w:spacing w:before="0" w:after="283"/>
              <w:jc w:val="left"/>
              <w:rPr/>
            </w:pPr>
            <w:r>
              <w:rPr/>
              <w:t>Total cash and restricted cash reported in condensed consolidated balance sheets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10,217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7,037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0" w:name="xdx_808_eus-gaap--OrganizationConsolidat"/>
      <w:bookmarkEnd w:id="230"/>
      <w:r>
        <w:rPr>
          <w:rFonts w:ascii="Times New Roman;Times;Serif" w:hAnsi="Times New Roman;Times;Serif"/>
          <w:b/>
          <w:i w:val="false"/>
          <w:caps w:val="false"/>
          <w:smallCaps w:val="false"/>
          <w:sz w:val="20"/>
        </w:rPr>
        <w:t xml:space="preserve">(1) </w:t>
      </w:r>
      <w:bookmarkStart w:id="231" w:name="xdx_822_z2ZB7bq6ywtj"/>
      <w:bookmarkEnd w:id="231"/>
      <w:r>
        <w:rPr>
          <w:rFonts w:ascii="Times New Roman;Times;Serif" w:hAnsi="Times New Roman;Times;Serif"/>
          <w:b/>
          <w:i w:val="false"/>
          <w:caps w:val="false"/>
          <w:smallCaps w:val="false"/>
          <w:sz w:val="20"/>
        </w:rPr>
        <w:t>Business Description, Basis of Presentation and 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2" w:name="xdx_86C_zD7c1OJNI1R2"/>
      <w:bookmarkStart w:id="233" w:name="xdx_84C_eus-gaap--BasisOfAccountingPolic"/>
      <w:bookmarkEnd w:id="232"/>
      <w:bookmarkEnd w:id="233"/>
      <w:r>
        <w:rPr>
          <w:rFonts w:ascii="Times New Roman;Times;Serif" w:hAnsi="Times New Roman;Times;Serif"/>
          <w:b/>
          <w:i w:val="false"/>
          <w:caps w:val="false"/>
          <w:smallCaps w:val="false"/>
          <w:sz w:val="20"/>
        </w:rPr>
        <w:t>Business Description and 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include the accounts of Xtant Medical Holdings, Inc. (“Xtant”), a Delaware corporation, and its wholly owned subsidiaries, which are jointly referred to herein as “Xtant” or the “Company”. The terms “we,” “us” and “our” also refer to Xtant. All intercompany balances and transactions have been eliminated in consolidation.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Xtant is a global medical technology company focused on the design, development, and commercialization of a comprehensive portfolio of orthobiologics and spinal implant fixation systems to facilitate spinal fusion in complex spine, deformity, and degenerative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balance sheet as of December 31, 2025, which has been derived from audited financial statements, and the unaudited interim condensed consolidated financial statements have been prepared in accordance with accounting principles generally accepted in the United States of America (“GAAP”). They do not include all disclosures required by generally accepted accounting principles for annual consolidated financial statements, but in the opinion of management include all adjustments, consisting only of normal recurring items, necessary for a fair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results are not necessarily indicative of results that may be achieved in the future for the full year ending December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condensed consolidated financial statements should be read in conjunction with the consolidated financial statements and notes thereto, which are included in Xtant’s Annual Report on Form 10-K for the year ended December 31, 2025. The accounting policies set forth in those annual consolidated financial statements are the same as the accounting policies utilized in the preparation of these condensed consolidated financial statements, except as modified for appropriate interim consolidated financial statement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4" w:name="xdx_862_zCKwCqBqgzlk"/>
      <w:bookmarkStart w:id="235" w:name="xdx_84B_eus-gaap--UseOfEstimates_z7xMVon"/>
      <w:bookmarkEnd w:id="234"/>
      <w:bookmarkEnd w:id="235"/>
      <w:r>
        <w:rPr>
          <w:rFonts w:ascii="Times New Roman;Times;Serif" w:hAnsi="Times New Roman;Times;Serif"/>
          <w:b/>
          <w:i w:val="false"/>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condensed consolidated financial statements requires the Company’s management to make a number of estimates and assumptions relating to the reported amount of assets and liabilities and the disclosure of contingent assets and liabilities at the date of the condensed consolidated financial statements and the reported amounts of revenue and expenses during the period. Significant estimates include the carrying amount of property and equipment; goodwill, intangible assets and liabilities; valuation allowances for trade receivables, inventory, our deposit paid to Dilon Technologies, Inc. under our distribution agreement with them, deferred income tax assets and liabilities; current and long-term lease obligations and corresponding right-of-use asset; and estimates for the fair value of long-term debt, stock options and other equity awards upon which the Company determines stock-based compensation expense. Actual results could differ from those estimates.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6" w:name="xdx_86C_zB4CGZ1YR682"/>
      <w:bookmarkStart w:id="237" w:name="xdx_84C_eus-gaap--CashAndCashEquivalents"/>
      <w:bookmarkEnd w:id="236"/>
      <w:bookmarkEnd w:id="237"/>
      <w:r>
        <w:rPr>
          <w:rFonts w:ascii="Times New Roman;Times;Serif" w:hAnsi="Times New Roman;Times;Serif"/>
          <w:b/>
          <w:i w:val="false"/>
          <w:caps w:val="false"/>
          <w:smallCaps w:val="false"/>
          <w:sz w:val="20"/>
        </w:rPr>
        <w:t>Cash, Cash Equivalents, and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considers all highly liquid investments purchased with an original maturity date of three months or less to be cash equivalents. Cash equivalents are recorded at cost, which approximates market value. The Company maintains its cash balances primarily with two financial institutions. These balances generally exceed federally insured limits. The Company has not experienced any losses in such accounts and believes it is not exposed to any significant credit risk in cash and cash equivalents.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classified as restricted cash on the Company’s condensed consolidated balance sheets are restricted as to withdrawal or use under the terms of certain contractual agreements. The June 30, 2026 and December 31, 2025 balances included lockbox deposits that are temporarily restricted due to timing at the period end. The lockbox deposits are applied against the Company’s line of credit the next business day.</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8" w:name="xdx_862_zrfo52baSHak"/>
      <w:bookmarkStart w:id="239" w:name="xdx_84C_eus-gaap--ImpairmentOrDisposalOf"/>
      <w:bookmarkEnd w:id="238"/>
      <w:bookmarkEnd w:id="239"/>
      <w:r>
        <w:rPr>
          <w:rFonts w:ascii="Times New Roman;Times;Serif" w:hAnsi="Times New Roman;Times;Serif"/>
          <w:b/>
          <w:i w:val="false"/>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its long-lived assets for impairment whenever events or changes in circumstances indicate that the carrying amount of the asset may not be recovered. </w:t>
      </w:r>
      <w:bookmarkStart w:id="240" w:name="xdx_903_eus-gaap--ImpairmentOfLongLivedA"/>
      <w:bookmarkStart w:id="241" w:name="xdx_909_eus-gaap--ImpairmentOfLongLivedA"/>
      <w:bookmarkStart w:id="242" w:name="xdx_90F_eus-gaap--ImpairmentOfLongLivedA"/>
      <w:bookmarkStart w:id="243" w:name="xdx_90A_eus-gaap--ImpairmentOfLongLivedA"/>
      <w:bookmarkEnd w:id="240"/>
      <w:bookmarkEnd w:id="241"/>
      <w:bookmarkEnd w:id="242"/>
      <w:bookmarkEnd w:id="243"/>
      <w:r>
        <w:rPr>
          <w:rFonts w:ascii="Times New Roman;Times;Serif" w:hAnsi="Times New Roman;Times;Serif"/>
          <w:b w:val="false"/>
          <w:i w:val="false"/>
          <w:caps w:val="false"/>
          <w:smallCaps w:val="false"/>
          <w:sz w:val="20"/>
        </w:rPr>
        <w:t>No impairments of long-lived assets were recorded for the three and six months ended June 30, 2026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4" w:name="xdx_86E_zu6YVvtay1yc"/>
      <w:bookmarkStart w:id="245" w:name="xdx_843_eus-gaap--GoodwillAndIntangibleA"/>
      <w:bookmarkEnd w:id="244"/>
      <w:bookmarkEnd w:id="245"/>
      <w:r>
        <w:rPr>
          <w:rFonts w:ascii="Times New Roman;Times;Serif" w:hAnsi="Times New Roman;Times;Serif"/>
          <w:b/>
          <w:i w:val="false"/>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costs over fair value of assets of businesses acquired. Goodwill and intangible assets acquired in a purchase business combination and determined to have indefinite useful lives are not amortized. Instead, they are tested for impairment at least annually, and whenever events or circumstances indicate, the carrying amount of the asset may not be recoverable. </w:t>
      </w:r>
      <w:bookmarkStart w:id="246" w:name="xdx_90B_eus-gaap--GoodwillImpairmentLoss"/>
      <w:bookmarkStart w:id="247" w:name="xdx_901_eus-gaap--GoodwillImpairmentLoss"/>
      <w:bookmarkStart w:id="248" w:name="xdx_90F_eus-gaap--GoodwillImpairmentLoss"/>
      <w:bookmarkStart w:id="249" w:name="xdx_90C_eus-gaap--GoodwillImpairmentLoss"/>
      <w:bookmarkEnd w:id="246"/>
      <w:bookmarkEnd w:id="247"/>
      <w:bookmarkEnd w:id="248"/>
      <w:bookmarkEnd w:id="249"/>
      <w:r>
        <w:rPr>
          <w:rFonts w:ascii="Times New Roman;Times;Serif" w:hAnsi="Times New Roman;Times;Serif"/>
          <w:b w:val="false"/>
          <w:i w:val="false"/>
          <w:caps w:val="false"/>
          <w:smallCaps w:val="false"/>
          <w:sz w:val="20"/>
        </w:rPr>
        <w:t>No impairments of goodwill were recorded for the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0" w:name="xdx_866_zOnHYrQvUiZb"/>
      <w:bookmarkStart w:id="251" w:name="xdx_84B_eus-gaap--ShareBasedCompensation"/>
      <w:bookmarkEnd w:id="250"/>
      <w:bookmarkEnd w:id="251"/>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stock-based compensation in accordance with Financial Accounting Standards Board, or FASB, Accounting Standards Codification (“ASC”) 718, </w:t>
      </w:r>
      <w:r>
        <w:rPr>
          <w:rFonts w:ascii="Times New Roman;Times;Serif" w:hAnsi="Times New Roman;Times;Serif"/>
          <w:b w:val="false"/>
          <w:i/>
          <w:caps w:val="false"/>
          <w:smallCaps w:val="false"/>
          <w:sz w:val="20"/>
        </w:rPr>
        <w:t>Compensation-Stock Compensation</w:t>
      </w:r>
      <w:r>
        <w:rPr>
          <w:rFonts w:ascii="Times New Roman;Times;Serif" w:hAnsi="Times New Roman;Times;Serif"/>
          <w:b w:val="false"/>
          <w:i w:val="false"/>
          <w:caps w:val="false"/>
          <w:smallCaps w:val="false"/>
          <w:sz w:val="20"/>
        </w:rPr>
        <w:t>. ASC 718 requires the recognition of compensation expense, using a fair-value based method, for costs related to all stock-based payments including stock options, restricted stock units, performance stock units, and shares issued under its employee stock purchase plan. ASC 718 requires companies to estimate the fair value of all share-based payment option awards on the date of grant using an option pricing model. The fair value of stock options is recognized over the period during which an optionee is required to provide services in exchange for the option award, known as the requisite service period (usually the vesting period), on a straight-line basis. The Company accounts for option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for restricted stock units and deferred stock units at their fair value, based on the closing market price of the Company’s common stock on the date of grant. These costs are recognized on a straight-line basis over the requisite service period, which is usually the vesting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stock-based compensation for performance stock units with market-based conditions at their fair value on the date of the award using the Monte Carlo simulation model. These costs are recognized over the requisite service period, which is usually the vesting period, regardless of the likelihood of achievement of the market-based 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2" w:name="xdx_86A_zIQ5CDln34xl"/>
      <w:bookmarkStart w:id="253" w:name="xdx_847_eus-gaap--NewAccountingPronounce"/>
      <w:bookmarkEnd w:id="252"/>
      <w:bookmarkEnd w:id="253"/>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Financial Accounting Standards Board issued ASU 2024-03, Income Statement - Reporting Comprehensive Income - Expense Disaggregation Disclosures (Subtopic 220-40). This ASU requires that public business entities disclose additional information about specific expense categories in the notes to financial statements at interim and annual reporting periods. The prescribed categories include purchases of inventory, employee compensation, depreciation, intangible asset amortization, and depletion. This authoritative guidance is effective for annual periods beginning after December 15, 2026 and interim periods beginning after December 15, 2027, with early adoption permitted. The Company is currently evaluating the effect of this new guidance on its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54" w:name="xdx_86A_zD31QGERmEN5"/>
      <w:bookmarkStart w:id="255" w:name="xdx_846_eus-gaap--ForeignCurrencyTransac"/>
      <w:bookmarkEnd w:id="254"/>
      <w:bookmarkEnd w:id="255"/>
      <w:r>
        <w:rPr>
          <w:rFonts w:ascii="Times New Roman;Times;Serif" w:hAnsi="Times New Roman;Times;Serif"/>
          <w:b/>
          <w:i w:val="false"/>
          <w:caps w:val="false"/>
          <w:smallCaps w:val="false"/>
          <w:sz w:val="20"/>
        </w:rPr>
        <w:t>Foreign Currency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generates revenues outside the United States in multiple foreign currencies including euros, Swiss francs, British pounds and in U.S. dollar-denominated transactions conducted with customers who generate revenue in currencies other than the U.S. dollar. The Company also incurs operating expenses in euros, Swiss francs and British pounds. All assets and liabilities of foreign subsidiaries which have a functional currency other than the U.S. dollar are translated at the rate of exchange at period-end, while elements of the income statement are translated at the average exchange rates in effect during the period. The net effect of these translation adjustments is shown as a component of accumulated other comprehensive loss. Foreign currency transaction gains and losses are reported in unrealized foreign currency translation gain.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6" w:name="xdx_867_zwpHG1u0BoGf"/>
      <w:bookmarkStart w:id="257" w:name="xdx_841_eus-gaap--FairValueOfFinancialIn"/>
      <w:bookmarkEnd w:id="256"/>
      <w:bookmarkEnd w:id="257"/>
      <w:r>
        <w:rPr>
          <w:rFonts w:ascii="Times New Roman;Times;Serif" w:hAnsi="Times New Roman;Times;Serif"/>
          <w:b/>
          <w:i w:val="false"/>
          <w:caps w:val="false"/>
          <w:smallCaps w:val="false"/>
          <w:sz w:val="20"/>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financial instruments, including trade accounts receivable, note receivable, accounts payable, accrued liabilities and long-term debt, approximate their fair values based on terms and related interest rates as of June 30, 2026 and December 31, 2025.</w:t>
      </w:r>
    </w:p>
    <w:p>
      <w:pPr>
        <w:pStyle w:val="TextBody"/>
        <w:bidi w:val="0"/>
        <w:spacing w:before="0" w:after="0"/>
        <w:ind w:left="0" w:right="0" w:hanging="0"/>
        <w:jc w:val="both"/>
        <w:rPr>
          <w:caps w:val="false"/>
          <w:smallCaps w:val="false"/>
        </w:rPr>
      </w:pPr>
      <w:bookmarkStart w:id="258" w:name="xdx_857_zaHGKc8SlKe3"/>
      <w:bookmarkEnd w:id="25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9" w:name="xdx_80C_ecustom--DilonDistributionAgreem"/>
      <w:bookmarkEnd w:id="259"/>
      <w:r>
        <w:rPr>
          <w:rFonts w:ascii="Times New Roman;Times;Serif" w:hAnsi="Times New Roman;Times;Serif"/>
          <w:b/>
          <w:i w:val="false"/>
          <w:caps w:val="false"/>
          <w:smallCaps w:val="false"/>
          <w:sz w:val="20"/>
        </w:rPr>
        <w:t xml:space="preserve">(2) </w:t>
      </w:r>
      <w:bookmarkStart w:id="260" w:name="xdx_823_zlCx1XIxF0vf"/>
      <w:bookmarkEnd w:id="260"/>
      <w:r>
        <w:rPr>
          <w:rFonts w:ascii="Times New Roman;Times;Serif" w:hAnsi="Times New Roman;Times;Serif"/>
          <w:b/>
          <w:i w:val="false"/>
          <w:caps w:val="false"/>
          <w:smallCaps w:val="false"/>
          <w:sz w:val="20"/>
        </w:rPr>
        <w:t>Dilon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we announced that we entered into a Distribution Agreement (the “Distribution Agreement”) with Dilon Technologies, Inc. pursuant to which we obtained the exclusive rights to import, market, distribute and sell the HEMOBLAST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Bellows product in the United States. The HEMOBLAST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Bellows product is an FDA-approved powder-based, topical, surgical hemostatic agent used to control bleeding during surgical procedures. In connection with the agreement, we hired approximately 20 Dilon sales personnel to assist in selling the product in the United States. Under the Distribution Agreement, Dilon will continue to manufacture the HEMOBLAST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Bellows product at its facility in France and supply it to us at a specified transfer price, subject to adjustment in certain circumstances. The Distribution Agreement does not contain any minimum purchase requirements. Under the Distribution Agreement, we paid Dilon a $</w:t>
      </w:r>
      <w:bookmarkStart w:id="261" w:name="xdx_906_eus-gaap--DepositAssets_iI_pn5n6"/>
      <w:bookmarkEnd w:id="261"/>
      <w:r>
        <w:rPr>
          <w:rFonts w:ascii="Times New Roman;Times;Serif" w:hAnsi="Times New Roman;Times;Serif"/>
          <w:b w:val="false"/>
          <w:i w:val="false"/>
          <w:caps w:val="false"/>
          <w:smallCaps w:val="false"/>
          <w:sz w:val="20"/>
        </w:rPr>
        <w:t>5.0 million exclusivity fee upon execution of the agreement. The fee is fully refundable to us in certain circumstances. Given the refundable nature of the payment, we initially recognized the $</w:t>
      </w:r>
      <w:bookmarkStart w:id="262" w:name="xdx_90E_eus-gaap--DepositAssets_iI_pn5n6"/>
      <w:bookmarkEnd w:id="262"/>
      <w:r>
        <w:rPr>
          <w:rFonts w:ascii="Times New Roman;Times;Serif" w:hAnsi="Times New Roman;Times;Serif"/>
          <w:b w:val="false"/>
          <w:i w:val="false"/>
          <w:caps w:val="false"/>
          <w:smallCaps w:val="false"/>
          <w:sz w:val="20"/>
        </w:rPr>
        <w:t>5.0 million as a deposit asset on our consolidated balance sheet. However, based on an assessment of facts and circumstances, including the uncertainty surrounding recovery of the payment and management’s expectation that repayment was not probable despite contractual repayment provisions, we recognized a $</w:t>
      </w:r>
      <w:bookmarkStart w:id="263" w:name="xdx_906_eus-gaap--OperatingExpenses_pn5n"/>
      <w:bookmarkEnd w:id="263"/>
      <w:r>
        <w:rPr>
          <w:rFonts w:ascii="Times New Roman;Times;Serif" w:hAnsi="Times New Roman;Times;Serif"/>
          <w:b w:val="false"/>
          <w:i w:val="false"/>
          <w:caps w:val="false"/>
          <w:smallCaps w:val="false"/>
          <w:sz w:val="20"/>
        </w:rPr>
        <w:t>5.0 million charge to operating expenses during the three and six months ended June 30, 2026. Activity within the allowance for credit losses related to the Dilon deposit consists of the following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4" w:name="xdx_8BC_z8xhwTSsIr2b"/>
      <w:bookmarkStart w:id="265" w:name="xdx_89D_eus-gaap--AllowanceForCreditLoss"/>
      <w:bookmarkEnd w:id="264"/>
      <w:bookmarkEnd w:id="265"/>
      <w:r>
        <w:rPr>
          <w:rFonts w:ascii="Times New Roman;Times;Serif" w:hAnsi="Times New Roman;Times;Serif"/>
          <w:b w:val="false"/>
          <w:i w:val="false"/>
          <w:caps w:val="false"/>
          <w:smallCaps w:val="false"/>
          <w:sz w:val="20"/>
        </w:rPr>
        <w:t>Schedule of Allowance for Credit Losses </w:t>
      </w:r>
    </w:p>
    <w:tbl>
      <w:tblPr>
        <w:tblW w:w="7708" w:type="dxa"/>
        <w:jc w:val="left"/>
        <w:tblInd w:w="0" w:type="dxa"/>
        <w:tblLayout w:type="fixed"/>
        <w:tblCellMar>
          <w:top w:w="0" w:type="dxa"/>
          <w:left w:w="0" w:type="dxa"/>
          <w:bottom w:w="0" w:type="dxa"/>
          <w:right w:w="0" w:type="dxa"/>
        </w:tblCellMar>
      </w:tblPr>
      <w:tblGrid>
        <w:gridCol w:w="4085"/>
        <w:gridCol w:w="60"/>
        <w:gridCol w:w="188"/>
        <w:gridCol w:w="854"/>
        <w:gridCol w:w="127"/>
        <w:gridCol w:w="80"/>
        <w:gridCol w:w="188"/>
        <w:gridCol w:w="349"/>
        <w:gridCol w:w="60"/>
        <w:gridCol w:w="60"/>
        <w:gridCol w:w="163"/>
        <w:gridCol w:w="740"/>
        <w:gridCol w:w="110"/>
        <w:gridCol w:w="69"/>
        <w:gridCol w:w="175"/>
        <w:gridCol w:w="325"/>
        <w:gridCol w:w="75"/>
      </w:tblGrid>
      <w:tr>
        <w:trPr/>
        <w:tc>
          <w:tcPr>
            <w:tcW w:w="4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2"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5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bookmarkStart w:id="266" w:name="xdx_987_eus-gaap--AllowanceForDoubtfulAc"/>
            <w:bookmarkEnd w:id="266"/>
          </w:p>
        </w:tc>
        <w:tc>
          <w:tcPr>
            <w:tcW w:w="854" w:type="dxa"/>
            <w:tcBorders/>
            <w:shd w:fill="CCEEFF" w:val="clear"/>
            <w:vAlign w:val="center"/>
          </w:tcPr>
          <w:p>
            <w:pPr>
              <w:pStyle w:val="TableContents"/>
              <w:bidi w:val="0"/>
              <w:spacing w:before="0" w:after="283"/>
              <w:jc w:val="right"/>
              <w:rPr/>
            </w:pPr>
            <w:r>
              <w:rPr/>
              <w:t>—</w:t>
            </w:r>
          </w:p>
        </w:tc>
        <w:tc>
          <w:tcPr>
            <w:tcW w:w="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bookmarkStart w:id="267" w:name="xdx_98C_eus-gaap--AllowanceForDoubtfulAc"/>
            <w:bookmarkEnd w:id="267"/>
          </w:p>
        </w:tc>
        <w:tc>
          <w:tcPr>
            <w:tcW w:w="34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bookmarkStart w:id="268" w:name="xdx_987_eus-gaap--AllowanceForDoubtfulAc"/>
            <w:bookmarkEnd w:id="268"/>
          </w:p>
        </w:tc>
        <w:tc>
          <w:tcPr>
            <w:tcW w:w="74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bookmarkStart w:id="269" w:name="xdx_989_eus-gaap--AllowanceForDoubtfulAc"/>
            <w:bookmarkEnd w:id="269"/>
          </w:p>
        </w:tc>
        <w:tc>
          <w:tcPr>
            <w:tcW w:w="325"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Provision for current expected credit losses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bookmarkStart w:id="270" w:name="xdx_989_eus-gaap--ProvisionForDoubtfulAc"/>
            <w:bookmarkEnd w:id="270"/>
          </w:p>
        </w:tc>
        <w:tc>
          <w:tcPr>
            <w:tcW w:w="854" w:type="dxa"/>
            <w:tcBorders/>
            <w:shd w:fill="FFFFFF" w:val="clear"/>
            <w:vAlign w:val="center"/>
          </w:tcPr>
          <w:p>
            <w:pPr>
              <w:pStyle w:val="TableContents"/>
              <w:bidi w:val="0"/>
              <w:spacing w:before="0" w:after="283"/>
              <w:jc w:val="right"/>
              <w:rPr/>
            </w:pPr>
            <w:r>
              <w:rPr/>
              <w:t>5,000</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bookmarkStart w:id="271" w:name="xdx_98A_eus-gaap--ProvisionForDoubtfulAc"/>
            <w:bookmarkEnd w:id="271"/>
          </w:p>
        </w:tc>
        <w:tc>
          <w:tcPr>
            <w:tcW w:w="3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272" w:name="xdx_983_eus-gaap--ProvisionForDoubtfulAc"/>
            <w:bookmarkEnd w:id="272"/>
          </w:p>
        </w:tc>
        <w:tc>
          <w:tcPr>
            <w:tcW w:w="740" w:type="dxa"/>
            <w:tcBorders/>
            <w:shd w:fill="FFFFFF" w:val="clear"/>
            <w:vAlign w:val="center"/>
          </w:tcPr>
          <w:p>
            <w:pPr>
              <w:pStyle w:val="TableContents"/>
              <w:bidi w:val="0"/>
              <w:spacing w:before="0" w:after="283"/>
              <w:jc w:val="right"/>
              <w:rPr/>
            </w:pPr>
            <w:r>
              <w:rPr/>
              <w:t>5,000</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273" w:name="xdx_983_eus-gaap--ProvisionForDoubtfulAc"/>
            <w:bookmarkEnd w:id="273"/>
          </w:p>
        </w:tc>
        <w:tc>
          <w:tcPr>
            <w:tcW w:w="32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Write-offs against allowance</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274" w:name="xdx_988_eus-gaap--AllowanceForDoubtfulAc"/>
            <w:bookmarkEnd w:id="274"/>
          </w:p>
        </w:tc>
        <w:tc>
          <w:tcPr>
            <w:tcW w:w="854" w:type="dxa"/>
            <w:tcBorders>
              <w:bottom w:val="single" w:sz="8" w:space="0" w:color="000000"/>
            </w:tcBorders>
            <w:shd w:fill="CCEEFF" w:val="clear"/>
            <w:tcMar>
              <w:bottom w:w="28" w:type="dxa"/>
            </w:tcMar>
            <w:vAlign w:val="center"/>
          </w:tcPr>
          <w:p>
            <w:pPr>
              <w:pStyle w:val="TableContents"/>
              <w:bidi w:val="0"/>
              <w:spacing w:before="0" w:after="283"/>
              <w:jc w:val="right"/>
              <w:rPr/>
            </w:pPr>
            <w:r>
              <w:rPr/>
              <w:t>(5,000</w:t>
            </w:r>
          </w:p>
        </w:tc>
        <w:tc>
          <w:tcPr>
            <w:tcW w:w="127" w:type="dxa"/>
            <w:tcBorders/>
            <w:shd w:fill="CCEEFF" w:val="clear"/>
            <w:vAlign w:val="center"/>
          </w:tcPr>
          <w:p>
            <w:pPr>
              <w:pStyle w:val="TableContents"/>
              <w:bidi w:val="0"/>
              <w:spacing w:before="0" w:after="283"/>
              <w:jc w:val="left"/>
              <w:rPr/>
            </w:pPr>
            <w:r>
              <w:rPr/>
              <w:t>)</w:t>
            </w:r>
          </w:p>
        </w:tc>
        <w:tc>
          <w:tcPr>
            <w:tcW w:w="8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275" w:name="xdx_983_eus-gaap--AllowanceForDoubtfulAc"/>
            <w:bookmarkEnd w:id="275"/>
          </w:p>
        </w:tc>
        <w:tc>
          <w:tcPr>
            <w:tcW w:w="3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276" w:name="xdx_98A_eus-gaap--AllowanceForDoubtfulAc"/>
            <w:bookmarkEnd w:id="276"/>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pPr>
            <w:r>
              <w:rPr/>
              <w:t>(5,000</w:t>
            </w:r>
          </w:p>
        </w:tc>
        <w:tc>
          <w:tcPr>
            <w:tcW w:w="110"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277" w:name="xdx_987_eus-gaap--AllowanceForDoubtfulAc"/>
            <w:bookmarkEnd w:id="277"/>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Balance at June 30</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bookmarkStart w:id="278" w:name="xdx_987_eus-gaap--AllowanceForDoubtfulAc"/>
            <w:bookmarkEnd w:id="278"/>
          </w:p>
        </w:tc>
        <w:tc>
          <w:tcPr>
            <w:tcW w:w="854" w:type="dxa"/>
            <w:tcBorders/>
            <w:shd w:fill="FFFFFF" w:val="clear"/>
            <w:vAlign w:val="center"/>
          </w:tcPr>
          <w:p>
            <w:pPr>
              <w:pStyle w:val="TableContents"/>
              <w:bidi w:val="0"/>
              <w:spacing w:before="0" w:after="283"/>
              <w:jc w:val="right"/>
              <w:rPr/>
            </w:pPr>
            <w:r>
              <w:rPr/>
              <w:t>—</w:t>
            </w:r>
          </w:p>
        </w:tc>
        <w:tc>
          <w:tcPr>
            <w:tcW w:w="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bookmarkStart w:id="279" w:name="xdx_983_eus-gaap--AllowanceForDoubtfulAc"/>
            <w:bookmarkEnd w:id="279"/>
          </w:p>
        </w:tc>
        <w:tc>
          <w:tcPr>
            <w:tcW w:w="34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280" w:name="xdx_98B_eus-gaap--AllowanceForDoubtfulAc"/>
            <w:bookmarkEnd w:id="280"/>
          </w:p>
        </w:tc>
        <w:tc>
          <w:tcPr>
            <w:tcW w:w="74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281" w:name="xdx_986_eus-gaap--AllowanceForDoubtfulAc"/>
            <w:bookmarkEnd w:id="281"/>
          </w:p>
        </w:tc>
        <w:tc>
          <w:tcPr>
            <w:tcW w:w="325"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282" w:name="xdx_8A5_zaMIYNn7rt25"/>
      <w:bookmarkEnd w:id="282"/>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3" w:name="xdx_807_eus-gaap--BusinessCombinationDis"/>
      <w:bookmarkEnd w:id="283"/>
      <w:r>
        <w:rPr>
          <w:rFonts w:ascii="Times New Roman;Times;Serif" w:hAnsi="Times New Roman;Times;Serif"/>
          <w:b/>
          <w:i w:val="false"/>
          <w:caps w:val="false"/>
          <w:smallCaps w:val="false"/>
          <w:sz w:val="20"/>
        </w:rPr>
        <w:t xml:space="preserve">(3) </w:t>
      </w:r>
      <w:bookmarkStart w:id="284" w:name="xdx_822_z2hSkpsc3Bpl"/>
      <w:bookmarkEnd w:id="284"/>
      <w:r>
        <w:rPr>
          <w:rFonts w:ascii="Times New Roman;Times;Serif" w:hAnsi="Times New Roman;Times;Serif"/>
          <w:b/>
          <w:i w:val="false"/>
          <w:caps w:val="false"/>
          <w:smallCaps w:val="false"/>
          <w:sz w:val="20"/>
        </w:rPr>
        <w:t>Sale of Coflex/CoFix Assets and International Hardware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2025, we completed the sale of certain assets relating to our Coflex and CoFix products (the “Coflex/CoFix Divestiture”) to Companion Spine, LLC and one of its affiliates, Companion Spine SAS (collectively, “Companion Spine”), pursuant to an Asset Purchase Agreement dated July 7, 2025 (the “Coflex/CoFix Agreement”). The total purchase price of the Coflex/CoFix Divestiture was $</w:t>
      </w:r>
      <w:bookmarkStart w:id="285" w:name="xdx_906_eus-gaap--ProceedsFromSaleOfProd"/>
      <w:bookmarkEnd w:id="285"/>
      <w:r>
        <w:rPr>
          <w:rFonts w:ascii="Times New Roman;Times;Serif" w:hAnsi="Times New Roman;Times;Serif"/>
          <w:b w:val="false"/>
          <w:i w:val="false"/>
          <w:caps w:val="false"/>
          <w:smallCaps w:val="false"/>
          <w:sz w:val="20"/>
        </w:rPr>
        <w:t>17.5 million (subject to a closing inventory valuation adjustment set forth in the Coflex/CoFix Agreement). Of the total purchase price, an aggregate of $</w:t>
      </w:r>
      <w:bookmarkStart w:id="286" w:name="xdx_909_eus-gaap--PaymentsToAcquireEquit"/>
      <w:bookmarkEnd w:id="286"/>
      <w:r>
        <w:rPr>
          <w:rFonts w:ascii="Times New Roman;Times;Serif" w:hAnsi="Times New Roman;Times;Serif"/>
          <w:b w:val="false"/>
          <w:i w:val="false"/>
          <w:caps w:val="false"/>
          <w:smallCaps w:val="false"/>
          <w:sz w:val="20"/>
        </w:rPr>
        <w:t>7.5 million was previously paid to us in cash as non-refundable deposits during third and fourth quarters of 2025, $</w:t>
      </w:r>
      <w:bookmarkStart w:id="287" w:name="xdx_903_eus-gaap--PaymentsForPurchaseOfO"/>
      <w:bookmarkEnd w:id="287"/>
      <w:r>
        <w:rPr>
          <w:rFonts w:ascii="Times New Roman;Times;Serif" w:hAnsi="Times New Roman;Times;Serif"/>
          <w:b w:val="false"/>
          <w:i w:val="false"/>
          <w:caps w:val="false"/>
          <w:smallCaps w:val="false"/>
          <w:sz w:val="20"/>
        </w:rPr>
        <w:t>1.8 million was paid to us in cash at the closing, and $</w:t>
      </w:r>
      <w:bookmarkStart w:id="288" w:name="xdx_90E_ecustom--UnsecuredPromissoryNote"/>
      <w:bookmarkEnd w:id="288"/>
      <w:r>
        <w:rPr>
          <w:rFonts w:ascii="Times New Roman;Times;Serif" w:hAnsi="Times New Roman;Times;Serif"/>
          <w:b w:val="false"/>
          <w:i w:val="false"/>
          <w:caps w:val="false"/>
          <w:smallCaps w:val="false"/>
          <w:sz w:val="20"/>
        </w:rPr>
        <w:t>8.2 million was paid to us as an unsecured promissory note issued by Companion Spine to us at the closing (the “Companion Spine Note”). Pursuant to subsequent amendments to the Coflex/CoFix Agreement, the maturity date of the Companion Spine Note was extended to January 31, 2026. The outstanding principal balance of the Companion Spine Note, together with the related accrued interest, totaling $</w:t>
      </w:r>
      <w:bookmarkStart w:id="289" w:name="xdx_905_eus-gaap--RepaymentsOfUnsecuredD"/>
      <w:bookmarkEnd w:id="289"/>
      <w:r>
        <w:rPr>
          <w:rFonts w:ascii="Times New Roman;Times;Serif" w:hAnsi="Times New Roman;Times;Serif"/>
          <w:b w:val="false"/>
          <w:i w:val="false"/>
          <w:caps w:val="false"/>
          <w:smallCaps w:val="false"/>
          <w:sz w:val="20"/>
        </w:rPr>
        <w:t>8.5 million, was paid to us on February 27,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on December 1, 2025, we completed the sale of all of our shares of equity securities of Paradigm Spine GmbH, one of our then wholly owned subsidiaries engaged in the operation of our hardware business outside of the United States (“Paradigm”), which constituted </w:t>
      </w:r>
      <w:bookmarkStart w:id="290" w:name="xdx_900_ecustom--IssuedAndOutstandingSha"/>
      <w:bookmarkEnd w:id="290"/>
      <w:r>
        <w:rPr>
          <w:rFonts w:ascii="Times New Roman;Times;Serif" w:hAnsi="Times New Roman;Times;Serif"/>
          <w:b w:val="false"/>
          <w:i w:val="false"/>
          <w:caps w:val="false"/>
          <w:smallCaps w:val="false"/>
          <w:sz w:val="20"/>
        </w:rPr>
        <w:t>100% of the issued and outstanding shares of equity securities of Paradigm (the “Paradigm Divestiture” and together with the Coflex/CoFix Divestiture, the “Divestitures”), to Companion Spine pursuant to an Equity Purchase Agreement dated July 7, 2025 between us, Paradigm and Companion Spine (the “Paradigm Agreement” and together with the Coflex/CoFix Agreement, the “Divestiture Agreements”). The total purchase price of the Paradigm Divestiture was $</w:t>
      </w:r>
      <w:bookmarkStart w:id="291" w:name="xdx_90F_eus-gaap--BusinessCombinationCon"/>
      <w:bookmarkEnd w:id="291"/>
      <w:r>
        <w:rPr>
          <w:rFonts w:ascii="Times New Roman;Times;Serif" w:hAnsi="Times New Roman;Times;Serif"/>
          <w:b w:val="false"/>
          <w:i w:val="false"/>
          <w:caps w:val="false"/>
          <w:smallCaps w:val="false"/>
          <w:sz w:val="20"/>
        </w:rPr>
        <w:t>3.9 million, $</w:t>
      </w:r>
      <w:bookmarkStart w:id="292" w:name="xdx_903_eus-gaap--PaymentsToAcquireEquit"/>
      <w:bookmarkEnd w:id="292"/>
      <w:r>
        <w:rPr>
          <w:rFonts w:ascii="Times New Roman;Times;Serif" w:hAnsi="Times New Roman;Times;Serif"/>
          <w:b w:val="false"/>
          <w:i w:val="false"/>
          <w:caps w:val="false"/>
          <w:smallCaps w:val="false"/>
          <w:sz w:val="20"/>
        </w:rPr>
        <w:t>1.7 million of which was paid to us in cash at the closing of the Paradigm Divestiture and $</w:t>
      </w:r>
      <w:bookmarkStart w:id="293" w:name="xdx_90B_eus-gaap--PaymentsToAcquireEquit"/>
      <w:bookmarkEnd w:id="293"/>
      <w:r>
        <w:rPr>
          <w:rFonts w:ascii="Times New Roman;Times;Serif" w:hAnsi="Times New Roman;Times;Serif"/>
          <w:b w:val="false"/>
          <w:i w:val="false"/>
          <w:caps w:val="false"/>
          <w:smallCaps w:val="false"/>
          <w:sz w:val="20"/>
        </w:rPr>
        <w:t>2.2 million of which was paid to us on February 27, 2026 in settlement of the net working capital and other purchase price adjustments.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purchase price associated with the two Divestitures was $</w:t>
      </w:r>
      <w:bookmarkStart w:id="294" w:name="xdx_90D_eus-gaap--BusinessCombinationCon"/>
      <w:bookmarkEnd w:id="294"/>
      <w:r>
        <w:rPr>
          <w:rFonts w:ascii="Times New Roman;Times;Serif" w:hAnsi="Times New Roman;Times;Serif"/>
          <w:b w:val="false"/>
          <w:i w:val="false"/>
          <w:caps w:val="false"/>
          <w:smallCaps w:val="false"/>
          <w:sz w:val="20"/>
        </w:rPr>
        <w:t>21.4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determined that the Divestitures do not meet the criteria for classification as discontinued operations for accounting purposes. As a result, all historical operating results for the Coflex/CoFix assets and international hardware business are reflected within the consolidated statements of operations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5" w:name="xdx_808_eus-gaap--RevenueFromContractWit"/>
      <w:bookmarkEnd w:id="295"/>
      <w:r>
        <w:rPr>
          <w:rFonts w:ascii="Times New Roman;Times;Serif" w:hAnsi="Times New Roman;Times;Serif"/>
          <w:b/>
          <w:i w:val="false"/>
          <w:caps w:val="false"/>
          <w:smallCaps w:val="false"/>
          <w:sz w:val="20"/>
        </w:rPr>
        <w:t xml:space="preserve">(4) </w:t>
      </w:r>
      <w:bookmarkStart w:id="296" w:name="xdx_826_ztuDBbjdIDqe"/>
      <w:bookmarkEnd w:id="296"/>
      <w:r>
        <w:rPr>
          <w:rFonts w:ascii="Times New Roman;Times;Serif" w:hAnsi="Times New Roman;Time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Company generates a substantial portion of its revenue from independent commissioned sales agents. The Company consigns its orthobiologics products to hospitals and consigns or loans its spinal implant sets to independent sales agents. The spinal implant sets typically contain the instruments, disposables, and spinal implants required to complete a surgery. Consigned sets are managed by the sales agent to service hospitals that are high volume users for multiple procedures.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ships replacement inventory to independent sales agents to replace the consigned inventory used in surgeries. Loaned sets are returned to the Company’s distribution center, replenished, and made available to sales agents for the next surgical procedure.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each surgical procedure, the sales agent reports use of the product by the hospital and, as soon as practicable thereafter, ensures that the hospital provides a purchase order to the Company. Revenue is recognized upon utilization of product.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Company sells product directly to domestic and international stocking resellers, original equipment manufacturer resellers and private label resellers. Upon receipt and acceptance of a purchase order from a stocking reseller, the Company ships product and invoices the reseller. The Company recognizes revenue when the control is transferred upon shipment or upon delivery, based on the contract terms and legal requirements, and the transfer of title and risk of loss occurs. There is generally no customer acceptance or other condition that prevents the Company from recognizing revenue in accordance with the delivery terms for these sales transactions. In the normal course of business, the Company accepts returns of product that have not been implanted. Product returns are not material to the Company’s consolidated statements of operations. The Company accounts for shipping and handling activities as a fulfillment cost rather than a separate performance obligation. The Company’s policy is to record revenue net of any applicable sales, use, or excise taxes. Payment terms are generally net 30 days from invoice date and some customers are offered discounts for early payment. The consideration for goods or services reflects any fixed amount stated per the contract and estimates for any variable consideration, such as returns, discounts or rebates, to the extent that it is probable that a significant reversal of cumulative revenue recognized will not occur when the uncertainty associated with the variable consideration is resolved. For certain sales transactions, we incur group purchasing organization fees that are based on a contractual percentage of applicable sales and are treated as consideration payable to a customer and recorded as a reduction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in certain circumstances before product delivery occurs (commonly referred to as bill-and-hold transactions). When the Company enters into bill-and-hold arrangements, the Company determines if the customer obtains control of the product by determining (a) the reason for the bill-and-hold arrangement; (b) whether the product was identified separately as belonging to the customer; (c) whether the product was ready for physical transfer to the customer; and (d) whether the Company was unable to utilize the product or direct it to another customer. For bill-and-hold arrangements, the associated product inventory is identified separately by the Company as belonging to the customer and is ready for physical transfer. At June 30, 2026, $</w:t>
      </w:r>
      <w:bookmarkStart w:id="297" w:name="xdx_90A_eus-gaap--Revenues_pn5n6_c202601"/>
      <w:bookmarkEnd w:id="297"/>
      <w:r>
        <w:rPr>
          <w:rFonts w:ascii="Times New Roman;Times;Serif" w:hAnsi="Times New Roman;Times;Serif"/>
          <w:b w:val="false"/>
          <w:i w:val="false"/>
          <w:caps w:val="false"/>
          <w:smallCaps w:val="false"/>
          <w:sz w:val="20"/>
        </w:rPr>
        <w:t>0.2 million was included in revenue for products that had not shipped. Occasionally the Company will receive consideration in advance of transferring products to its customers and records a contract liability. Contract liabilities are recognized as revenue in proportion to when control of the goods is transferred to the customer.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distributes HEMOBLAST® Bellows product in the United States under the Distribution Agreement as discussed above in Note 2. Under the terms of the agreement, Dilon fulfilled certain customer orders during a transitionary period during which customer contracts were transitioned to the Company. We evaluated whether our performance obligation is a promise to transfer product to a customer as the principal, or to arrange for a product to be provided by another party using a control model as the agent. This evaluation determined that we are not in control of establishing the transaction price, managing all aspects of the shipment process and taking the risk of loss for delivery, collection and returns. Based on our evaluation of the control model, we determined that our responsibility under the Distribution Agreement during the transition period was an agent and not the principal. Correspondingly, during both the three and six months ended June 30, 2026, revenues recognized by the Company included $</w:t>
      </w:r>
      <w:bookmarkStart w:id="298" w:name="xdx_901_eus-gaap--Revenues_pn5n6_c202601"/>
      <w:bookmarkStart w:id="299" w:name="xdx_904_eus-gaap--Revenues_pn5n6_c202604"/>
      <w:bookmarkEnd w:id="298"/>
      <w:bookmarkEnd w:id="299"/>
      <w:r>
        <w:rPr>
          <w:rFonts w:ascii="Times New Roman;Times;Serif" w:hAnsi="Times New Roman;Times;Serif"/>
          <w:b w:val="false"/>
          <w:i w:val="false"/>
          <w:caps w:val="false"/>
          <w:smallCaps w:val="false"/>
          <w:sz w:val="20"/>
        </w:rPr>
        <w:t>1.3 million recognized from purchase orders fulfilled by Dilon on behalf of the Company, recognized net of Dilon’s fulfillment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License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revenue is recognized when control of the intellectual property (“IP”) rights is transferred to a customer in an amount that reflects the consideration the Company expects to be entitled to in exchange for the licensing of the Company’s IP. Revenue for IP rights is accounted for based on the nature of the promise to grant the license. In determining whether the Company’s promise is to provide a right to access its IP or a right to use its IP, the Company considers the nature of the IP to which the customer will have rights. IP is either functional IP which has significant standalone functionality or symbolic IP which does not have significant standalone functionality. Revenue from functional IP is recognized at the point in time when control of the distinct license is transferred to the customer. Revenue from symbolic IP is recognized over the access period to the Company’s IP.</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from sales-based royalties promised in exchange for a license of IP is recognized at the later of when the underlying sale occurs, or the performance obligation to which some or all of the sales based royalty has been allocated is satisfied.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license agreement which grants an exclusive, nontransferable, non-sublicensable, royalty bearing right to manufacture and commercialize one of our products in the United States. The Company concluded that this agreement represented one performance obligation of transferring the IP rights to manufacture and commercialize the product. This was determined to be functional IP. The transaction price included quarterly royalty payments based on the volume of product sold subject to guaranteed quarterly minimums. Due to policy changes by the Centers for Medicare &amp; Medicaid Services that went into effect on January 1, 2026, no revenue was recognized in connection with the license agreement during the three and six months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Disaggregation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in one reportable segment with its net revenue derived primarily from the sale of orthobiologics and spinal implant products across North America, Europe, Asia Pacific, and Latin America. Sales are reported net of returns, discounts and rebates.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00" w:name="xdx_89A_eus-gaap--DisaggregationOfRevenu"/>
      <w:bookmarkEnd w:id="300"/>
      <w:r>
        <w:rPr>
          <w:rFonts w:ascii="Times New Roman;Times;Serif" w:hAnsi="Times New Roman;Times;Serif"/>
          <w:b w:val="false"/>
          <w:i w:val="false"/>
          <w:caps w:val="false"/>
          <w:smallCaps w:val="false"/>
          <w:sz w:val="20"/>
        </w:rPr>
        <w:t>The following table presents revenues from these product lines for the three and six months ended June 30, 2026 and 2025 (in thousands):</w:t>
      </w:r>
    </w:p>
    <w:p>
      <w:pPr>
        <w:pStyle w:val="TextBody"/>
        <w:bidi w:val="0"/>
        <w:spacing w:before="0" w:after="0"/>
        <w:ind w:left="0" w:right="0" w:firstLine="720"/>
        <w:jc w:val="both"/>
        <w:rPr>
          <w:caps w:val="false"/>
          <w:smallCaps w:val="false"/>
        </w:rPr>
      </w:pPr>
      <w:r>
        <w:rPr>
          <w:caps w:val="false"/>
          <w:smallCaps w:val="false"/>
        </w:rPr>
        <w:t> </w:t>
      </w:r>
      <w:bookmarkStart w:id="301" w:name="xdx_8BF_znzAXmWjwco7"/>
      <w:bookmarkEnd w:id="301"/>
      <w:r>
        <w:rPr>
          <w:rFonts w:ascii="Times New Roman;Times;Serif" w:hAnsi="Times New Roman;Times;Serif"/>
          <w:b w:val="false"/>
          <w:i w:val="false"/>
          <w:caps w:val="false"/>
          <w:smallCaps w:val="false"/>
          <w:sz w:val="20"/>
        </w:rPr>
        <w:t>Summary of Revenues from Product Lines </w:t>
      </w:r>
    </w:p>
    <w:tbl>
      <w:tblPr>
        <w:tblW w:w="7092" w:type="dxa"/>
        <w:jc w:val="left"/>
        <w:tblInd w:w="0" w:type="dxa"/>
        <w:tblLayout w:type="fixed"/>
        <w:tblCellMar>
          <w:top w:w="0" w:type="dxa"/>
          <w:left w:w="0" w:type="dxa"/>
          <w:bottom w:w="0" w:type="dxa"/>
          <w:right w:w="0" w:type="dxa"/>
        </w:tblCellMar>
      </w:tblPr>
      <w:tblGrid>
        <w:gridCol w:w="1580"/>
        <w:gridCol w:w="60"/>
        <w:gridCol w:w="144"/>
        <w:gridCol w:w="700"/>
        <w:gridCol w:w="61"/>
        <w:gridCol w:w="61"/>
        <w:gridCol w:w="204"/>
        <w:gridCol w:w="1300"/>
        <w:gridCol w:w="221"/>
        <w:gridCol w:w="61"/>
        <w:gridCol w:w="144"/>
        <w:gridCol w:w="700"/>
        <w:gridCol w:w="61"/>
        <w:gridCol w:w="61"/>
        <w:gridCol w:w="204"/>
        <w:gridCol w:w="1300"/>
        <w:gridCol w:w="230"/>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22"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23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Percentage of</w:t>
            </w:r>
          </w:p>
        </w:tc>
        <w:tc>
          <w:tcPr>
            <w:tcW w:w="22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Percentage of</w:t>
            </w:r>
          </w:p>
        </w:tc>
        <w:tc>
          <w:tcPr>
            <w:tcW w:w="23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Revenue</w:t>
            </w:r>
          </w:p>
        </w:tc>
        <w:tc>
          <w:tcPr>
            <w:tcW w:w="22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Revenue</w:t>
            </w:r>
          </w:p>
        </w:tc>
        <w:tc>
          <w:tcPr>
            <w:tcW w:w="23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Orthobiologics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bookmarkStart w:id="302" w:name="xdx_98D_eus-gaap--RevenueFromContractWit"/>
            <w:bookmarkEnd w:id="302"/>
          </w:p>
        </w:tc>
        <w:tc>
          <w:tcPr>
            <w:tcW w:w="700" w:type="dxa"/>
            <w:tcBorders/>
            <w:shd w:fill="CCEEFF" w:val="clear"/>
            <w:vAlign w:val="center"/>
          </w:tcPr>
          <w:p>
            <w:pPr>
              <w:pStyle w:val="TableContents"/>
              <w:bidi w:val="0"/>
              <w:spacing w:before="0" w:after="283"/>
              <w:jc w:val="right"/>
              <w:rPr/>
            </w:pPr>
            <w:r>
              <w:rPr/>
              <w:t>17,360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bookmarkStart w:id="303" w:name="xdx_90E_ecustom--PercentageOfNetRevenue_"/>
            <w:bookmarkEnd w:id="303"/>
            <w:r>
              <w:rPr/>
              <w:t>75</w:t>
            </w:r>
          </w:p>
        </w:tc>
        <w:tc>
          <w:tcPr>
            <w:tcW w:w="221"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w:t>
            </w:r>
            <w:bookmarkStart w:id="304" w:name="xdx_98E_eus-gaap--RevenueFromContractWit"/>
            <w:bookmarkEnd w:id="304"/>
          </w:p>
        </w:tc>
        <w:tc>
          <w:tcPr>
            <w:tcW w:w="700" w:type="dxa"/>
            <w:tcBorders/>
            <w:shd w:fill="CCEEFF" w:val="clear"/>
            <w:vAlign w:val="center"/>
          </w:tcPr>
          <w:p>
            <w:pPr>
              <w:pStyle w:val="TableContents"/>
              <w:bidi w:val="0"/>
              <w:spacing w:before="0" w:after="283"/>
              <w:jc w:val="right"/>
              <w:rPr/>
            </w:pPr>
            <w:r>
              <w:rPr/>
              <w:t>19,370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bookmarkStart w:id="305" w:name="xdx_903_ecustom--PercentageOfNetRevenue_"/>
            <w:bookmarkEnd w:id="305"/>
            <w:r>
              <w:rPr/>
              <w:t>55</w:t>
            </w:r>
          </w:p>
        </w:tc>
        <w:tc>
          <w:tcPr>
            <w:tcW w:w="230" w:type="dxa"/>
            <w:tcBorders/>
            <w:shd w:fill="CCEEFF" w:val="clear"/>
            <w:vAlign w:val="center"/>
          </w:tcPr>
          <w:p>
            <w:pPr>
              <w:pStyle w:val="TableContents"/>
              <w:bidi w:val="0"/>
              <w:spacing w:before="0" w:after="283"/>
              <w:jc w:val="left"/>
              <w:rPr/>
            </w:pPr>
            <w:r>
              <w:rPr/>
              <w:t>%</w:t>
            </w:r>
          </w:p>
        </w:tc>
      </w:tr>
      <w:tr>
        <w:trPr/>
        <w:tc>
          <w:tcPr>
            <w:tcW w:w="1580" w:type="dxa"/>
            <w:tcBorders/>
            <w:shd w:fill="FFFFFF" w:val="clear"/>
            <w:vAlign w:val="center"/>
          </w:tcPr>
          <w:p>
            <w:pPr>
              <w:pStyle w:val="TableContents"/>
              <w:bidi w:val="0"/>
              <w:spacing w:before="0" w:after="283"/>
              <w:jc w:val="left"/>
              <w:rPr/>
            </w:pPr>
            <w:r>
              <w:rPr/>
              <w:t>Spinal implant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bookmarkStart w:id="306" w:name="xdx_988_eus-gaap--RevenueFromContractWit"/>
            <w:bookmarkEnd w:id="306"/>
          </w:p>
        </w:tc>
        <w:tc>
          <w:tcPr>
            <w:tcW w:w="700" w:type="dxa"/>
            <w:tcBorders/>
            <w:shd w:fill="FFFFFF" w:val="clear"/>
            <w:vAlign w:val="center"/>
          </w:tcPr>
          <w:p>
            <w:pPr>
              <w:pStyle w:val="TableContents"/>
              <w:bidi w:val="0"/>
              <w:spacing w:before="0" w:after="283"/>
              <w:jc w:val="right"/>
              <w:rPr/>
            </w:pPr>
            <w:r>
              <w:rPr/>
              <w:t>5,671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bookmarkStart w:id="307" w:name="xdx_90D_ecustom--PercentageOfNetRevenue_"/>
            <w:bookmarkEnd w:id="307"/>
            <w:r>
              <w:rPr/>
              <w:t>25</w:t>
            </w:r>
          </w:p>
        </w:tc>
        <w:tc>
          <w:tcPr>
            <w:tcW w:w="221"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bookmarkStart w:id="308" w:name="xdx_98D_eus-gaap--RevenueFromContractWit"/>
            <w:bookmarkEnd w:id="308"/>
          </w:p>
        </w:tc>
        <w:tc>
          <w:tcPr>
            <w:tcW w:w="700" w:type="dxa"/>
            <w:tcBorders/>
            <w:shd w:fill="FFFFFF" w:val="clear"/>
            <w:vAlign w:val="center"/>
          </w:tcPr>
          <w:p>
            <w:pPr>
              <w:pStyle w:val="TableContents"/>
              <w:bidi w:val="0"/>
              <w:spacing w:before="0" w:after="283"/>
              <w:jc w:val="right"/>
              <w:rPr/>
            </w:pPr>
            <w:r>
              <w:rPr/>
              <w:t>11,066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300" w:type="dxa"/>
            <w:tcBorders/>
            <w:shd w:fill="FFFFFF" w:val="clear"/>
            <w:vAlign w:val="center"/>
          </w:tcPr>
          <w:p>
            <w:pPr>
              <w:pStyle w:val="TableContents"/>
              <w:bidi w:val="0"/>
              <w:spacing w:before="0" w:after="283"/>
              <w:jc w:val="right"/>
              <w:rPr/>
            </w:pPr>
            <w:bookmarkStart w:id="309" w:name="xdx_902_ecustom--PercentageOfNetRevenue_"/>
            <w:bookmarkEnd w:id="309"/>
            <w:r>
              <w:rPr/>
              <w:t>31</w:t>
            </w:r>
          </w:p>
        </w:tc>
        <w:tc>
          <w:tcPr>
            <w:tcW w:w="230" w:type="dxa"/>
            <w:tcBorders/>
            <w:shd w:fill="FFFFFF" w:val="clear"/>
            <w:vAlign w:val="center"/>
          </w:tcPr>
          <w:p>
            <w:pPr>
              <w:pStyle w:val="TableContents"/>
              <w:bidi w:val="0"/>
              <w:spacing w:before="0" w:after="283"/>
              <w:jc w:val="left"/>
              <w:rPr/>
            </w:pPr>
            <w:r>
              <w:rPr/>
              <w:t>%</w:t>
            </w:r>
          </w:p>
        </w:tc>
      </w:tr>
      <w:tr>
        <w:trPr/>
        <w:tc>
          <w:tcPr>
            <w:tcW w:w="1580" w:type="dxa"/>
            <w:tcBorders/>
            <w:shd w:fill="CCEEFF" w:val="clear"/>
            <w:vAlign w:val="center"/>
          </w:tcPr>
          <w:p>
            <w:pPr>
              <w:pStyle w:val="TableContents"/>
              <w:bidi w:val="0"/>
              <w:spacing w:before="0" w:after="283"/>
              <w:jc w:val="left"/>
              <w:rPr/>
            </w:pPr>
            <w:r>
              <w:rPr/>
              <w:t>License revenue</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0" w:name="xdx_983_eus-gaap--RevenueFromContractWit"/>
            <w:bookmarkEnd w:id="310"/>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11" w:name="xdx_90C_ecustom--PercentageOfNetRevenue_"/>
            <w:bookmarkEnd w:id="311"/>
            <w:r>
              <w:rPr/>
              <w:t>—</w:t>
            </w:r>
          </w:p>
        </w:tc>
        <w:tc>
          <w:tcPr>
            <w:tcW w:w="22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2" w:name="xdx_98D_eus-gaap--RevenueFromContractWit"/>
            <w:bookmarkEnd w:id="312"/>
          </w:p>
        </w:tc>
        <w:tc>
          <w:tcPr>
            <w:tcW w:w="700" w:type="dxa"/>
            <w:tcBorders>
              <w:bottom w:val="single" w:sz="8" w:space="0" w:color="000000"/>
            </w:tcBorders>
            <w:shd w:fill="CCEEFF" w:val="clear"/>
            <w:tcMar>
              <w:bottom w:w="28" w:type="dxa"/>
            </w:tcMar>
            <w:vAlign w:val="center"/>
          </w:tcPr>
          <w:p>
            <w:pPr>
              <w:pStyle w:val="TableContents"/>
              <w:bidi w:val="0"/>
              <w:spacing w:before="0" w:after="283"/>
              <w:jc w:val="right"/>
              <w:rPr/>
            </w:pPr>
            <w:r>
              <w:rPr/>
              <w:t>4,975</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13" w:name="xdx_909_ecustom--PercentageOfNetRevenue_"/>
            <w:bookmarkEnd w:id="313"/>
            <w:r>
              <w:rPr/>
              <w:t>14</w:t>
            </w:r>
          </w:p>
        </w:tc>
        <w:tc>
          <w:tcPr>
            <w:tcW w:w="230" w:type="dxa"/>
            <w:tcBorders/>
            <w:shd w:fill="CCEEFF" w:val="clear"/>
            <w:vAlign w:val="center"/>
          </w:tcPr>
          <w:p>
            <w:pPr>
              <w:pStyle w:val="TableContents"/>
              <w:bidi w:val="0"/>
              <w:spacing w:before="0" w:after="283"/>
              <w:jc w:val="left"/>
              <w:rPr/>
            </w:pPr>
            <w:r>
              <w:rPr/>
              <w:t>%</w:t>
            </w:r>
          </w:p>
        </w:tc>
      </w:tr>
      <w:tr>
        <w:trPr/>
        <w:tc>
          <w:tcPr>
            <w:tcW w:w="158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14" w:name="xdx_982_eus-gaap--RevenueFromContractWit"/>
            <w:bookmarkEnd w:id="314"/>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23,031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15" w:name="xdx_983_ecustom--PercentageOfNetRevenue_"/>
            <w:bookmarkEnd w:id="315"/>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21"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16" w:name="xdx_988_eus-gaap--RevenueFromContractWit"/>
            <w:bookmarkEnd w:id="316"/>
          </w:p>
        </w:tc>
        <w:tc>
          <w:tcPr>
            <w:tcW w:w="700" w:type="dxa"/>
            <w:tcBorders>
              <w:bottom w:val="double" w:sz="6" w:space="0" w:color="000000"/>
            </w:tcBorders>
            <w:shd w:fill="FFFFFF" w:val="clear"/>
            <w:tcMar>
              <w:bottom w:w="28" w:type="dxa"/>
            </w:tcMar>
            <w:vAlign w:val="center"/>
          </w:tcPr>
          <w:p>
            <w:pPr>
              <w:pStyle w:val="TableContents"/>
              <w:bidi w:val="0"/>
              <w:spacing w:before="0" w:after="283"/>
              <w:jc w:val="right"/>
              <w:rPr/>
            </w:pPr>
            <w:r>
              <w:rPr/>
              <w:t>35,411</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17" w:name="xdx_980_ecustom--PercentageOfNetRevenue_"/>
            <w:bookmarkEnd w:id="317"/>
          </w:p>
        </w:tc>
        <w:tc>
          <w:tcPr>
            <w:tcW w:w="1300"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9913" w:type="dxa"/>
        <w:jc w:val="left"/>
        <w:tblInd w:w="0" w:type="dxa"/>
        <w:tblLayout w:type="fixed"/>
        <w:tblCellMar>
          <w:top w:w="0" w:type="dxa"/>
          <w:left w:w="0" w:type="dxa"/>
          <w:bottom w:w="0" w:type="dxa"/>
          <w:right w:w="0" w:type="dxa"/>
        </w:tblCellMar>
      </w:tblPr>
      <w:tblGrid>
        <w:gridCol w:w="1580"/>
        <w:gridCol w:w="60"/>
        <w:gridCol w:w="140"/>
        <w:gridCol w:w="680"/>
        <w:gridCol w:w="60"/>
        <w:gridCol w:w="60"/>
        <w:gridCol w:w="401"/>
        <w:gridCol w:w="2543"/>
        <w:gridCol w:w="215"/>
        <w:gridCol w:w="60"/>
        <w:gridCol w:w="140"/>
        <w:gridCol w:w="680"/>
        <w:gridCol w:w="60"/>
        <w:gridCol w:w="60"/>
        <w:gridCol w:w="401"/>
        <w:gridCol w:w="2543"/>
        <w:gridCol w:w="230"/>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43"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23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Total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 of Total Revenue</w:t>
            </w:r>
          </w:p>
        </w:tc>
        <w:tc>
          <w:tcPr>
            <w:tcW w:w="23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Orthobiologics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18" w:name="xdx_98F_eus-gaap--RevenueFromContractWit"/>
            <w:bookmarkEnd w:id="318"/>
          </w:p>
        </w:tc>
        <w:tc>
          <w:tcPr>
            <w:tcW w:w="680" w:type="dxa"/>
            <w:tcBorders/>
            <w:shd w:fill="CCEEFF" w:val="clear"/>
            <w:vAlign w:val="center"/>
          </w:tcPr>
          <w:p>
            <w:pPr>
              <w:pStyle w:val="TableContents"/>
              <w:bidi w:val="0"/>
              <w:spacing w:before="0" w:after="283"/>
              <w:jc w:val="right"/>
              <w:rPr/>
            </w:pPr>
            <w:r>
              <w:rPr/>
              <w:t>32,969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2543" w:type="dxa"/>
            <w:tcBorders/>
            <w:shd w:fill="CCEEFF" w:val="clear"/>
            <w:vAlign w:val="center"/>
          </w:tcPr>
          <w:p>
            <w:pPr>
              <w:pStyle w:val="TableContents"/>
              <w:bidi w:val="0"/>
              <w:spacing w:before="0" w:after="283"/>
              <w:jc w:val="right"/>
              <w:rPr/>
            </w:pPr>
            <w:bookmarkStart w:id="319" w:name="xdx_904_ecustom--PercentageOfNetRevenue_"/>
            <w:bookmarkEnd w:id="319"/>
            <w:r>
              <w:rPr/>
              <w:t>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20" w:name="xdx_981_eus-gaap--RevenueFromContractWit"/>
            <w:bookmarkEnd w:id="320"/>
          </w:p>
        </w:tc>
        <w:tc>
          <w:tcPr>
            <w:tcW w:w="680" w:type="dxa"/>
            <w:tcBorders/>
            <w:shd w:fill="CCEEFF" w:val="clear"/>
            <w:vAlign w:val="center"/>
          </w:tcPr>
          <w:p>
            <w:pPr>
              <w:pStyle w:val="TableContents"/>
              <w:bidi w:val="0"/>
              <w:spacing w:before="0" w:after="283"/>
              <w:jc w:val="right"/>
              <w:rPr/>
            </w:pPr>
            <w:r>
              <w:rPr/>
              <w:t>37,444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shd w:fill="CCEEFF" w:val="clear"/>
            <w:vAlign w:val="center"/>
          </w:tcPr>
          <w:p>
            <w:pPr>
              <w:pStyle w:val="TableContents"/>
              <w:bidi w:val="0"/>
              <w:spacing w:before="0" w:after="283"/>
              <w:jc w:val="left"/>
              <w:rPr/>
            </w:pPr>
            <w:r>
              <w:rPr/>
              <w:t> </w:t>
            </w:r>
          </w:p>
        </w:tc>
        <w:tc>
          <w:tcPr>
            <w:tcW w:w="2543" w:type="dxa"/>
            <w:tcBorders/>
            <w:shd w:fill="CCEEFF" w:val="clear"/>
            <w:vAlign w:val="center"/>
          </w:tcPr>
          <w:p>
            <w:pPr>
              <w:pStyle w:val="TableContents"/>
              <w:bidi w:val="0"/>
              <w:spacing w:before="0" w:after="283"/>
              <w:jc w:val="right"/>
              <w:rPr/>
            </w:pPr>
            <w:bookmarkStart w:id="321" w:name="xdx_907_ecustom--PercentageOfNetRevenue_"/>
            <w:bookmarkEnd w:id="321"/>
            <w:r>
              <w:rPr/>
              <w:t>55</w:t>
            </w:r>
          </w:p>
        </w:tc>
        <w:tc>
          <w:tcPr>
            <w:tcW w:w="230" w:type="dxa"/>
            <w:tcBorders/>
            <w:shd w:fill="CCEEFF" w:val="clear"/>
            <w:vAlign w:val="center"/>
          </w:tcPr>
          <w:p>
            <w:pPr>
              <w:pStyle w:val="TableContents"/>
              <w:bidi w:val="0"/>
              <w:spacing w:before="0" w:after="283"/>
              <w:jc w:val="left"/>
              <w:rPr/>
            </w:pPr>
            <w:r>
              <w:rPr/>
              <w:t>%</w:t>
            </w:r>
          </w:p>
        </w:tc>
      </w:tr>
      <w:tr>
        <w:trPr/>
        <w:tc>
          <w:tcPr>
            <w:tcW w:w="1580" w:type="dxa"/>
            <w:tcBorders/>
            <w:shd w:fill="FFFFFF" w:val="clear"/>
            <w:vAlign w:val="center"/>
          </w:tcPr>
          <w:p>
            <w:pPr>
              <w:pStyle w:val="TableContents"/>
              <w:bidi w:val="0"/>
              <w:spacing w:before="0" w:after="283"/>
              <w:jc w:val="left"/>
              <w:rPr/>
            </w:pPr>
            <w:r>
              <w:rPr/>
              <w:t>Spinal implant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22" w:name="xdx_984_eus-gaap--RevenueFromContractWit"/>
            <w:bookmarkEnd w:id="322"/>
          </w:p>
        </w:tc>
        <w:tc>
          <w:tcPr>
            <w:tcW w:w="680" w:type="dxa"/>
            <w:tcBorders/>
            <w:shd w:fill="FFFFFF" w:val="clear"/>
            <w:vAlign w:val="center"/>
          </w:tcPr>
          <w:p>
            <w:pPr>
              <w:pStyle w:val="TableContents"/>
              <w:bidi w:val="0"/>
              <w:spacing w:before="0" w:after="283"/>
              <w:jc w:val="right"/>
              <w:rPr/>
            </w:pPr>
            <w:r>
              <w:rPr/>
              <w:t>10,946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2543" w:type="dxa"/>
            <w:tcBorders/>
            <w:shd w:fill="FFFFFF" w:val="clear"/>
            <w:vAlign w:val="center"/>
          </w:tcPr>
          <w:p>
            <w:pPr>
              <w:pStyle w:val="TableContents"/>
              <w:bidi w:val="0"/>
              <w:spacing w:before="0" w:after="283"/>
              <w:jc w:val="right"/>
              <w:rPr/>
            </w:pPr>
            <w:bookmarkStart w:id="323" w:name="xdx_90C_ecustom--PercentageOfNetRevenue_"/>
            <w:bookmarkEnd w:id="323"/>
            <w:r>
              <w:rPr/>
              <w:t>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24" w:name="xdx_986_eus-gaap--RevenueFromContractWit"/>
            <w:bookmarkEnd w:id="324"/>
          </w:p>
        </w:tc>
        <w:tc>
          <w:tcPr>
            <w:tcW w:w="680" w:type="dxa"/>
            <w:tcBorders/>
            <w:shd w:fill="FFFFFF" w:val="clear"/>
            <w:vAlign w:val="center"/>
          </w:tcPr>
          <w:p>
            <w:pPr>
              <w:pStyle w:val="TableContents"/>
              <w:bidi w:val="0"/>
              <w:spacing w:before="0" w:after="283"/>
              <w:jc w:val="right"/>
              <w:rPr/>
            </w:pPr>
            <w:r>
              <w:rPr/>
              <w:t>22,276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shd w:fill="FFFFFF" w:val="clear"/>
            <w:vAlign w:val="center"/>
          </w:tcPr>
          <w:p>
            <w:pPr>
              <w:pStyle w:val="TableContents"/>
              <w:bidi w:val="0"/>
              <w:spacing w:before="0" w:after="283"/>
              <w:jc w:val="left"/>
              <w:rPr/>
            </w:pPr>
            <w:r>
              <w:rPr/>
              <w:t> </w:t>
            </w:r>
          </w:p>
        </w:tc>
        <w:tc>
          <w:tcPr>
            <w:tcW w:w="2543" w:type="dxa"/>
            <w:tcBorders/>
            <w:shd w:fill="FFFFFF" w:val="clear"/>
            <w:vAlign w:val="center"/>
          </w:tcPr>
          <w:p>
            <w:pPr>
              <w:pStyle w:val="TableContents"/>
              <w:bidi w:val="0"/>
              <w:spacing w:before="0" w:after="283"/>
              <w:jc w:val="right"/>
              <w:rPr/>
            </w:pPr>
            <w:bookmarkStart w:id="325" w:name="xdx_90C_ecustom--PercentageOfNetRevenue_"/>
            <w:bookmarkEnd w:id="325"/>
            <w:r>
              <w:rPr/>
              <w:t>33</w:t>
            </w:r>
          </w:p>
        </w:tc>
        <w:tc>
          <w:tcPr>
            <w:tcW w:w="230" w:type="dxa"/>
            <w:tcBorders/>
            <w:shd w:fill="FFFFFF" w:val="clear"/>
            <w:vAlign w:val="center"/>
          </w:tcPr>
          <w:p>
            <w:pPr>
              <w:pStyle w:val="TableContents"/>
              <w:bidi w:val="0"/>
              <w:spacing w:before="0" w:after="283"/>
              <w:jc w:val="left"/>
              <w:rPr/>
            </w:pPr>
            <w:r>
              <w:rPr/>
              <w:t>%</w:t>
            </w:r>
          </w:p>
        </w:tc>
      </w:tr>
      <w:tr>
        <w:trPr/>
        <w:tc>
          <w:tcPr>
            <w:tcW w:w="1580" w:type="dxa"/>
            <w:tcBorders/>
            <w:shd w:fill="CCEEFF" w:val="clear"/>
            <w:vAlign w:val="center"/>
          </w:tcPr>
          <w:p>
            <w:pPr>
              <w:pStyle w:val="TableContents"/>
              <w:bidi w:val="0"/>
              <w:spacing w:before="0" w:after="283"/>
              <w:jc w:val="left"/>
              <w:rPr/>
            </w:pPr>
            <w:r>
              <w:rPr/>
              <w:t>License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6" w:name="xdx_98C_eus-gaap--RevenueFromContractWit"/>
            <w:bookmarkEnd w:id="326"/>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27" w:name="xdx_904_ecustom--PercentageOfNetRevenue_"/>
            <w:bookmarkEnd w:id="327"/>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28" w:name="xdx_98E_eus-gaap--RevenueFromContractWit"/>
            <w:bookmarkEnd w:id="328"/>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8,595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54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29" w:name="xdx_903_ecustom--PercentageOfNetRevenue_"/>
            <w:bookmarkEnd w:id="329"/>
            <w:r>
              <w:rPr/>
              <w:t>12</w:t>
            </w:r>
          </w:p>
        </w:tc>
        <w:tc>
          <w:tcPr>
            <w:tcW w:w="230" w:type="dxa"/>
            <w:tcBorders/>
            <w:shd w:fill="CCEEFF" w:val="clear"/>
            <w:vAlign w:val="center"/>
          </w:tcPr>
          <w:p>
            <w:pPr>
              <w:pStyle w:val="TableContents"/>
              <w:bidi w:val="0"/>
              <w:spacing w:before="0" w:after="283"/>
              <w:jc w:val="left"/>
              <w:rPr/>
            </w:pPr>
            <w:r>
              <w:rPr/>
              <w:t>%</w:t>
            </w:r>
          </w:p>
        </w:tc>
      </w:tr>
      <w:tr>
        <w:trPr/>
        <w:tc>
          <w:tcPr>
            <w:tcW w:w="1580" w:type="dxa"/>
            <w:tcBorders/>
            <w:shd w:fill="FFFFFF" w:val="clear"/>
            <w:vAlign w:val="center"/>
          </w:tcPr>
          <w:p>
            <w:pPr>
              <w:pStyle w:val="TableContents"/>
              <w:bidi w:val="0"/>
              <w:spacing w:before="0" w:after="283"/>
              <w:jc w:val="left"/>
              <w:rPr/>
            </w:pPr>
            <w:r>
              <w:rPr/>
              <w:t>Total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30" w:name="xdx_987_eus-gaap--RevenueFromContractWit"/>
            <w:bookmarkEnd w:id="330"/>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43,915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1" w:name="xdx_98C_ecustom--PercentageOfNetRevenue_"/>
            <w:bookmarkEnd w:id="331"/>
          </w:p>
        </w:tc>
        <w:tc>
          <w:tcPr>
            <w:tcW w:w="2543"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32" w:name="xdx_980_eus-gaap--RevenueFromContractWit"/>
            <w:bookmarkEnd w:id="332"/>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68,315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33" w:name="xdx_980_ecustom--PercentageOfNetRevenue_"/>
            <w:bookmarkEnd w:id="333"/>
          </w:p>
        </w:tc>
        <w:tc>
          <w:tcPr>
            <w:tcW w:w="2543" w:type="dxa"/>
            <w:tcBorders>
              <w:bottom w:val="double" w:sz="6" w:space="0" w:color="000000"/>
            </w:tcBorders>
            <w:shd w:fill="FFFFFF" w:val="clear"/>
            <w:tcMar>
              <w:bottom w:w="28" w:type="dxa"/>
            </w:tcMar>
            <w:vAlign w:val="center"/>
          </w:tcPr>
          <w:p>
            <w:pPr>
              <w:pStyle w:val="TableContents"/>
              <w:bidi w:val="0"/>
              <w:spacing w:before="0" w:after="283"/>
              <w:jc w:val="right"/>
              <w:rPr/>
            </w:pPr>
            <w:r>
              <w:rPr/>
              <w:t>100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34" w:name="xdx_8A0_z9Gn1F82Plqi"/>
      <w:bookmarkEnd w:id="334"/>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5" w:name="xdx_805_eus-gaap--AccountsAndNontradeRec"/>
      <w:bookmarkEnd w:id="335"/>
      <w:r>
        <w:rPr>
          <w:rFonts w:ascii="Times New Roman;Times;Serif" w:hAnsi="Times New Roman;Times;Serif"/>
          <w:b/>
          <w:i w:val="false"/>
          <w:caps w:val="false"/>
          <w:smallCaps w:val="false"/>
          <w:sz w:val="20"/>
        </w:rPr>
        <w:t xml:space="preserve">(5) </w:t>
      </w:r>
      <w:bookmarkStart w:id="336" w:name="xdx_82A_z2ZrcXsgsugk"/>
      <w:bookmarkEnd w:id="336"/>
      <w:r>
        <w:rPr>
          <w:rFonts w:ascii="Times New Roman;Times;Serif" w:hAnsi="Times New Roman;Times;Serif"/>
          <w:b/>
          <w:i w:val="false"/>
          <w:caps w:val="false"/>
          <w:smallCaps w:val="false"/>
          <w:sz w:val="20"/>
        </w:rPr>
        <w:t>Trade Accounts Receivable,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receivable is reduced by an estimated allowance for credit losses based on historical collection experience adjusted for current economic conditions affecting collectability and reasonable and supportable forecasts concerning the future. Actual customer collections could differ from estimates. Account balances are charged to the allowance after all means of collection have been exhausted and the potential for recovery is considered remote. Provisions to the allowance for credit losses are charged to expense. Activity within the allowance for credit losses consists of the following (in thousands):</w:t>
      </w:r>
    </w:p>
    <w:p>
      <w:pPr>
        <w:pStyle w:val="TextBody"/>
        <w:bidi w:val="0"/>
        <w:spacing w:before="0" w:after="0"/>
        <w:ind w:left="0" w:right="0" w:hanging="0"/>
        <w:jc w:val="both"/>
        <w:rPr>
          <w:caps w:val="false"/>
          <w:smallCaps w:val="false"/>
        </w:rPr>
      </w:pPr>
      <w:bookmarkStart w:id="337" w:name="xdx_899_eus-gaap--AccountsReceivableAllo"/>
      <w:bookmarkEnd w:id="337"/>
      <w:r>
        <w:rPr>
          <w:caps w:val="false"/>
          <w:smallCaps w:val="false"/>
        </w:rPr>
        <w:t> </w:t>
      </w:r>
      <w:bookmarkStart w:id="338" w:name="xdx_8BD_z8Yv0RXyUrEd"/>
      <w:bookmarkEnd w:id="338"/>
      <w:r>
        <w:rPr>
          <w:rFonts w:ascii="Times New Roman;Times;Serif" w:hAnsi="Times New Roman;Times;Serif"/>
          <w:b w:val="false"/>
          <w:i w:val="false"/>
          <w:caps w:val="false"/>
          <w:smallCaps w:val="false"/>
          <w:sz w:val="20"/>
        </w:rPr>
        <w:t>Schedule of Allowance for Credit Losses </w:t>
      </w:r>
    </w:p>
    <w:tbl>
      <w:tblPr>
        <w:tblW w:w="7753" w:type="dxa"/>
        <w:jc w:val="left"/>
        <w:tblInd w:w="0" w:type="dxa"/>
        <w:tblLayout w:type="fixed"/>
        <w:tblCellMar>
          <w:top w:w="0" w:type="dxa"/>
          <w:left w:w="0" w:type="dxa"/>
          <w:bottom w:w="0" w:type="dxa"/>
          <w:right w:w="0" w:type="dxa"/>
        </w:tblCellMar>
      </w:tblPr>
      <w:tblGrid>
        <w:gridCol w:w="4085"/>
        <w:gridCol w:w="60"/>
        <w:gridCol w:w="161"/>
        <w:gridCol w:w="644"/>
        <w:gridCol w:w="109"/>
        <w:gridCol w:w="69"/>
        <w:gridCol w:w="161"/>
        <w:gridCol w:w="644"/>
        <w:gridCol w:w="95"/>
        <w:gridCol w:w="60"/>
        <w:gridCol w:w="140"/>
        <w:gridCol w:w="560"/>
        <w:gridCol w:w="95"/>
        <w:gridCol w:w="60"/>
        <w:gridCol w:w="140"/>
        <w:gridCol w:w="560"/>
        <w:gridCol w:w="110"/>
      </w:tblGrid>
      <w:tr>
        <w:trPr/>
        <w:tc>
          <w:tcPr>
            <w:tcW w:w="4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40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9"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8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Balance at beginning of period</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bookmarkStart w:id="339" w:name="xdx_98D_eus-gaap--AllowanceForDoubtfulAc"/>
            <w:bookmarkEnd w:id="339"/>
          </w:p>
        </w:tc>
        <w:tc>
          <w:tcPr>
            <w:tcW w:w="644" w:type="dxa"/>
            <w:tcBorders/>
            <w:shd w:fill="CCEEFF" w:val="clear"/>
            <w:vAlign w:val="center"/>
          </w:tcPr>
          <w:p>
            <w:pPr>
              <w:pStyle w:val="TableContents"/>
              <w:bidi w:val="0"/>
              <w:spacing w:before="0" w:after="283"/>
              <w:jc w:val="right"/>
              <w:rPr/>
            </w:pPr>
            <w:r>
              <w:rPr/>
              <w:t>2,115</w:t>
            </w:r>
          </w:p>
        </w:tc>
        <w:tc>
          <w:tcPr>
            <w:tcW w:w="10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bookmarkStart w:id="340" w:name="xdx_987_eus-gaap--AllowanceForDoubtfulAc"/>
            <w:bookmarkEnd w:id="340"/>
          </w:p>
        </w:tc>
        <w:tc>
          <w:tcPr>
            <w:tcW w:w="644" w:type="dxa"/>
            <w:tcBorders/>
            <w:shd w:fill="CCEEFF" w:val="clear"/>
            <w:vAlign w:val="center"/>
          </w:tcPr>
          <w:p>
            <w:pPr>
              <w:pStyle w:val="TableContents"/>
              <w:bidi w:val="0"/>
              <w:spacing w:before="0" w:after="283"/>
              <w:jc w:val="right"/>
              <w:rPr/>
            </w:pPr>
            <w:r>
              <w:rPr/>
              <w:t>1,705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41" w:name="xdx_98D_eus-gaap--AllowanceForDoubtfulAc"/>
            <w:bookmarkEnd w:id="341"/>
          </w:p>
        </w:tc>
        <w:tc>
          <w:tcPr>
            <w:tcW w:w="560" w:type="dxa"/>
            <w:tcBorders/>
            <w:shd w:fill="CCEEFF" w:val="clear"/>
            <w:vAlign w:val="center"/>
          </w:tcPr>
          <w:p>
            <w:pPr>
              <w:pStyle w:val="TableContents"/>
              <w:bidi w:val="0"/>
              <w:spacing w:before="0" w:after="283"/>
              <w:jc w:val="right"/>
              <w:rPr/>
            </w:pPr>
            <w:r>
              <w:rPr/>
              <w:t>2,165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342" w:name="xdx_987_eus-gaap--AllowanceForDoubtfulAc"/>
            <w:bookmarkEnd w:id="342"/>
          </w:p>
        </w:tc>
        <w:tc>
          <w:tcPr>
            <w:tcW w:w="560" w:type="dxa"/>
            <w:tcBorders/>
            <w:shd w:fill="CCEEFF" w:val="clear"/>
            <w:vAlign w:val="center"/>
          </w:tcPr>
          <w:p>
            <w:pPr>
              <w:pStyle w:val="TableContents"/>
              <w:bidi w:val="0"/>
              <w:spacing w:before="0" w:after="283"/>
              <w:jc w:val="right"/>
              <w:rPr/>
            </w:pPr>
            <w:r>
              <w:rPr/>
              <w:t>1,437</w:t>
            </w:r>
          </w:p>
        </w:tc>
        <w:tc>
          <w:tcPr>
            <w:tcW w:w="110" w:type="dxa"/>
            <w:tcBorders/>
            <w:shd w:fill="CCEEFF" w:val="clear"/>
            <w:vAlign w:val="center"/>
          </w:tcPr>
          <w:p>
            <w:pPr>
              <w:pStyle w:val="TableContents"/>
              <w:bidi w:val="0"/>
              <w:spacing w:before="0" w:after="283"/>
              <w:jc w:val="left"/>
              <w:rPr/>
            </w:pPr>
            <w:r>
              <w:rPr/>
              <w:t> </w:t>
            </w:r>
          </w:p>
        </w:tc>
      </w:tr>
      <w:tr>
        <w:trPr/>
        <w:tc>
          <w:tcPr>
            <w:tcW w:w="4085" w:type="dxa"/>
            <w:tcBorders/>
            <w:shd w:fill="FFFFFF" w:val="clear"/>
            <w:vAlign w:val="center"/>
          </w:tcPr>
          <w:p>
            <w:pPr>
              <w:pStyle w:val="TableContents"/>
              <w:bidi w:val="0"/>
              <w:spacing w:before="0" w:after="283"/>
              <w:jc w:val="left"/>
              <w:rPr/>
            </w:pPr>
            <w:r>
              <w:rPr/>
              <w:t>Provision for current expected credit losses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bookmarkStart w:id="343" w:name="xdx_989_eus-gaap--ProvisionForDoubtfulAc"/>
            <w:bookmarkEnd w:id="343"/>
          </w:p>
        </w:tc>
        <w:tc>
          <w:tcPr>
            <w:tcW w:w="644" w:type="dxa"/>
            <w:tcBorders/>
            <w:shd w:fill="FFFFFF" w:val="clear"/>
            <w:vAlign w:val="center"/>
          </w:tcPr>
          <w:p>
            <w:pPr>
              <w:pStyle w:val="TableContents"/>
              <w:bidi w:val="0"/>
              <w:spacing w:before="0" w:after="283"/>
              <w:jc w:val="right"/>
              <w:rPr/>
            </w:pPr>
            <w:r>
              <w:rPr/>
              <w:t>283</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bookmarkStart w:id="344" w:name="xdx_98E_eus-gaap--ProvisionForDoubtfulAc"/>
            <w:bookmarkEnd w:id="344"/>
          </w:p>
        </w:tc>
        <w:tc>
          <w:tcPr>
            <w:tcW w:w="644" w:type="dxa"/>
            <w:tcBorders/>
            <w:shd w:fill="FFFFFF" w:val="clear"/>
            <w:vAlign w:val="center"/>
          </w:tcPr>
          <w:p>
            <w:pPr>
              <w:pStyle w:val="TableContents"/>
              <w:bidi w:val="0"/>
              <w:spacing w:before="0" w:after="283"/>
              <w:jc w:val="right"/>
              <w:rPr/>
            </w:pPr>
            <w:r>
              <w:rPr/>
              <w:t>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45" w:name="xdx_98E_eus-gaap--ProvisionForDoubtfulAc"/>
            <w:bookmarkEnd w:id="345"/>
          </w:p>
        </w:tc>
        <w:tc>
          <w:tcPr>
            <w:tcW w:w="560" w:type="dxa"/>
            <w:tcBorders/>
            <w:shd w:fill="FFFFFF" w:val="clear"/>
            <w:vAlign w:val="center"/>
          </w:tcPr>
          <w:p>
            <w:pPr>
              <w:pStyle w:val="TableContents"/>
              <w:bidi w:val="0"/>
              <w:spacing w:before="0" w:after="283"/>
              <w:jc w:val="right"/>
              <w:rPr/>
            </w:pPr>
            <w:r>
              <w:rPr/>
              <w:t>463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46" w:name="xdx_981_eus-gaap--ProvisionForDoubtfulAc"/>
            <w:bookmarkEnd w:id="346"/>
          </w:p>
        </w:tc>
        <w:tc>
          <w:tcPr>
            <w:tcW w:w="560" w:type="dxa"/>
            <w:tcBorders/>
            <w:shd w:fill="FFFFFF" w:val="clear"/>
            <w:vAlign w:val="center"/>
          </w:tcPr>
          <w:p>
            <w:pPr>
              <w:pStyle w:val="TableContents"/>
              <w:bidi w:val="0"/>
              <w:spacing w:before="0" w:after="283"/>
              <w:jc w:val="right"/>
              <w:rPr/>
            </w:pPr>
            <w:r>
              <w:rPr/>
              <w:t>390</w:t>
            </w:r>
          </w:p>
        </w:tc>
        <w:tc>
          <w:tcPr>
            <w:tcW w:w="110" w:type="dxa"/>
            <w:tcBorders/>
            <w:shd w:fill="FFFFFF" w:val="clear"/>
            <w:vAlign w:val="center"/>
          </w:tcPr>
          <w:p>
            <w:pPr>
              <w:pStyle w:val="TableContents"/>
              <w:bidi w:val="0"/>
              <w:spacing w:before="0" w:after="283"/>
              <w:jc w:val="left"/>
              <w:rPr/>
            </w:pPr>
            <w:r>
              <w:rPr/>
              <w:t> </w:t>
            </w:r>
          </w:p>
        </w:tc>
      </w:tr>
      <w:tr>
        <w:trPr/>
        <w:tc>
          <w:tcPr>
            <w:tcW w:w="4085" w:type="dxa"/>
            <w:tcBorders/>
            <w:shd w:fill="CCEEFF" w:val="clear"/>
            <w:vAlign w:val="center"/>
          </w:tcPr>
          <w:p>
            <w:pPr>
              <w:pStyle w:val="TableContents"/>
              <w:bidi w:val="0"/>
              <w:spacing w:before="0" w:after="283"/>
              <w:jc w:val="left"/>
              <w:rPr/>
            </w:pPr>
            <w:r>
              <w:rPr/>
              <w:t>Write-offs against allowance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47" w:name="xdx_981_eus-gaap--AllowanceForDoubtfulAc"/>
            <w:bookmarkEnd w:id="347"/>
          </w:p>
        </w:tc>
        <w:tc>
          <w:tcPr>
            <w:tcW w:w="644" w:type="dxa"/>
            <w:tcBorders>
              <w:bottom w:val="single" w:sz="8" w:space="0" w:color="000000"/>
            </w:tcBorders>
            <w:shd w:fill="CCEEFF" w:val="clear"/>
            <w:tcMar>
              <w:bottom w:w="28" w:type="dxa"/>
            </w:tcMar>
            <w:vAlign w:val="center"/>
          </w:tcPr>
          <w:p>
            <w:pPr>
              <w:pStyle w:val="TableContents"/>
              <w:bidi w:val="0"/>
              <w:spacing w:before="0" w:after="283"/>
              <w:jc w:val="right"/>
              <w:rPr/>
            </w:pPr>
            <w:r>
              <w:rPr/>
              <w:t>(164</w:t>
            </w:r>
          </w:p>
        </w:tc>
        <w:tc>
          <w:tcPr>
            <w:tcW w:w="109"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48" w:name="xdx_98B_eus-gaap--AllowanceForDoubtfulAc"/>
            <w:bookmarkEnd w:id="348"/>
          </w:p>
        </w:tc>
        <w:tc>
          <w:tcPr>
            <w:tcW w:w="644" w:type="dxa"/>
            <w:tcBorders>
              <w:bottom w:val="single" w:sz="8" w:space="0" w:color="000000"/>
            </w:tcBorders>
            <w:shd w:fill="CCEEFF" w:val="clear"/>
            <w:tcMar>
              <w:bottom w:w="28" w:type="dxa"/>
            </w:tcMar>
            <w:vAlign w:val="center"/>
          </w:tcPr>
          <w:p>
            <w:pPr>
              <w:pStyle w:val="TableContents"/>
              <w:bidi w:val="0"/>
              <w:spacing w:before="0" w:after="283"/>
              <w:jc w:val="right"/>
              <w:rPr/>
            </w:pPr>
            <w:r>
              <w:rPr/>
              <w:t>(57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49" w:name="xdx_981_eus-gaap--AllowanceForDoubtfulAc"/>
            <w:bookmarkEnd w:id="349"/>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bookmarkStart w:id="350" w:name="xdx_986_eus-gaap--AllowanceForDoubtfulAc"/>
            <w:bookmarkEnd w:id="350"/>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(32</w:t>
            </w:r>
          </w:p>
        </w:tc>
        <w:tc>
          <w:tcPr>
            <w:tcW w:w="110" w:type="dxa"/>
            <w:tcBorders/>
            <w:shd w:fill="CCEEFF" w:val="clear"/>
            <w:vAlign w:val="center"/>
          </w:tcPr>
          <w:p>
            <w:pPr>
              <w:pStyle w:val="TableContents"/>
              <w:bidi w:val="0"/>
              <w:spacing w:before="0" w:after="283"/>
              <w:jc w:val="left"/>
              <w:rPr/>
            </w:pPr>
            <w:r>
              <w:rPr/>
              <w:t>)</w:t>
            </w:r>
          </w:p>
        </w:tc>
      </w:tr>
      <w:tr>
        <w:trPr/>
        <w:tc>
          <w:tcPr>
            <w:tcW w:w="4085" w:type="dxa"/>
            <w:tcBorders/>
            <w:shd w:fill="FFFFFF" w:val="clear"/>
            <w:vAlign w:val="center"/>
          </w:tcPr>
          <w:p>
            <w:pPr>
              <w:pStyle w:val="TableContents"/>
              <w:bidi w:val="0"/>
              <w:spacing w:before="0" w:after="283"/>
              <w:jc w:val="left"/>
              <w:rPr/>
            </w:pPr>
            <w:r>
              <w:rPr/>
              <w:t>Balance at June 30</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bookmarkStart w:id="351" w:name="xdx_987_eus-gaap--AllowanceForDoubtfulAc"/>
            <w:bookmarkEnd w:id="351"/>
          </w:p>
        </w:tc>
        <w:tc>
          <w:tcPr>
            <w:tcW w:w="644" w:type="dxa"/>
            <w:tcBorders/>
            <w:shd w:fill="FFFFFF" w:val="clear"/>
            <w:vAlign w:val="center"/>
          </w:tcPr>
          <w:p>
            <w:pPr>
              <w:pStyle w:val="TableContents"/>
              <w:bidi w:val="0"/>
              <w:spacing w:before="0" w:after="283"/>
              <w:jc w:val="right"/>
              <w:rPr/>
            </w:pPr>
            <w:r>
              <w:rPr/>
              <w:t>2,234</w:t>
            </w:r>
          </w:p>
        </w:tc>
        <w:tc>
          <w:tcPr>
            <w:tcW w:w="10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bookmarkStart w:id="352" w:name="xdx_98A_eus-gaap--AllowanceForDoubtfulAc"/>
            <w:bookmarkEnd w:id="352"/>
          </w:p>
        </w:tc>
        <w:tc>
          <w:tcPr>
            <w:tcW w:w="644" w:type="dxa"/>
            <w:tcBorders/>
            <w:shd w:fill="FFFFFF" w:val="clear"/>
            <w:vAlign w:val="center"/>
          </w:tcPr>
          <w:p>
            <w:pPr>
              <w:pStyle w:val="TableContents"/>
              <w:bidi w:val="0"/>
              <w:spacing w:before="0" w:after="283"/>
              <w:jc w:val="right"/>
              <w:rPr/>
            </w:pPr>
            <w:r>
              <w:rPr/>
              <w:t>1,795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53" w:name="xdx_982_eus-gaap--AllowanceForDoubtfulAc"/>
            <w:bookmarkEnd w:id="353"/>
          </w:p>
        </w:tc>
        <w:tc>
          <w:tcPr>
            <w:tcW w:w="560" w:type="dxa"/>
            <w:tcBorders/>
            <w:shd w:fill="FFFFFF" w:val="clear"/>
            <w:vAlign w:val="center"/>
          </w:tcPr>
          <w:p>
            <w:pPr>
              <w:pStyle w:val="TableContents"/>
              <w:bidi w:val="0"/>
              <w:spacing w:before="0" w:after="283"/>
              <w:jc w:val="right"/>
              <w:rPr/>
            </w:pPr>
            <w:r>
              <w:rPr/>
              <w:t>2,234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54" w:name="xdx_980_eus-gaap--AllowanceForDoubtfulAc"/>
            <w:bookmarkEnd w:id="354"/>
          </w:p>
        </w:tc>
        <w:tc>
          <w:tcPr>
            <w:tcW w:w="560" w:type="dxa"/>
            <w:tcBorders/>
            <w:shd w:fill="FFFFFF" w:val="clear"/>
            <w:vAlign w:val="center"/>
          </w:tcPr>
          <w:p>
            <w:pPr>
              <w:pStyle w:val="TableContents"/>
              <w:bidi w:val="0"/>
              <w:spacing w:before="0" w:after="283"/>
              <w:jc w:val="right"/>
              <w:rPr/>
            </w:pPr>
            <w:r>
              <w:rPr/>
              <w:t>1,795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5" w:name="xdx_8AC_zGOWP3d6H6ml"/>
      <w:bookmarkEnd w:id="35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6" w:name="xdx_809_eus-gaap--InventoryDisclosureTex"/>
      <w:bookmarkEnd w:id="356"/>
      <w:r>
        <w:rPr>
          <w:rFonts w:ascii="Times New Roman;Times;Serif" w:hAnsi="Times New Roman;Times;Serif"/>
          <w:b/>
          <w:i w:val="false"/>
          <w:caps w:val="false"/>
          <w:smallCaps w:val="false"/>
          <w:sz w:val="20"/>
        </w:rPr>
        <w:t xml:space="preserve">(6) </w:t>
      </w:r>
      <w:bookmarkStart w:id="357" w:name="xdx_82B_zeQeVDCh9Gue"/>
      <w:bookmarkEnd w:id="357"/>
      <w:r>
        <w:rPr>
          <w:rFonts w:ascii="Times New Roman;Times;Serif" w:hAnsi="Times New Roman;Times;Serif"/>
          <w:b/>
          <w:i w:val="false"/>
          <w:caps w:val="false"/>
          <w:smallCaps w:val="false"/>
          <w:sz w:val="20"/>
        </w:rPr>
        <w:t>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58" w:name="xdx_897_eus-gaap--ScheduleOfInventoryCur"/>
      <w:bookmarkEnd w:id="358"/>
      <w:r>
        <w:rPr>
          <w:rFonts w:ascii="Times New Roman;Times;Serif" w:hAnsi="Times New Roman;Times;Serif"/>
          <w:b w:val="false"/>
          <w:i w:val="false"/>
          <w:caps w:val="false"/>
          <w:smallCaps w:val="false"/>
          <w:sz w:val="20"/>
        </w:rPr>
        <w:t>Inventories consist of the following (in thousands):</w:t>
      </w:r>
    </w:p>
    <w:p>
      <w:pPr>
        <w:pStyle w:val="TextBody"/>
        <w:bidi w:val="0"/>
        <w:spacing w:before="0" w:after="0"/>
        <w:ind w:left="0" w:right="0" w:firstLine="720"/>
        <w:jc w:val="both"/>
        <w:rPr>
          <w:caps w:val="false"/>
          <w:smallCaps w:val="false"/>
        </w:rPr>
      </w:pPr>
      <w:r>
        <w:rPr>
          <w:caps w:val="false"/>
          <w:smallCaps w:val="false"/>
        </w:rPr>
        <w:t> </w:t>
      </w:r>
      <w:bookmarkStart w:id="359" w:name="xdx_8B9_zcwCIfQ2KVm"/>
      <w:bookmarkEnd w:id="359"/>
      <w:r>
        <w:rPr>
          <w:rFonts w:ascii="Times New Roman;Times;Serif" w:hAnsi="Times New Roman;Times;Serif"/>
          <w:b w:val="false"/>
          <w:i w:val="false"/>
          <w:caps w:val="false"/>
          <w:smallCaps w:val="false"/>
          <w:sz w:val="20"/>
        </w:rPr>
        <w:t>Schedule of Inventories </w:t>
      </w:r>
    </w:p>
    <w:tbl>
      <w:tblPr>
        <w:tblW w:w="5203" w:type="dxa"/>
        <w:jc w:val="left"/>
        <w:tblInd w:w="0" w:type="dxa"/>
        <w:tblLayout w:type="fixed"/>
        <w:tblCellMar>
          <w:top w:w="0" w:type="dxa"/>
          <w:left w:w="0" w:type="dxa"/>
          <w:bottom w:w="0" w:type="dxa"/>
          <w:right w:w="0" w:type="dxa"/>
        </w:tblCellMar>
      </w:tblPr>
      <w:tblGrid>
        <w:gridCol w:w="1580"/>
        <w:gridCol w:w="60"/>
        <w:gridCol w:w="241"/>
        <w:gridCol w:w="1173"/>
        <w:gridCol w:w="60"/>
        <w:gridCol w:w="60"/>
        <w:gridCol w:w="333"/>
        <w:gridCol w:w="1621"/>
        <w:gridCol w:w="75"/>
      </w:tblGrid>
      <w:tr>
        <w:trPr/>
        <w:tc>
          <w:tcPr>
            <w:tcW w:w="15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360" w:name="xdx_493_20260630_z0M1qq75142b"/>
            <w:bookmarkEnd w:id="360"/>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1" w:name="xdx_491_20251231_zehR36KEi2Na"/>
            <w:bookmarkEnd w:id="361"/>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bookmarkStart w:id="362" w:name="xdx_40E_eus-gaap--InventoryRawMaterialsA"/>
            <w:bookmarkEnd w:id="362"/>
          </w:p>
        </w:tc>
      </w:tr>
      <w:tr>
        <w:trPr/>
        <w:tc>
          <w:tcPr>
            <w:tcW w:w="158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6,454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5,689</w:t>
            </w:r>
          </w:p>
        </w:tc>
        <w:tc>
          <w:tcPr>
            <w:tcW w:w="75" w:type="dxa"/>
            <w:tcBorders/>
            <w:shd w:fill="CCEEFF" w:val="clear"/>
            <w:vAlign w:val="center"/>
          </w:tcPr>
          <w:p>
            <w:pPr>
              <w:pStyle w:val="TableContents"/>
              <w:bidi w:val="0"/>
              <w:spacing w:before="0" w:after="283"/>
              <w:jc w:val="left"/>
              <w:rPr/>
            </w:pPr>
            <w:r>
              <w:rPr/>
              <w:t> </w:t>
            </w:r>
            <w:bookmarkStart w:id="363" w:name="xdx_408_eus-gaap--InventoryWorkInProcess"/>
            <w:bookmarkEnd w:id="363"/>
          </w:p>
        </w:tc>
      </w:tr>
      <w:tr>
        <w:trPr/>
        <w:tc>
          <w:tcPr>
            <w:tcW w:w="1580" w:type="dxa"/>
            <w:tcBorders/>
            <w:shd w:fill="FFFFFF" w:val="clear"/>
            <w:vAlign w:val="center"/>
          </w:tcPr>
          <w:p>
            <w:pPr>
              <w:pStyle w:val="TableContents"/>
              <w:bidi w:val="0"/>
              <w:spacing w:before="0" w:after="283"/>
              <w:jc w:val="left"/>
              <w:rPr/>
            </w:pPr>
            <w:r>
              <w:rPr/>
              <w:t>Work in process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5,338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4,799</w:t>
            </w:r>
          </w:p>
        </w:tc>
        <w:tc>
          <w:tcPr>
            <w:tcW w:w="75" w:type="dxa"/>
            <w:tcBorders/>
            <w:shd w:fill="FFFFFF" w:val="clear"/>
            <w:vAlign w:val="center"/>
          </w:tcPr>
          <w:p>
            <w:pPr>
              <w:pStyle w:val="TableContents"/>
              <w:bidi w:val="0"/>
              <w:spacing w:before="0" w:after="283"/>
              <w:jc w:val="left"/>
              <w:rPr/>
            </w:pPr>
            <w:r>
              <w:rPr/>
              <w:t> </w:t>
            </w:r>
            <w:bookmarkStart w:id="364" w:name="xdx_407_eus-gaap--InventoryFinishedGoods"/>
            <w:bookmarkEnd w:id="364"/>
          </w:p>
        </w:tc>
      </w:tr>
      <w:tr>
        <w:trPr/>
        <w:tc>
          <w:tcPr>
            <w:tcW w:w="1580" w:type="dxa"/>
            <w:tcBorders/>
            <w:shd w:fill="CCEEFF" w:val="clear"/>
            <w:vAlign w:val="center"/>
          </w:tcPr>
          <w:p>
            <w:pPr>
              <w:pStyle w:val="TableContents"/>
              <w:bidi w:val="0"/>
              <w:spacing w:before="0" w:after="283"/>
              <w:jc w:val="left"/>
              <w:rPr/>
            </w:pPr>
            <w:r>
              <w:rPr/>
              <w:t>Finished goods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CCEEFF" w:val="clear"/>
            <w:tcMar>
              <w:bottom w:w="28" w:type="dxa"/>
            </w:tcMar>
            <w:vAlign w:val="center"/>
          </w:tcPr>
          <w:p>
            <w:pPr>
              <w:pStyle w:val="TableContents"/>
              <w:bidi w:val="0"/>
              <w:spacing w:before="0" w:after="283"/>
              <w:jc w:val="right"/>
              <w:rPr/>
            </w:pPr>
            <w:r>
              <w:rPr/>
              <w:t>21,495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CCEEFF" w:val="clear"/>
            <w:tcMar>
              <w:bottom w:w="28" w:type="dxa"/>
            </w:tcMar>
            <w:vAlign w:val="center"/>
          </w:tcPr>
          <w:p>
            <w:pPr>
              <w:pStyle w:val="TableContents"/>
              <w:bidi w:val="0"/>
              <w:spacing w:before="0" w:after="283"/>
              <w:jc w:val="right"/>
              <w:rPr/>
            </w:pPr>
            <w:r>
              <w:rPr/>
              <w:t>19,775</w:t>
            </w:r>
          </w:p>
        </w:tc>
        <w:tc>
          <w:tcPr>
            <w:tcW w:w="75" w:type="dxa"/>
            <w:tcBorders/>
            <w:shd w:fill="CCEEFF" w:val="clear"/>
            <w:vAlign w:val="center"/>
          </w:tcPr>
          <w:p>
            <w:pPr>
              <w:pStyle w:val="TableContents"/>
              <w:bidi w:val="0"/>
              <w:spacing w:before="0" w:after="283"/>
              <w:jc w:val="left"/>
              <w:rPr/>
            </w:pPr>
            <w:r>
              <w:rPr/>
              <w:t> </w:t>
            </w:r>
            <w:bookmarkStart w:id="365" w:name="xdx_400_eus-gaap--InventoryNet_iTI_pn3n3"/>
            <w:bookmarkEnd w:id="365"/>
          </w:p>
        </w:tc>
      </w:tr>
      <w:tr>
        <w:trPr/>
        <w:tc>
          <w:tcPr>
            <w:tcW w:w="158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33,287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21" w:type="dxa"/>
            <w:tcBorders>
              <w:bottom w:val="double" w:sz="6" w:space="0" w:color="000000"/>
            </w:tcBorders>
            <w:shd w:fill="FFFFFF" w:val="clear"/>
            <w:tcMar>
              <w:bottom w:w="28" w:type="dxa"/>
            </w:tcMar>
            <w:vAlign w:val="center"/>
          </w:tcPr>
          <w:p>
            <w:pPr>
              <w:pStyle w:val="TableContents"/>
              <w:bidi w:val="0"/>
              <w:spacing w:before="0" w:after="283"/>
              <w:jc w:val="right"/>
              <w:rPr/>
            </w:pPr>
            <w:r>
              <w:rPr/>
              <w:t>30,263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66" w:name="xdx_8A3_zagXxeI8y1Sd"/>
      <w:bookmarkEnd w:id="36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7" w:name="xdx_803_eus-gaap--PropertyPlantAndEquipm"/>
      <w:bookmarkEnd w:id="367"/>
      <w:r>
        <w:rPr>
          <w:rFonts w:ascii="Times New Roman;Times;Serif" w:hAnsi="Times New Roman;Times;Serif"/>
          <w:b/>
          <w:i w:val="false"/>
          <w:caps w:val="false"/>
          <w:smallCaps w:val="false"/>
          <w:sz w:val="20"/>
        </w:rPr>
        <w:t xml:space="preserve">(7) </w:t>
      </w:r>
      <w:bookmarkStart w:id="368" w:name="xdx_822_z8xWJpEoR2Vd"/>
      <w:bookmarkEnd w:id="368"/>
      <w:r>
        <w:rPr>
          <w:rFonts w:ascii="Times New Roman;Times;Serif" w:hAnsi="Times New Roman;Times;Serif"/>
          <w:b/>
          <w:i w:val="false"/>
          <w:caps w:val="false"/>
          <w:smallCaps w:val="false"/>
          <w:sz w:val="20"/>
        </w:rPr>
        <w:t>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69" w:name="xdx_891_eus-gaap--PropertyPlantAndEquipm"/>
      <w:bookmarkEnd w:id="369"/>
      <w:r>
        <w:rPr>
          <w:rFonts w:ascii="Times New Roman;Times;Serif" w:hAnsi="Times New Roman;Times;Serif"/>
          <w:b w:val="false"/>
          <w:i w:val="false"/>
          <w:caps w:val="false"/>
          <w:smallCaps w:val="false"/>
          <w:sz w:val="20"/>
        </w:rPr>
        <w:t>Property and equipment, net are as follows (in thousands):</w:t>
      </w:r>
    </w:p>
    <w:p>
      <w:pPr>
        <w:pStyle w:val="TextBody"/>
        <w:bidi w:val="0"/>
        <w:spacing w:before="0" w:after="0"/>
        <w:ind w:left="0" w:right="0" w:firstLine="720"/>
        <w:jc w:val="both"/>
        <w:rPr>
          <w:caps w:val="false"/>
          <w:smallCaps w:val="false"/>
        </w:rPr>
      </w:pPr>
      <w:r>
        <w:rPr>
          <w:caps w:val="false"/>
          <w:smallCaps w:val="false"/>
        </w:rPr>
        <w:t> </w:t>
      </w:r>
      <w:bookmarkStart w:id="370" w:name="xdx_8B6_zJYkz7Gc0e66"/>
      <w:bookmarkEnd w:id="370"/>
      <w:r>
        <w:rPr>
          <w:rFonts w:ascii="Times New Roman;Times;Serif" w:hAnsi="Times New Roman;Times;Serif"/>
          <w:b w:val="false"/>
          <w:i w:val="false"/>
          <w:caps w:val="false"/>
          <w:smallCaps w:val="false"/>
          <w:sz w:val="20"/>
        </w:rPr>
        <w:t>Schedule of Property and Equipment, Net</w:t>
      </w:r>
    </w:p>
    <w:tbl>
      <w:tblPr>
        <w:tblW w:w="6683" w:type="dxa"/>
        <w:jc w:val="left"/>
        <w:tblInd w:w="0" w:type="dxa"/>
        <w:tblLayout w:type="fixed"/>
        <w:tblCellMar>
          <w:top w:w="0" w:type="dxa"/>
          <w:left w:w="0" w:type="dxa"/>
          <w:bottom w:w="0" w:type="dxa"/>
          <w:right w:w="0" w:type="dxa"/>
        </w:tblCellMar>
      </w:tblPr>
      <w:tblGrid>
        <w:gridCol w:w="2990"/>
        <w:gridCol w:w="60"/>
        <w:gridCol w:w="221"/>
        <w:gridCol w:w="1193"/>
        <w:gridCol w:w="95"/>
        <w:gridCol w:w="60"/>
        <w:gridCol w:w="305"/>
        <w:gridCol w:w="1649"/>
        <w:gridCol w:w="11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1" w:name="xdx_494_20260630_zdw8R1PYAdP4"/>
            <w:bookmarkEnd w:id="371"/>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2" w:name="xdx_49A_20251231_zy8GsttTpIR3"/>
            <w:bookmarkEnd w:id="372"/>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0" w:type="dxa"/>
            <w:tcBorders/>
            <w:vAlign w:val="center"/>
          </w:tcPr>
          <w:p>
            <w:pPr>
              <w:pStyle w:val="TableContents"/>
              <w:bidi w:val="0"/>
              <w:spacing w:before="0" w:after="283"/>
              <w:jc w:val="left"/>
              <w:rPr/>
            </w:pPr>
            <w:r>
              <w:rPr/>
              <w:t> </w:t>
            </w:r>
            <w:bookmarkStart w:id="373" w:name="xdx_40C_eus-gaap--PropertyPlantAndEquipm"/>
            <w:bookmarkEnd w:id="373"/>
          </w:p>
        </w:tc>
      </w:tr>
      <w:tr>
        <w:trPr/>
        <w:tc>
          <w:tcPr>
            <w:tcW w:w="2990" w:type="dxa"/>
            <w:tcBorders/>
            <w:shd w:fill="CCEEFF" w:val="clear"/>
            <w:vAlign w:val="center"/>
          </w:tcPr>
          <w:p>
            <w:pPr>
              <w:pStyle w:val="TableContents"/>
              <w:bidi w:val="0"/>
              <w:spacing w:before="0" w:after="283"/>
              <w:jc w:val="left"/>
              <w:rPr/>
            </w:pPr>
            <w:r>
              <w:rPr/>
              <w:t>Equipment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w:t>
            </w:r>
          </w:p>
        </w:tc>
        <w:tc>
          <w:tcPr>
            <w:tcW w:w="1193" w:type="dxa"/>
            <w:tcBorders/>
            <w:shd w:fill="CCEEFF" w:val="clear"/>
            <w:vAlign w:val="center"/>
          </w:tcPr>
          <w:p>
            <w:pPr>
              <w:pStyle w:val="TableContents"/>
              <w:bidi w:val="0"/>
              <w:spacing w:before="0" w:after="283"/>
              <w:jc w:val="right"/>
              <w:rPr/>
            </w:pPr>
            <w:r>
              <w:rPr/>
              <w:t>7,597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w:t>
            </w:r>
          </w:p>
        </w:tc>
        <w:tc>
          <w:tcPr>
            <w:tcW w:w="1649" w:type="dxa"/>
            <w:tcBorders/>
            <w:shd w:fill="CCEEFF" w:val="clear"/>
            <w:vAlign w:val="center"/>
          </w:tcPr>
          <w:p>
            <w:pPr>
              <w:pStyle w:val="TableContents"/>
              <w:bidi w:val="0"/>
              <w:spacing w:before="0" w:after="283"/>
              <w:jc w:val="right"/>
              <w:rPr/>
            </w:pPr>
            <w:r>
              <w:rPr/>
              <w:t>7,346</w:t>
            </w:r>
          </w:p>
        </w:tc>
        <w:tc>
          <w:tcPr>
            <w:tcW w:w="110" w:type="dxa"/>
            <w:tcBorders/>
            <w:shd w:fill="CCEEFF" w:val="clear"/>
            <w:vAlign w:val="center"/>
          </w:tcPr>
          <w:p>
            <w:pPr>
              <w:pStyle w:val="TableContents"/>
              <w:bidi w:val="0"/>
              <w:spacing w:before="0" w:after="283"/>
              <w:jc w:val="left"/>
              <w:rPr/>
            </w:pPr>
            <w:r>
              <w:rPr/>
              <w:t> </w:t>
            </w:r>
            <w:bookmarkStart w:id="374" w:name="xdx_402_eus-gaap--PropertyPlantAndEquipm"/>
            <w:bookmarkEnd w:id="374"/>
          </w:p>
        </w:tc>
      </w:tr>
      <w:tr>
        <w:trPr/>
        <w:tc>
          <w:tcPr>
            <w:tcW w:w="2990" w:type="dxa"/>
            <w:tcBorders/>
            <w:shd w:fill="FFFFFF" w:val="clear"/>
            <w:vAlign w:val="center"/>
          </w:tcPr>
          <w:p>
            <w:pPr>
              <w:pStyle w:val="TableContents"/>
              <w:bidi w:val="0"/>
              <w:spacing w:before="0" w:after="283"/>
              <w:jc w:val="left"/>
              <w:rPr/>
            </w:pPr>
            <w:r>
              <w:rPr/>
              <w:t>Computer equipment</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1,315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1,252</w:t>
            </w:r>
          </w:p>
        </w:tc>
        <w:tc>
          <w:tcPr>
            <w:tcW w:w="110" w:type="dxa"/>
            <w:tcBorders/>
            <w:shd w:fill="FFFFFF" w:val="clear"/>
            <w:vAlign w:val="center"/>
          </w:tcPr>
          <w:p>
            <w:pPr>
              <w:pStyle w:val="TableContents"/>
              <w:bidi w:val="0"/>
              <w:spacing w:before="0" w:after="283"/>
              <w:jc w:val="left"/>
              <w:rPr/>
            </w:pPr>
            <w:r>
              <w:rPr/>
              <w:t> </w:t>
            </w:r>
            <w:bookmarkStart w:id="375" w:name="xdx_40E_eus-gaap--PropertyPlantAndEquipm"/>
            <w:bookmarkEnd w:id="375"/>
          </w:p>
        </w:tc>
      </w:tr>
      <w:tr>
        <w:trPr/>
        <w:tc>
          <w:tcPr>
            <w:tcW w:w="2990" w:type="dxa"/>
            <w:tcBorders/>
            <w:shd w:fill="CCEEFF" w:val="clear"/>
            <w:vAlign w:val="center"/>
          </w:tcPr>
          <w:p>
            <w:pPr>
              <w:pStyle w:val="TableContents"/>
              <w:bidi w:val="0"/>
              <w:spacing w:before="0" w:after="283"/>
              <w:jc w:val="left"/>
              <w:rPr/>
            </w:pPr>
            <w:r>
              <w:rPr/>
              <w:t>Computer software</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361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361</w:t>
            </w:r>
          </w:p>
        </w:tc>
        <w:tc>
          <w:tcPr>
            <w:tcW w:w="110" w:type="dxa"/>
            <w:tcBorders/>
            <w:shd w:fill="CCEEFF" w:val="clear"/>
            <w:vAlign w:val="center"/>
          </w:tcPr>
          <w:p>
            <w:pPr>
              <w:pStyle w:val="TableContents"/>
              <w:bidi w:val="0"/>
              <w:spacing w:before="0" w:after="283"/>
              <w:jc w:val="left"/>
              <w:rPr/>
            </w:pPr>
            <w:r>
              <w:rPr/>
              <w:t> </w:t>
            </w:r>
            <w:bookmarkStart w:id="376" w:name="xdx_408_eus-gaap--PropertyPlantAndEquipm"/>
            <w:bookmarkEnd w:id="376"/>
          </w:p>
        </w:tc>
      </w:tr>
      <w:tr>
        <w:trPr/>
        <w:tc>
          <w:tcPr>
            <w:tcW w:w="2990" w:type="dxa"/>
            <w:tcBorders/>
            <w:shd w:fill="FFFFFF" w:val="clear"/>
            <w:vAlign w:val="center"/>
          </w:tcPr>
          <w:p>
            <w:pPr>
              <w:pStyle w:val="TableContents"/>
              <w:bidi w:val="0"/>
              <w:spacing w:before="0" w:after="283"/>
              <w:jc w:val="left"/>
              <w:rPr/>
            </w:pPr>
            <w:r>
              <w:rPr/>
              <w:t>Leasehold improvements</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1193" w:type="dxa"/>
            <w:tcBorders/>
            <w:shd w:fill="FFFFFF" w:val="clear"/>
            <w:vAlign w:val="center"/>
          </w:tcPr>
          <w:p>
            <w:pPr>
              <w:pStyle w:val="TableContents"/>
              <w:bidi w:val="0"/>
              <w:spacing w:before="0" w:after="283"/>
              <w:jc w:val="right"/>
              <w:rPr/>
            </w:pPr>
            <w:r>
              <w:rPr/>
              <w:t>4,559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shd w:fill="FFFFFF" w:val="clear"/>
            <w:vAlign w:val="center"/>
          </w:tcPr>
          <w:p>
            <w:pPr>
              <w:pStyle w:val="TableContents"/>
              <w:bidi w:val="0"/>
              <w:spacing w:before="0" w:after="283"/>
              <w:jc w:val="left"/>
              <w:rPr/>
            </w:pPr>
            <w:r>
              <w:rPr/>
              <w:t> </w:t>
            </w:r>
          </w:p>
        </w:tc>
        <w:tc>
          <w:tcPr>
            <w:tcW w:w="1649" w:type="dxa"/>
            <w:tcBorders/>
            <w:shd w:fill="FFFFFF" w:val="clear"/>
            <w:vAlign w:val="center"/>
          </w:tcPr>
          <w:p>
            <w:pPr>
              <w:pStyle w:val="TableContents"/>
              <w:bidi w:val="0"/>
              <w:spacing w:before="0" w:after="283"/>
              <w:jc w:val="right"/>
              <w:rPr/>
            </w:pPr>
            <w:r>
              <w:rPr/>
              <w:t>4,483</w:t>
            </w:r>
          </w:p>
        </w:tc>
        <w:tc>
          <w:tcPr>
            <w:tcW w:w="110" w:type="dxa"/>
            <w:tcBorders/>
            <w:shd w:fill="FFFFFF" w:val="clear"/>
            <w:vAlign w:val="center"/>
          </w:tcPr>
          <w:p>
            <w:pPr>
              <w:pStyle w:val="TableContents"/>
              <w:bidi w:val="0"/>
              <w:spacing w:before="0" w:after="283"/>
              <w:jc w:val="left"/>
              <w:rPr/>
            </w:pPr>
            <w:r>
              <w:rPr/>
              <w:t> </w:t>
            </w:r>
            <w:bookmarkStart w:id="377" w:name="xdx_400_eus-gaap--PropertyPlantAndEquipm"/>
            <w:bookmarkEnd w:id="377"/>
          </w:p>
        </w:tc>
      </w:tr>
      <w:tr>
        <w:trPr/>
        <w:tc>
          <w:tcPr>
            <w:tcW w:w="2990" w:type="dxa"/>
            <w:tcBorders/>
            <w:shd w:fill="CCEEFF" w:val="clear"/>
            <w:vAlign w:val="center"/>
          </w:tcPr>
          <w:p>
            <w:pPr>
              <w:pStyle w:val="TableContents"/>
              <w:bidi w:val="0"/>
              <w:spacing w:before="0" w:after="283"/>
              <w:jc w:val="left"/>
              <w:rPr/>
            </w:pPr>
            <w:r>
              <w:rPr/>
              <w:t>Surgical instruments</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13,799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14,070</w:t>
            </w:r>
          </w:p>
        </w:tc>
        <w:tc>
          <w:tcPr>
            <w:tcW w:w="110" w:type="dxa"/>
            <w:tcBorders/>
            <w:shd w:fill="CCEEFF" w:val="clear"/>
            <w:vAlign w:val="center"/>
          </w:tcPr>
          <w:p>
            <w:pPr>
              <w:pStyle w:val="TableContents"/>
              <w:bidi w:val="0"/>
              <w:spacing w:before="0" w:after="283"/>
              <w:jc w:val="left"/>
              <w:rPr/>
            </w:pPr>
            <w:r>
              <w:rPr/>
              <w:t> </w:t>
            </w:r>
            <w:bookmarkStart w:id="378" w:name="xdx_40A_eus-gaap--PropertyPlantAndEquipm"/>
            <w:bookmarkEnd w:id="378"/>
          </w:p>
        </w:tc>
      </w:tr>
      <w:tr>
        <w:trPr/>
        <w:tc>
          <w:tcPr>
            <w:tcW w:w="2990" w:type="dxa"/>
            <w:tcBorders/>
            <w:shd w:fill="FFFFFF" w:val="clear"/>
            <w:vAlign w:val="center"/>
          </w:tcPr>
          <w:p>
            <w:pPr>
              <w:pStyle w:val="TableContents"/>
              <w:bidi w:val="0"/>
              <w:spacing w:before="0" w:after="283"/>
              <w:jc w:val="left"/>
              <w:rPr/>
            </w:pPr>
            <w:r>
              <w:rPr/>
              <w:t>Assets not yet in service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744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pPr>
            <w:r>
              <w:rPr/>
              <w:t>897</w:t>
            </w:r>
          </w:p>
        </w:tc>
        <w:tc>
          <w:tcPr>
            <w:tcW w:w="110" w:type="dxa"/>
            <w:tcBorders/>
            <w:shd w:fill="FFFFFF" w:val="clear"/>
            <w:vAlign w:val="center"/>
          </w:tcPr>
          <w:p>
            <w:pPr>
              <w:pStyle w:val="TableContents"/>
              <w:bidi w:val="0"/>
              <w:spacing w:before="0" w:after="283"/>
              <w:jc w:val="left"/>
              <w:rPr/>
            </w:pPr>
            <w:r>
              <w:rPr/>
              <w:t> </w:t>
            </w:r>
            <w:bookmarkStart w:id="379" w:name="xdx_40D_eus-gaap--PropertyPlantAndEquipm"/>
            <w:bookmarkEnd w:id="379"/>
          </w:p>
        </w:tc>
      </w:tr>
      <w:tr>
        <w:trPr/>
        <w:tc>
          <w:tcPr>
            <w:tcW w:w="2990" w:type="dxa"/>
            <w:tcBorders/>
            <w:shd w:fill="CCEEFF" w:val="clear"/>
            <w:vAlign w:val="center"/>
          </w:tcPr>
          <w:p>
            <w:pPr>
              <w:pStyle w:val="TableContents"/>
              <w:bidi w:val="0"/>
              <w:spacing w:before="0" w:after="283"/>
              <w:jc w:val="left"/>
              <w:rPr/>
            </w:pPr>
            <w:r>
              <w:rPr/>
              <w:t>Total cost</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93" w:type="dxa"/>
            <w:tcBorders/>
            <w:shd w:fill="CCEEFF" w:val="clear"/>
            <w:vAlign w:val="center"/>
          </w:tcPr>
          <w:p>
            <w:pPr>
              <w:pStyle w:val="TableContents"/>
              <w:bidi w:val="0"/>
              <w:spacing w:before="0" w:after="283"/>
              <w:jc w:val="right"/>
              <w:rPr/>
            </w:pPr>
            <w:r>
              <w:rPr/>
              <w:t>28,375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shd w:fill="CCEEFF" w:val="clear"/>
            <w:vAlign w:val="center"/>
          </w:tcPr>
          <w:p>
            <w:pPr>
              <w:pStyle w:val="TableContents"/>
              <w:bidi w:val="0"/>
              <w:spacing w:before="0" w:after="283"/>
              <w:jc w:val="left"/>
              <w:rPr/>
            </w:pPr>
            <w:r>
              <w:rPr/>
              <w:t> </w:t>
            </w:r>
          </w:p>
        </w:tc>
        <w:tc>
          <w:tcPr>
            <w:tcW w:w="1649" w:type="dxa"/>
            <w:tcBorders/>
            <w:shd w:fill="CCEEFF" w:val="clear"/>
            <w:vAlign w:val="center"/>
          </w:tcPr>
          <w:p>
            <w:pPr>
              <w:pStyle w:val="TableContents"/>
              <w:bidi w:val="0"/>
              <w:spacing w:before="0" w:after="283"/>
              <w:jc w:val="right"/>
              <w:rPr/>
            </w:pPr>
            <w:r>
              <w:rPr/>
              <w:t>28,409</w:t>
            </w:r>
          </w:p>
        </w:tc>
        <w:tc>
          <w:tcPr>
            <w:tcW w:w="110" w:type="dxa"/>
            <w:tcBorders/>
            <w:shd w:fill="CCEEFF" w:val="clear"/>
            <w:vAlign w:val="center"/>
          </w:tcPr>
          <w:p>
            <w:pPr>
              <w:pStyle w:val="TableContents"/>
              <w:bidi w:val="0"/>
              <w:spacing w:before="0" w:after="283"/>
              <w:jc w:val="left"/>
              <w:rPr/>
            </w:pPr>
            <w:r>
              <w:rPr/>
              <w:t> </w:t>
            </w:r>
            <w:bookmarkStart w:id="380" w:name="xdx_405_eus-gaap--AccumulatedDepreciatio"/>
            <w:bookmarkEnd w:id="380"/>
          </w:p>
        </w:tc>
      </w:tr>
      <w:tr>
        <w:trPr/>
        <w:tc>
          <w:tcPr>
            <w:tcW w:w="2990" w:type="dxa"/>
            <w:tcBorders/>
            <w:shd w:fill="FFFFFF" w:val="clear"/>
            <w:vAlign w:val="center"/>
          </w:tcPr>
          <w:p>
            <w:pPr>
              <w:pStyle w:val="TableContents"/>
              <w:bidi w:val="0"/>
              <w:spacing w:before="0" w:after="283"/>
              <w:jc w:val="left"/>
              <w:rPr/>
            </w:pPr>
            <w:r>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3" w:type="dxa"/>
            <w:tcBorders>
              <w:bottom w:val="single" w:sz="8" w:space="0" w:color="000000"/>
            </w:tcBorders>
            <w:shd w:fill="FFFFFF" w:val="clear"/>
            <w:tcMar>
              <w:bottom w:w="28" w:type="dxa"/>
            </w:tcMar>
            <w:vAlign w:val="center"/>
          </w:tcPr>
          <w:p>
            <w:pPr>
              <w:pStyle w:val="TableContents"/>
              <w:bidi w:val="0"/>
              <w:spacing w:before="0" w:after="283"/>
              <w:jc w:val="right"/>
              <w:rPr/>
            </w:pPr>
            <w:r>
              <w:rPr/>
              <w:t>(22,833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49" w:type="dxa"/>
            <w:tcBorders>
              <w:bottom w:val="single" w:sz="8" w:space="0" w:color="000000"/>
            </w:tcBorders>
            <w:shd w:fill="FFFFFF" w:val="clear"/>
            <w:tcMar>
              <w:bottom w:w="28" w:type="dxa"/>
            </w:tcMar>
            <w:vAlign w:val="center"/>
          </w:tcPr>
          <w:p>
            <w:pPr>
              <w:pStyle w:val="TableContents"/>
              <w:bidi w:val="0"/>
              <w:spacing w:before="0" w:after="283"/>
              <w:jc w:val="right"/>
              <w:rPr/>
            </w:pPr>
            <w:r>
              <w:rPr/>
              <w:t>(22,207</w:t>
            </w:r>
          </w:p>
        </w:tc>
        <w:tc>
          <w:tcPr>
            <w:tcW w:w="110" w:type="dxa"/>
            <w:tcBorders/>
            <w:shd w:fill="FFFFFF" w:val="clear"/>
            <w:vAlign w:val="center"/>
          </w:tcPr>
          <w:p>
            <w:pPr>
              <w:pStyle w:val="TableContents"/>
              <w:bidi w:val="0"/>
              <w:spacing w:before="0" w:after="283"/>
              <w:jc w:val="left"/>
              <w:rPr/>
            </w:pPr>
            <w:r>
              <w:rPr/>
              <w:t>)</w:t>
            </w:r>
            <w:bookmarkStart w:id="381" w:name="xdx_400_eus-gaap--PropertyPlantAndEquipm"/>
            <w:bookmarkEnd w:id="381"/>
          </w:p>
        </w:tc>
      </w:tr>
      <w:tr>
        <w:trPr/>
        <w:tc>
          <w:tcPr>
            <w:tcW w:w="299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5,542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649" w:type="dxa"/>
            <w:tcBorders>
              <w:bottom w:val="double" w:sz="6" w:space="0" w:color="000000"/>
            </w:tcBorders>
            <w:shd w:fill="CCEEFF" w:val="clear"/>
            <w:tcMar>
              <w:bottom w:w="28" w:type="dxa"/>
            </w:tcMar>
            <w:vAlign w:val="center"/>
          </w:tcPr>
          <w:p>
            <w:pPr>
              <w:pStyle w:val="TableContents"/>
              <w:bidi w:val="0"/>
              <w:spacing w:before="0" w:after="283"/>
              <w:jc w:val="right"/>
              <w:rPr/>
            </w:pPr>
            <w:r>
              <w:rPr/>
              <w:t>6,202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382" w:name="xdx_8AB_z108LjmlQM6d"/>
      <w:bookmarkEnd w:id="382"/>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related to property and equipment, including property under finance leases, for the three months ended June 30, 2026 and 2025 was $</w:t>
      </w:r>
      <w:bookmarkStart w:id="383" w:name="xdx_901_eus-gaap--Depreciation_pn5n6_c20"/>
      <w:bookmarkEnd w:id="383"/>
      <w:r>
        <w:rPr>
          <w:rFonts w:ascii="Times New Roman;Times;Serif" w:hAnsi="Times New Roman;Times;Serif"/>
          <w:b w:val="false"/>
          <w:i w:val="false"/>
          <w:caps w:val="false"/>
          <w:smallCaps w:val="false"/>
          <w:sz w:val="20"/>
        </w:rPr>
        <w:t>0.5 million and $</w:t>
      </w:r>
      <w:bookmarkStart w:id="384" w:name="xdx_90E_eus-gaap--Depreciation_pn5n6_c20"/>
      <w:bookmarkEnd w:id="384"/>
      <w:r>
        <w:rPr>
          <w:rFonts w:ascii="Times New Roman;Times;Serif" w:hAnsi="Times New Roman;Times;Serif"/>
          <w:b w:val="false"/>
          <w:i w:val="false"/>
          <w:caps w:val="false"/>
          <w:smallCaps w:val="false"/>
          <w:sz w:val="20"/>
        </w:rPr>
        <w:t>0.8 million, respectively, and $</w:t>
      </w:r>
      <w:bookmarkStart w:id="385" w:name="xdx_90A_eus-gaap--Depreciation_pn5n6_c20"/>
      <w:bookmarkEnd w:id="385"/>
      <w:r>
        <w:rPr>
          <w:rFonts w:ascii="Times New Roman;Times;Serif" w:hAnsi="Times New Roman;Times;Serif"/>
          <w:b w:val="false"/>
          <w:i w:val="false"/>
          <w:caps w:val="false"/>
          <w:smallCaps w:val="false"/>
          <w:sz w:val="20"/>
        </w:rPr>
        <w:t>1.0 million and $</w:t>
      </w:r>
      <w:bookmarkStart w:id="386" w:name="xdx_901_eus-gaap--Depreciation_pn5n6_c20"/>
      <w:bookmarkEnd w:id="386"/>
      <w:r>
        <w:rPr>
          <w:rFonts w:ascii="Times New Roman;Times;Serif" w:hAnsi="Times New Roman;Times;Serif"/>
          <w:b w:val="false"/>
          <w:i w:val="false"/>
          <w:caps w:val="false"/>
          <w:smallCaps w:val="false"/>
          <w:sz w:val="20"/>
        </w:rPr>
        <w:t>1.4 million for the six months ended June 30, 2026 and 2025, respectively.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7" w:name="xdx_80D_eus-gaap--GoodwillAndIntangibleA"/>
      <w:bookmarkEnd w:id="387"/>
      <w:r>
        <w:rPr>
          <w:rFonts w:ascii="Times New Roman;Times;Serif" w:hAnsi="Times New Roman;Times;Serif"/>
          <w:b/>
          <w:i w:val="false"/>
          <w:caps w:val="false"/>
          <w:smallCaps w:val="false"/>
          <w:sz w:val="20"/>
        </w:rPr>
        <w:t xml:space="preserve">(8) </w:t>
      </w:r>
      <w:bookmarkStart w:id="388" w:name="xdx_820_zFu7stPIEiid"/>
      <w:bookmarkEnd w:id="388"/>
      <w:r>
        <w:rPr>
          <w:rFonts w:ascii="Times New Roman;Times;Serif" w:hAnsi="Times New Roman;Times;Serif"/>
          <w:b/>
          <w:i w:val="false"/>
          <w:caps w:val="false"/>
          <w:smallCaps w:val="false"/>
          <w:sz w:val="20"/>
        </w:rPr>
        <w:t>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389" w:name="xdx_89A_eus-gaap--ScheduleOfFiniteLivedI"/>
      <w:bookmarkEnd w:id="389"/>
      <w:r>
        <w:rPr>
          <w:rFonts w:ascii="Times New Roman;Times;Serif" w:hAnsi="Times New Roman;Times;Serif"/>
          <w:b w:val="false"/>
          <w:i w:val="false"/>
          <w:caps w:val="false"/>
          <w:smallCaps w:val="false"/>
          <w:sz w:val="20"/>
        </w:rPr>
        <w:t>The following table sets forth information regarding intangible assets (in thousands):</w:t>
      </w:r>
    </w:p>
    <w:p>
      <w:pPr>
        <w:pStyle w:val="TextBody"/>
        <w:bidi w:val="0"/>
        <w:spacing w:before="0" w:after="0"/>
        <w:ind w:left="0" w:right="0" w:firstLine="720"/>
        <w:jc w:val="both"/>
        <w:rPr>
          <w:caps w:val="false"/>
          <w:smallCaps w:val="false"/>
        </w:rPr>
      </w:pPr>
      <w:r>
        <w:rPr>
          <w:caps w:val="false"/>
          <w:smallCaps w:val="false"/>
        </w:rPr>
        <w:t> </w:t>
      </w:r>
      <w:bookmarkStart w:id="390" w:name="xdx_8B4_zO4ZhnLAGWd7"/>
      <w:bookmarkEnd w:id="390"/>
      <w:r>
        <w:rPr>
          <w:rFonts w:ascii="Times New Roman;Times;Serif" w:hAnsi="Times New Roman;Times;Serif"/>
          <w:b w:val="false"/>
          <w:i w:val="false"/>
          <w:caps w:val="false"/>
          <w:smallCaps w:val="false"/>
          <w:sz w:val="20"/>
        </w:rPr>
        <w:t>Schedule of Intangible of Assets </w:t>
      </w:r>
    </w:p>
    <w:tbl>
      <w:tblPr>
        <w:tblW w:w="5485" w:type="dxa"/>
        <w:jc w:val="left"/>
        <w:tblInd w:w="0" w:type="dxa"/>
        <w:tblLayout w:type="fixed"/>
        <w:tblCellMar>
          <w:top w:w="0" w:type="dxa"/>
          <w:left w:w="0" w:type="dxa"/>
          <w:bottom w:w="28" w:type="dxa"/>
          <w:right w:w="0" w:type="dxa"/>
        </w:tblCellMar>
      </w:tblPr>
      <w:tblGrid>
        <w:gridCol w:w="1505"/>
        <w:gridCol w:w="60"/>
        <w:gridCol w:w="1130"/>
        <w:gridCol w:w="60"/>
        <w:gridCol w:w="140"/>
        <w:gridCol w:w="560"/>
        <w:gridCol w:w="60"/>
        <w:gridCol w:w="60"/>
        <w:gridCol w:w="272"/>
        <w:gridCol w:w="888"/>
        <w:gridCol w:w="95"/>
        <w:gridCol w:w="60"/>
        <w:gridCol w:w="140"/>
        <w:gridCol w:w="380"/>
        <w:gridCol w:w="75"/>
      </w:tblGrid>
      <w:tr>
        <w:trPr/>
        <w:tc>
          <w:tcPr>
            <w:tcW w:w="1505" w:type="dxa"/>
            <w:tcBorders>
              <w:bottom w:val="single" w:sz="8" w:space="0" w:color="000000"/>
            </w:tcBorders>
            <w:vAlign w:val="center"/>
          </w:tcPr>
          <w:p>
            <w:pPr>
              <w:pStyle w:val="TableContents"/>
              <w:bidi w:val="0"/>
              <w:spacing w:before="0" w:after="283"/>
              <w:jc w:val="left"/>
              <w:rPr>
                <w:b/>
              </w:rPr>
            </w:pPr>
            <w:r>
              <w:rPr>
                <w:b/>
              </w:rPr>
              <w:t>June 30, 2026:</w:t>
            </w:r>
          </w:p>
        </w:tc>
        <w:tc>
          <w:tcPr>
            <w:tcW w:w="60" w:type="dxa"/>
            <w:tcBorders/>
            <w:tcMar>
              <w:bottom w:w="0" w:type="dxa"/>
            </w:tcMar>
            <w:vAlign w:val="center"/>
          </w:tcPr>
          <w:p>
            <w:pPr>
              <w:pStyle w:val="TableContents"/>
              <w:bidi w:val="0"/>
              <w:spacing w:before="0" w:after="283"/>
              <w:jc w:val="left"/>
              <w:rPr/>
            </w:pPr>
            <w:r>
              <w:rPr/>
              <w:t> </w:t>
            </w:r>
          </w:p>
        </w:tc>
        <w:tc>
          <w:tcPr>
            <w:tcW w:w="113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Life</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0" w:type="dxa"/>
            <w:gridSpan w:val="2"/>
            <w:tcBorders>
              <w:bottom w:val="single" w:sz="8" w:space="0" w:color="000000"/>
            </w:tcBorders>
            <w:vAlign w:val="center"/>
          </w:tcPr>
          <w:p>
            <w:pPr>
              <w:pStyle w:val="TableContents"/>
              <w:bidi w:val="0"/>
              <w:spacing w:before="0" w:after="283"/>
              <w:jc w:val="center"/>
              <w:rPr>
                <w:b/>
              </w:rPr>
            </w:pPr>
            <w:r>
              <w:rPr>
                <w:b/>
              </w:rPr>
              <w:t>Net</w:t>
            </w:r>
          </w:p>
        </w:tc>
        <w:tc>
          <w:tcPr>
            <w:tcW w:w="75" w:type="dxa"/>
            <w:tcBorders/>
            <w:tcMar>
              <w:bottom w:w="0" w:type="dxa"/>
            </w:tcMar>
            <w:vAlign w:val="center"/>
          </w:tcPr>
          <w:p>
            <w:pPr>
              <w:pStyle w:val="TableContents"/>
              <w:bidi w:val="0"/>
              <w:spacing w:before="0" w:after="283"/>
              <w:jc w:val="left"/>
              <w:rPr/>
            </w:pPr>
            <w:r>
              <w:rPr/>
              <w:t> </w:t>
            </w:r>
          </w:p>
        </w:tc>
      </w:tr>
      <w:tr>
        <w:trPr/>
        <w:tc>
          <w:tcPr>
            <w:tcW w:w="1505" w:type="dxa"/>
            <w:tcBorders/>
            <w:shd w:fill="CCEEFF" w:val="clear"/>
            <w:tcMar>
              <w:bottom w:w="0" w:type="dxa"/>
            </w:tcMar>
            <w:vAlign w:val="center"/>
          </w:tcPr>
          <w:p>
            <w:pPr>
              <w:pStyle w:val="TableContents"/>
              <w:bidi w:val="0"/>
              <w:spacing w:before="0" w:after="283"/>
              <w:jc w:val="both"/>
              <w:rPr/>
            </w:pPr>
            <w:r>
              <w:rPr/>
              <w:t>Patents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left"/>
              <w:rPr/>
            </w:pPr>
            <w:bookmarkStart w:id="391" w:name="xdx_907_eus-gaap--FiniteLivedIntangibleA"/>
            <w:bookmarkEnd w:id="391"/>
            <w:r>
              <w:rPr/>
              <w:t>13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392" w:name="xdx_981_eus-gaap--FiniteLivedIntangibleA"/>
            <w:bookmarkEnd w:id="392"/>
          </w:p>
        </w:tc>
        <w:tc>
          <w:tcPr>
            <w:tcW w:w="560" w:type="dxa"/>
            <w:tcBorders/>
            <w:shd w:fill="CCEEFF" w:val="clear"/>
            <w:tcMar>
              <w:bottom w:w="0" w:type="dxa"/>
            </w:tcMar>
            <w:vAlign w:val="center"/>
          </w:tcPr>
          <w:p>
            <w:pPr>
              <w:pStyle w:val="TableContents"/>
              <w:bidi w:val="0"/>
              <w:spacing w:before="0" w:after="283"/>
              <w:jc w:val="right"/>
              <w:rPr/>
            </w:pPr>
            <w:r>
              <w:rPr/>
              <w:t>1,027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 w:type="dxa"/>
            <w:tcBorders/>
            <w:shd w:fill="CCEEFF" w:val="clear"/>
            <w:tcMar>
              <w:bottom w:w="0" w:type="dxa"/>
            </w:tcMar>
            <w:vAlign w:val="center"/>
          </w:tcPr>
          <w:p>
            <w:pPr>
              <w:pStyle w:val="TableContents"/>
              <w:bidi w:val="0"/>
              <w:spacing w:before="0" w:after="283"/>
              <w:jc w:val="left"/>
              <w:rPr/>
            </w:pPr>
            <w:r>
              <w:rPr/>
              <w:t>$</w:t>
            </w:r>
            <w:bookmarkStart w:id="393" w:name="xdx_981_eus-gaap--FiniteLivedIntangibleA"/>
            <w:bookmarkEnd w:id="393"/>
          </w:p>
        </w:tc>
        <w:tc>
          <w:tcPr>
            <w:tcW w:w="888" w:type="dxa"/>
            <w:tcBorders/>
            <w:shd w:fill="CCEEFF" w:val="clear"/>
            <w:tcMar>
              <w:bottom w:w="0" w:type="dxa"/>
            </w:tcMar>
            <w:vAlign w:val="center"/>
          </w:tcPr>
          <w:p>
            <w:pPr>
              <w:pStyle w:val="TableContents"/>
              <w:bidi w:val="0"/>
              <w:spacing w:before="0" w:after="283"/>
              <w:jc w:val="right"/>
              <w:rPr/>
            </w:pPr>
            <w:r>
              <w:rPr/>
              <w:t>(775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394" w:name="xdx_98D_eus-gaap--FiniteLivedIntangibleA"/>
            <w:bookmarkEnd w:id="394"/>
          </w:p>
        </w:tc>
        <w:tc>
          <w:tcPr>
            <w:tcW w:w="380" w:type="dxa"/>
            <w:tcBorders/>
            <w:shd w:fill="CCEEFF" w:val="clear"/>
            <w:tcMar>
              <w:bottom w:w="0" w:type="dxa"/>
            </w:tcMar>
            <w:vAlign w:val="center"/>
          </w:tcPr>
          <w:p>
            <w:pPr>
              <w:pStyle w:val="TableContents"/>
              <w:bidi w:val="0"/>
              <w:spacing w:before="0" w:after="283"/>
              <w:jc w:val="right"/>
              <w:rPr/>
            </w:pPr>
            <w:r>
              <w:rPr/>
              <w:t>252</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025" w:type="dxa"/>
        <w:jc w:val="left"/>
        <w:tblInd w:w="0" w:type="dxa"/>
        <w:tblLayout w:type="fixed"/>
        <w:tblCellMar>
          <w:top w:w="0" w:type="dxa"/>
          <w:left w:w="0" w:type="dxa"/>
          <w:bottom w:w="28" w:type="dxa"/>
          <w:right w:w="0" w:type="dxa"/>
        </w:tblCellMar>
      </w:tblPr>
      <w:tblGrid>
        <w:gridCol w:w="2045"/>
        <w:gridCol w:w="60"/>
        <w:gridCol w:w="1130"/>
        <w:gridCol w:w="60"/>
        <w:gridCol w:w="140"/>
        <w:gridCol w:w="560"/>
        <w:gridCol w:w="60"/>
        <w:gridCol w:w="60"/>
        <w:gridCol w:w="272"/>
        <w:gridCol w:w="888"/>
        <w:gridCol w:w="95"/>
        <w:gridCol w:w="60"/>
        <w:gridCol w:w="140"/>
        <w:gridCol w:w="380"/>
        <w:gridCol w:w="75"/>
      </w:tblGrid>
      <w:tr>
        <w:trPr/>
        <w:tc>
          <w:tcPr>
            <w:tcW w:w="2045" w:type="dxa"/>
            <w:tcBorders>
              <w:bottom w:val="single" w:sz="8" w:space="0" w:color="000000"/>
            </w:tcBorders>
            <w:vAlign w:val="center"/>
          </w:tcPr>
          <w:p>
            <w:pPr>
              <w:pStyle w:val="TableContents"/>
              <w:bidi w:val="0"/>
              <w:spacing w:before="0" w:after="283"/>
              <w:jc w:val="left"/>
              <w:rPr>
                <w:b/>
              </w:rPr>
            </w:pPr>
            <w:r>
              <w:rPr>
                <w:b/>
              </w:rPr>
              <w:t>December 31, 2025:</w:t>
            </w:r>
          </w:p>
        </w:tc>
        <w:tc>
          <w:tcPr>
            <w:tcW w:w="60" w:type="dxa"/>
            <w:tcBorders/>
            <w:tcMar>
              <w:bottom w:w="0" w:type="dxa"/>
            </w:tcMar>
            <w:vAlign w:val="center"/>
          </w:tcPr>
          <w:p>
            <w:pPr>
              <w:pStyle w:val="TableContents"/>
              <w:bidi w:val="0"/>
              <w:spacing w:before="0" w:after="283"/>
              <w:jc w:val="left"/>
              <w:rPr/>
            </w:pPr>
            <w:r>
              <w:rPr/>
              <w:t> </w:t>
            </w:r>
          </w:p>
        </w:tc>
        <w:tc>
          <w:tcPr>
            <w:tcW w:w="113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Life</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Cost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0" w:type="dxa"/>
            <w:gridSpan w:val="2"/>
            <w:tcBorders>
              <w:bottom w:val="single" w:sz="8" w:space="0" w:color="000000"/>
            </w:tcBorders>
            <w:vAlign w:val="center"/>
          </w:tcPr>
          <w:p>
            <w:pPr>
              <w:pStyle w:val="TableContents"/>
              <w:bidi w:val="0"/>
              <w:spacing w:before="0" w:after="283"/>
              <w:jc w:val="center"/>
              <w:rPr>
                <w:b/>
              </w:rPr>
            </w:pPr>
            <w:r>
              <w:rPr>
                <w:b/>
              </w:rPr>
              <w:t>Net</w:t>
            </w:r>
          </w:p>
        </w:tc>
        <w:tc>
          <w:tcPr>
            <w:tcW w:w="75" w:type="dxa"/>
            <w:tcBorders/>
            <w:tcMar>
              <w:bottom w:w="0" w:type="dxa"/>
            </w:tcMar>
            <w:vAlign w:val="center"/>
          </w:tcPr>
          <w:p>
            <w:pPr>
              <w:pStyle w:val="TableContents"/>
              <w:bidi w:val="0"/>
              <w:spacing w:before="0" w:after="283"/>
              <w:jc w:val="left"/>
              <w:rPr/>
            </w:pPr>
            <w:r>
              <w:rPr/>
              <w:t> </w:t>
            </w:r>
          </w:p>
        </w:tc>
      </w:tr>
      <w:tr>
        <w:trPr/>
        <w:tc>
          <w:tcPr>
            <w:tcW w:w="2045" w:type="dxa"/>
            <w:tcBorders/>
            <w:shd w:fill="CCEEFF" w:val="clear"/>
            <w:tcMar>
              <w:bottom w:w="0" w:type="dxa"/>
            </w:tcMar>
            <w:vAlign w:val="center"/>
          </w:tcPr>
          <w:p>
            <w:pPr>
              <w:pStyle w:val="TableContents"/>
              <w:bidi w:val="0"/>
              <w:spacing w:before="0" w:after="283"/>
              <w:jc w:val="both"/>
              <w:rPr/>
            </w:pPr>
            <w:r>
              <w:rPr/>
              <w:t>Patents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0" w:type="dxa"/>
            <w:tcBorders/>
            <w:shd w:fill="CCEEFF" w:val="clear"/>
            <w:tcMar>
              <w:bottom w:w="0" w:type="dxa"/>
            </w:tcMar>
            <w:vAlign w:val="center"/>
          </w:tcPr>
          <w:p>
            <w:pPr>
              <w:pStyle w:val="TableContents"/>
              <w:bidi w:val="0"/>
              <w:spacing w:before="0" w:after="283"/>
              <w:jc w:val="left"/>
              <w:rPr/>
            </w:pPr>
            <w:bookmarkStart w:id="395" w:name="xdx_90F_eus-gaap--FiniteLivedIntangibleA"/>
            <w:bookmarkEnd w:id="395"/>
            <w:r>
              <w:rPr/>
              <w:t>13 years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396" w:name="xdx_982_eus-gaap--FiniteLivedIntangibleA"/>
            <w:bookmarkEnd w:id="396"/>
          </w:p>
        </w:tc>
        <w:tc>
          <w:tcPr>
            <w:tcW w:w="560" w:type="dxa"/>
            <w:tcBorders/>
            <w:shd w:fill="CCEEFF" w:val="clear"/>
            <w:tcMar>
              <w:bottom w:w="0" w:type="dxa"/>
            </w:tcMar>
            <w:vAlign w:val="center"/>
          </w:tcPr>
          <w:p>
            <w:pPr>
              <w:pStyle w:val="TableContents"/>
              <w:bidi w:val="0"/>
              <w:spacing w:before="0" w:after="283"/>
              <w:jc w:val="right"/>
              <w:rPr/>
            </w:pPr>
            <w:r>
              <w:rPr/>
              <w:t>1,027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2" w:type="dxa"/>
            <w:tcBorders/>
            <w:shd w:fill="CCEEFF" w:val="clear"/>
            <w:tcMar>
              <w:bottom w:w="0" w:type="dxa"/>
            </w:tcMar>
            <w:vAlign w:val="center"/>
          </w:tcPr>
          <w:p>
            <w:pPr>
              <w:pStyle w:val="TableContents"/>
              <w:bidi w:val="0"/>
              <w:spacing w:before="0" w:after="283"/>
              <w:jc w:val="left"/>
              <w:rPr/>
            </w:pPr>
            <w:r>
              <w:rPr/>
              <w:t>$</w:t>
            </w:r>
            <w:bookmarkStart w:id="397" w:name="xdx_982_eus-gaap--FiniteLivedIntangibleA"/>
            <w:bookmarkEnd w:id="397"/>
          </w:p>
        </w:tc>
        <w:tc>
          <w:tcPr>
            <w:tcW w:w="888" w:type="dxa"/>
            <w:tcBorders/>
            <w:shd w:fill="CCEEFF" w:val="clear"/>
            <w:tcMar>
              <w:bottom w:w="0" w:type="dxa"/>
            </w:tcMar>
            <w:vAlign w:val="center"/>
          </w:tcPr>
          <w:p>
            <w:pPr>
              <w:pStyle w:val="TableContents"/>
              <w:bidi w:val="0"/>
              <w:spacing w:before="0" w:after="283"/>
              <w:jc w:val="right"/>
              <w:rPr/>
            </w:pPr>
            <w:r>
              <w:rPr/>
              <w:t>(728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bookmarkStart w:id="398" w:name="xdx_983_eus-gaap--FiniteLivedIntangibleA"/>
            <w:bookmarkEnd w:id="398"/>
          </w:p>
        </w:tc>
        <w:tc>
          <w:tcPr>
            <w:tcW w:w="380" w:type="dxa"/>
            <w:tcBorders/>
            <w:shd w:fill="CCEEFF" w:val="clear"/>
            <w:tcMar>
              <w:bottom w:w="0" w:type="dxa"/>
            </w:tcMar>
            <w:vAlign w:val="center"/>
          </w:tcPr>
          <w:p>
            <w:pPr>
              <w:pStyle w:val="TableContents"/>
              <w:bidi w:val="0"/>
              <w:spacing w:before="0" w:after="283"/>
              <w:jc w:val="right"/>
              <w:rPr/>
            </w:pPr>
            <w:r>
              <w:rPr/>
              <w:t>299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99" w:name="xdx_8A0_zMznDiwjdzMi"/>
      <w:bookmarkEnd w:id="399"/>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for the three months ended June 30, 2026 and 2025 was $</w:t>
      </w:r>
      <w:bookmarkStart w:id="400" w:name="xdx_902_eus-gaap--AmortizationOfIntangib"/>
      <w:bookmarkEnd w:id="400"/>
      <w:r>
        <w:rPr>
          <w:rFonts w:ascii="Times New Roman;Times;Serif" w:hAnsi="Times New Roman;Times;Serif"/>
          <w:b w:val="false"/>
          <w:i w:val="false"/>
          <w:caps w:val="false"/>
          <w:smallCaps w:val="false"/>
          <w:sz w:val="20"/>
        </w:rPr>
        <w:t>0.0 million and $</w:t>
      </w:r>
      <w:bookmarkStart w:id="401" w:name="xdx_90C_eus-gaap--AmortizationOfIntangib"/>
      <w:bookmarkEnd w:id="401"/>
      <w:r>
        <w:rPr>
          <w:rFonts w:ascii="Times New Roman;Times;Serif" w:hAnsi="Times New Roman;Times;Serif"/>
          <w:b w:val="false"/>
          <w:i w:val="false"/>
          <w:caps w:val="false"/>
          <w:smallCaps w:val="false"/>
          <w:sz w:val="20"/>
        </w:rPr>
        <w:t>0.5 million, respectively, and $</w:t>
      </w:r>
      <w:bookmarkStart w:id="402" w:name="xdx_90A_eus-gaap--AmortizationOfIntangib"/>
      <w:bookmarkEnd w:id="402"/>
      <w:r>
        <w:rPr>
          <w:rFonts w:ascii="Times New Roman;Times;Serif" w:hAnsi="Times New Roman;Times;Serif"/>
          <w:b w:val="false"/>
          <w:i w:val="false"/>
          <w:caps w:val="false"/>
          <w:smallCaps w:val="false"/>
          <w:sz w:val="20"/>
        </w:rPr>
        <w:t>0.0 million and $</w:t>
      </w:r>
      <w:bookmarkStart w:id="403" w:name="xdx_907_eus-gaap--AmortizationOfIntangib"/>
      <w:bookmarkEnd w:id="403"/>
      <w:r>
        <w:rPr>
          <w:rFonts w:ascii="Times New Roman;Times;Serif" w:hAnsi="Times New Roman;Times;Serif"/>
          <w:b w:val="false"/>
          <w:i w:val="false"/>
          <w:caps w:val="false"/>
          <w:smallCaps w:val="false"/>
          <w:sz w:val="20"/>
        </w:rPr>
        <w:t>0.9 million for the six months ended June 30, 2026 and 2025,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04" w:name="xdx_80E_eus-gaap--AccountsPayableAndAccr"/>
      <w:bookmarkEnd w:id="404"/>
      <w:r>
        <w:rPr>
          <w:rFonts w:ascii="Times New Roman;Times;Serif" w:hAnsi="Times New Roman;Times;Serif"/>
          <w:b/>
          <w:i w:val="false"/>
          <w:caps w:val="false"/>
          <w:smallCaps w:val="false"/>
          <w:sz w:val="20"/>
        </w:rPr>
        <w:t xml:space="preserve">(9) </w:t>
      </w:r>
      <w:bookmarkStart w:id="405" w:name="xdx_82F_zcWd2gM3KFka"/>
      <w:bookmarkEnd w:id="405"/>
      <w:r>
        <w:rPr>
          <w:rFonts w:ascii="Times New Roman;Times;Serif" w:hAnsi="Times New Roman;Times;Serif"/>
          <w:b/>
          <w:i w:val="false"/>
          <w:caps w:val="false"/>
          <w:smallCaps w:val="false"/>
          <w:sz w:val="20"/>
        </w:rPr>
        <w:t>Accrued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06" w:name="xdx_897_eus-gaap--ScheduleOfAccruedLiabi"/>
      <w:bookmarkEnd w:id="406"/>
      <w:r>
        <w:rPr>
          <w:rFonts w:ascii="Times New Roman;Times;Serif" w:hAnsi="Times New Roman;Times;Serif"/>
          <w:b w:val="false"/>
          <w:i w:val="false"/>
          <w:caps w:val="false"/>
          <w:smallCaps w:val="false"/>
          <w:sz w:val="20"/>
        </w:rPr>
        <w:t>Accrued liabilities consist of the following (in thousands):</w:t>
      </w:r>
    </w:p>
    <w:p>
      <w:pPr>
        <w:pStyle w:val="TextBody"/>
        <w:bidi w:val="0"/>
        <w:spacing w:before="0" w:after="0"/>
        <w:ind w:left="0" w:right="0" w:firstLine="720"/>
        <w:jc w:val="both"/>
        <w:rPr>
          <w:caps w:val="false"/>
          <w:smallCaps w:val="false"/>
        </w:rPr>
      </w:pPr>
      <w:r>
        <w:rPr>
          <w:caps w:val="false"/>
          <w:smallCaps w:val="false"/>
        </w:rPr>
        <w:t> </w:t>
      </w:r>
      <w:bookmarkStart w:id="407" w:name="xdx_8B4_zqYjsPgXZOZ7"/>
      <w:bookmarkEnd w:id="407"/>
      <w:r>
        <w:rPr>
          <w:rFonts w:ascii="Times New Roman;Times;Serif" w:hAnsi="Times New Roman;Times;Serif"/>
          <w:b w:val="false"/>
          <w:i w:val="false"/>
          <w:caps w:val="false"/>
          <w:smallCaps w:val="false"/>
          <w:sz w:val="20"/>
        </w:rPr>
        <w:t>Schedule of Accrued Liabilities  </w:t>
      </w:r>
    </w:p>
    <w:tbl>
      <w:tblPr>
        <w:tblW w:w="6374" w:type="dxa"/>
        <w:jc w:val="left"/>
        <w:tblInd w:w="0" w:type="dxa"/>
        <w:tblLayout w:type="fixed"/>
        <w:tblCellMar>
          <w:top w:w="0" w:type="dxa"/>
          <w:left w:w="0" w:type="dxa"/>
          <w:bottom w:w="0" w:type="dxa"/>
          <w:right w:w="0" w:type="dxa"/>
        </w:tblCellMar>
      </w:tblPr>
      <w:tblGrid>
        <w:gridCol w:w="2750"/>
        <w:gridCol w:w="60"/>
        <w:gridCol w:w="283"/>
        <w:gridCol w:w="1132"/>
        <w:gridCol w:w="60"/>
        <w:gridCol w:w="60"/>
        <w:gridCol w:w="333"/>
        <w:gridCol w:w="1621"/>
        <w:gridCol w:w="75"/>
      </w:tblGrid>
      <w:tr>
        <w:trPr/>
        <w:tc>
          <w:tcPr>
            <w:tcW w:w="27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08" w:name="xdx_496_20260630_zxSQHn7gTe0k"/>
            <w:bookmarkEnd w:id="408"/>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9" w:name="xdx_497_20251231_zbtj77TvtPi8"/>
            <w:bookmarkEnd w:id="409"/>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bookmarkStart w:id="410" w:name="xdx_40F_eus-gaap--WorkersCompensationLia"/>
            <w:bookmarkEnd w:id="410"/>
          </w:p>
        </w:tc>
      </w:tr>
      <w:tr>
        <w:trPr/>
        <w:tc>
          <w:tcPr>
            <w:tcW w:w="2750" w:type="dxa"/>
            <w:tcBorders/>
            <w:shd w:fill="CCEEFF" w:val="clear"/>
            <w:vAlign w:val="center"/>
          </w:tcPr>
          <w:p>
            <w:pPr>
              <w:pStyle w:val="TableContents"/>
              <w:bidi w:val="0"/>
              <w:spacing w:before="0" w:after="283"/>
              <w:jc w:val="left"/>
              <w:rPr/>
            </w:pPr>
            <w:r>
              <w:rPr/>
              <w:t>Wages/commissions payable</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6,910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6,726</w:t>
            </w:r>
          </w:p>
        </w:tc>
        <w:tc>
          <w:tcPr>
            <w:tcW w:w="75" w:type="dxa"/>
            <w:tcBorders/>
            <w:shd w:fill="CCEEFF" w:val="clear"/>
            <w:vAlign w:val="center"/>
          </w:tcPr>
          <w:p>
            <w:pPr>
              <w:pStyle w:val="TableContents"/>
              <w:bidi w:val="0"/>
              <w:spacing w:before="0" w:after="283"/>
              <w:jc w:val="left"/>
              <w:rPr/>
            </w:pPr>
            <w:r>
              <w:rPr/>
              <w:t> </w:t>
            </w:r>
            <w:bookmarkStart w:id="411" w:name="xdx_40E_eus-gaap--TaxesPayableCurrent_iI"/>
            <w:bookmarkEnd w:id="411"/>
          </w:p>
        </w:tc>
      </w:tr>
      <w:tr>
        <w:trPr/>
        <w:tc>
          <w:tcPr>
            <w:tcW w:w="2750"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2,183</w:t>
            </w:r>
          </w:p>
        </w:tc>
        <w:tc>
          <w:tcPr>
            <w:tcW w:w="75" w:type="dxa"/>
            <w:tcBorders/>
            <w:shd w:fill="FFFFFF" w:val="clear"/>
            <w:vAlign w:val="center"/>
          </w:tcPr>
          <w:p>
            <w:pPr>
              <w:pStyle w:val="TableContents"/>
              <w:bidi w:val="0"/>
              <w:spacing w:before="0" w:after="283"/>
              <w:jc w:val="left"/>
              <w:rPr/>
            </w:pPr>
            <w:r>
              <w:rPr/>
              <w:t> </w:t>
            </w:r>
            <w:bookmarkStart w:id="412" w:name="xdx_407_eus-gaap--OtherAccruedLiabilitie"/>
            <w:bookmarkEnd w:id="412"/>
          </w:p>
        </w:tc>
      </w:tr>
      <w:tr>
        <w:trPr/>
        <w:tc>
          <w:tcPr>
            <w:tcW w:w="2750" w:type="dxa"/>
            <w:tcBorders/>
            <w:shd w:fill="CCEEFF" w:val="clear"/>
            <w:vAlign w:val="center"/>
          </w:tcPr>
          <w:p>
            <w:pPr>
              <w:pStyle w:val="TableContents"/>
              <w:bidi w:val="0"/>
              <w:spacing w:before="0" w:after="283"/>
              <w:jc w:val="left"/>
              <w:rPr/>
            </w:pPr>
            <w:r>
              <w:rPr/>
              <w:t>Other accrued liabilities</w:t>
            </w:r>
          </w:p>
        </w:tc>
        <w:tc>
          <w:tcPr>
            <w:tcW w:w="60" w:type="dxa"/>
            <w:tcBorders/>
            <w:shd w:fill="CCEEFF" w:val="clear"/>
            <w:vAlign w:val="center"/>
          </w:tcPr>
          <w:p>
            <w:pPr>
              <w:pStyle w:val="TableContents"/>
              <w:bidi w:val="0"/>
              <w:spacing w:before="0" w:after="283"/>
              <w:jc w:val="left"/>
              <w:rPr/>
            </w:pPr>
            <w:r>
              <w:rPr/>
              <w:t> </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CCEEFF" w:val="clear"/>
            <w:tcMar>
              <w:bottom w:w="28" w:type="dxa"/>
            </w:tcMar>
            <w:vAlign w:val="center"/>
          </w:tcPr>
          <w:p>
            <w:pPr>
              <w:pStyle w:val="TableContents"/>
              <w:bidi w:val="0"/>
              <w:spacing w:before="0" w:after="283"/>
              <w:jc w:val="right"/>
              <w:rPr/>
            </w:pPr>
            <w:r>
              <w:rPr/>
              <w:t>477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21" w:type="dxa"/>
            <w:tcBorders>
              <w:bottom w:val="single" w:sz="8" w:space="0" w:color="000000"/>
            </w:tcBorders>
            <w:shd w:fill="CCEEFF" w:val="clear"/>
            <w:tcMar>
              <w:bottom w:w="28" w:type="dxa"/>
            </w:tcMar>
            <w:vAlign w:val="center"/>
          </w:tcPr>
          <w:p>
            <w:pPr>
              <w:pStyle w:val="TableContents"/>
              <w:bidi w:val="0"/>
              <w:spacing w:before="0" w:after="283"/>
              <w:jc w:val="right"/>
              <w:rPr/>
            </w:pPr>
            <w:r>
              <w:rPr/>
              <w:t>1,717</w:t>
            </w:r>
          </w:p>
        </w:tc>
        <w:tc>
          <w:tcPr>
            <w:tcW w:w="75" w:type="dxa"/>
            <w:tcBorders/>
            <w:shd w:fill="CCEEFF" w:val="clear"/>
            <w:vAlign w:val="center"/>
          </w:tcPr>
          <w:p>
            <w:pPr>
              <w:pStyle w:val="TableContents"/>
              <w:bidi w:val="0"/>
              <w:spacing w:before="0" w:after="283"/>
              <w:jc w:val="left"/>
              <w:rPr/>
            </w:pPr>
            <w:r>
              <w:rPr/>
              <w:t> </w:t>
            </w:r>
            <w:bookmarkStart w:id="413" w:name="xdx_40C_eus-gaap--AccruedLiabilitiesCurr"/>
            <w:bookmarkEnd w:id="413"/>
          </w:p>
        </w:tc>
      </w:tr>
      <w:tr>
        <w:trPr/>
        <w:tc>
          <w:tcPr>
            <w:tcW w:w="2750" w:type="dxa"/>
            <w:tcBorders/>
            <w:shd w:fill="FFFFFF" w:val="clear"/>
            <w:vAlign w:val="center"/>
          </w:tcPr>
          <w:p>
            <w:pPr>
              <w:pStyle w:val="TableContents"/>
              <w:bidi w:val="0"/>
              <w:spacing w:before="0" w:after="283"/>
              <w:jc w:val="left"/>
              <w:rPr/>
            </w:pPr>
            <w:r>
              <w:rPr/>
              <w:t>Accrued liabilities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7,481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621" w:type="dxa"/>
            <w:tcBorders>
              <w:bottom w:val="double" w:sz="6" w:space="0" w:color="000000"/>
            </w:tcBorders>
            <w:shd w:fill="FFFFFF" w:val="clear"/>
            <w:tcMar>
              <w:bottom w:w="28" w:type="dxa"/>
            </w:tcMar>
            <w:vAlign w:val="center"/>
          </w:tcPr>
          <w:p>
            <w:pPr>
              <w:pStyle w:val="TableContents"/>
              <w:bidi w:val="0"/>
              <w:spacing w:before="0" w:after="283"/>
              <w:jc w:val="right"/>
              <w:rPr/>
            </w:pPr>
            <w:r>
              <w:rPr/>
              <w:t>10,626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14" w:name="xdx_8A9_ziYVy23wDlEe"/>
      <w:bookmarkEnd w:id="414"/>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15" w:name="xdx_804_eus-gaap--DebtDisclosureTextBloc"/>
      <w:bookmarkEnd w:id="415"/>
      <w:r>
        <w:rPr>
          <w:rFonts w:ascii="Times New Roman;Times;Serif" w:hAnsi="Times New Roman;Times;Serif"/>
          <w:b/>
          <w:i w:val="false"/>
          <w:caps w:val="false"/>
          <w:smallCaps w:val="false"/>
          <w:sz w:val="20"/>
        </w:rPr>
        <w:t xml:space="preserve">(10) </w:t>
      </w:r>
      <w:bookmarkStart w:id="416" w:name="xdx_822_zBEjhuDn0nO3"/>
      <w:bookmarkEnd w:id="416"/>
      <w:r>
        <w:rPr>
          <w:rFonts w:ascii="Times New Roman;Times;Serif" w:hAnsi="Times New Roman;Times;Serif"/>
          <w:b/>
          <w:i w:val="false"/>
          <w:caps w:val="false"/>
          <w:smallCaps w:val="false"/>
          <w:sz w:val="20"/>
        </w:rPr>
        <w:t>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17" w:name="xdx_89E_eus-gaap--ScheduleOfDebtTableTex"/>
      <w:bookmarkEnd w:id="417"/>
      <w:r>
        <w:rPr>
          <w:rFonts w:ascii="Times New Roman;Times;Serif" w:hAnsi="Times New Roman;Times;Serif"/>
          <w:b w:val="false"/>
          <w:i w:val="false"/>
          <w:caps w:val="false"/>
          <w:smallCaps w:val="false"/>
          <w:sz w:val="20"/>
        </w:rPr>
        <w:t>Long-term debt consists of the following (in thousands):</w:t>
      </w:r>
    </w:p>
    <w:p>
      <w:pPr>
        <w:pStyle w:val="TextBody"/>
        <w:bidi w:val="0"/>
        <w:spacing w:before="0" w:after="0"/>
        <w:ind w:left="0" w:right="0" w:firstLine="720"/>
        <w:jc w:val="both"/>
        <w:rPr>
          <w:caps w:val="false"/>
          <w:smallCaps w:val="false"/>
        </w:rPr>
      </w:pPr>
      <w:r>
        <w:rPr>
          <w:caps w:val="false"/>
          <w:smallCaps w:val="false"/>
        </w:rPr>
        <w:t> </w:t>
      </w:r>
      <w:bookmarkStart w:id="418" w:name="xdx_8BB_zTG76v7SWwS6"/>
      <w:bookmarkEnd w:id="418"/>
      <w:r>
        <w:rPr>
          <w:rFonts w:ascii="Times New Roman;Times;Serif" w:hAnsi="Times New Roman;Times;Serif"/>
          <w:b w:val="false"/>
          <w:i w:val="false"/>
          <w:caps w:val="false"/>
          <w:smallCaps w:val="false"/>
          <w:sz w:val="20"/>
        </w:rPr>
        <w:t>Schedule of Long-term Debt </w:t>
      </w:r>
    </w:p>
    <w:tbl>
      <w:tblPr>
        <w:tblW w:w="10205" w:type="dxa"/>
        <w:jc w:val="left"/>
        <w:tblInd w:w="0" w:type="dxa"/>
        <w:tblLayout w:type="fixed"/>
        <w:tblCellMar>
          <w:top w:w="0" w:type="dxa"/>
          <w:left w:w="0" w:type="dxa"/>
          <w:bottom w:w="0" w:type="dxa"/>
          <w:right w:w="0" w:type="dxa"/>
        </w:tblCellMar>
      </w:tblPr>
      <w:tblGrid>
        <w:gridCol w:w="6592"/>
        <w:gridCol w:w="60"/>
        <w:gridCol w:w="235"/>
        <w:gridCol w:w="1146"/>
        <w:gridCol w:w="95"/>
        <w:gridCol w:w="60"/>
        <w:gridCol w:w="324"/>
        <w:gridCol w:w="1580"/>
        <w:gridCol w:w="113"/>
      </w:tblGrid>
      <w:tr>
        <w:trPr/>
        <w:tc>
          <w:tcPr>
            <w:tcW w:w="659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419" w:name="xdx_49A_20260630_zryLa07U5Vn6"/>
            <w:bookmarkEnd w:id="419"/>
          </w:p>
        </w:tc>
        <w:tc>
          <w:tcPr>
            <w:tcW w:w="13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20" w:name="xdx_499_20251231_zkzJYuQWklU6"/>
            <w:bookmarkEnd w:id="420"/>
          </w:p>
        </w:tc>
        <w:tc>
          <w:tcPr>
            <w:tcW w:w="1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113" w:type="dxa"/>
            <w:tcBorders/>
            <w:vAlign w:val="center"/>
          </w:tcPr>
          <w:p>
            <w:pPr>
              <w:pStyle w:val="TableContents"/>
              <w:bidi w:val="0"/>
              <w:spacing w:before="0" w:after="283"/>
              <w:jc w:val="left"/>
              <w:rPr/>
            </w:pPr>
            <w:r>
              <w:rPr/>
              <w:t> </w:t>
            </w:r>
            <w:bookmarkStart w:id="421" w:name="xdx_40F_eus-gaap--LongTermLineOfCredit_i"/>
            <w:bookmarkEnd w:id="421"/>
          </w:p>
        </w:tc>
      </w:tr>
      <w:tr>
        <w:trPr/>
        <w:tc>
          <w:tcPr>
            <w:tcW w:w="6592" w:type="dxa"/>
            <w:tcBorders/>
            <w:shd w:fill="CCEEFF" w:val="clear"/>
            <w:vAlign w:val="center"/>
          </w:tcPr>
          <w:p>
            <w:pPr>
              <w:pStyle w:val="TableContents"/>
              <w:bidi w:val="0"/>
              <w:spacing w:before="0" w:after="283"/>
              <w:jc w:val="left"/>
              <w:rPr/>
            </w:pPr>
            <w:r>
              <w:rPr/>
              <w:t>Amounts due under term loan</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10,229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w:t>
            </w:r>
          </w:p>
        </w:tc>
        <w:tc>
          <w:tcPr>
            <w:tcW w:w="1580" w:type="dxa"/>
            <w:tcBorders/>
            <w:shd w:fill="CCEEFF" w:val="clear"/>
            <w:vAlign w:val="center"/>
          </w:tcPr>
          <w:p>
            <w:pPr>
              <w:pStyle w:val="TableContents"/>
              <w:bidi w:val="0"/>
              <w:spacing w:before="0" w:after="283"/>
              <w:jc w:val="right"/>
              <w:rPr/>
            </w:pPr>
            <w:r>
              <w:rPr/>
              <w:t>14,000</w:t>
            </w:r>
          </w:p>
        </w:tc>
        <w:tc>
          <w:tcPr>
            <w:tcW w:w="113" w:type="dxa"/>
            <w:tcBorders/>
            <w:shd w:fill="CCEEFF" w:val="clear"/>
            <w:vAlign w:val="center"/>
          </w:tcPr>
          <w:p>
            <w:pPr>
              <w:pStyle w:val="TableContents"/>
              <w:bidi w:val="0"/>
              <w:spacing w:before="0" w:after="283"/>
              <w:jc w:val="left"/>
              <w:rPr/>
            </w:pPr>
            <w:r>
              <w:rPr/>
              <w:t> </w:t>
            </w:r>
            <w:bookmarkStart w:id="422" w:name="xdx_400_eus-gaap--LongTermLoansPayable_i"/>
            <w:bookmarkEnd w:id="422"/>
          </w:p>
        </w:tc>
      </w:tr>
      <w:tr>
        <w:trPr/>
        <w:tc>
          <w:tcPr>
            <w:tcW w:w="6592" w:type="dxa"/>
            <w:tcBorders/>
            <w:shd w:fill="FFFFFF" w:val="clear"/>
            <w:vAlign w:val="center"/>
          </w:tcPr>
          <w:p>
            <w:pPr>
              <w:pStyle w:val="TableContents"/>
              <w:bidi w:val="0"/>
              <w:spacing w:before="0" w:after="283"/>
              <w:jc w:val="left"/>
              <w:rPr/>
            </w:pPr>
            <w:r>
              <w:rPr/>
              <w:t>Accrued end-of-term payments</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988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4" w:type="dxa"/>
            <w:tcBorders/>
            <w:shd w:fill="FFFFFF" w:val="clear"/>
            <w:vAlign w:val="center"/>
          </w:tcPr>
          <w:p>
            <w:pPr>
              <w:pStyle w:val="TableContents"/>
              <w:bidi w:val="0"/>
              <w:spacing w:before="0" w:after="283"/>
              <w:jc w:val="left"/>
              <w:rPr/>
            </w:pPr>
            <w:r>
              <w:rPr/>
              <w:t> </w:t>
            </w:r>
          </w:p>
        </w:tc>
        <w:tc>
          <w:tcPr>
            <w:tcW w:w="1580" w:type="dxa"/>
            <w:tcBorders/>
            <w:shd w:fill="FFFFFF" w:val="clear"/>
            <w:vAlign w:val="center"/>
          </w:tcPr>
          <w:p>
            <w:pPr>
              <w:pStyle w:val="TableContents"/>
              <w:bidi w:val="0"/>
              <w:spacing w:before="0" w:after="283"/>
              <w:jc w:val="right"/>
              <w:rPr/>
            </w:pPr>
            <w:r>
              <w:rPr/>
              <w:t>817</w:t>
            </w:r>
          </w:p>
        </w:tc>
        <w:tc>
          <w:tcPr>
            <w:tcW w:w="113" w:type="dxa"/>
            <w:tcBorders/>
            <w:shd w:fill="FFFFFF" w:val="clear"/>
            <w:vAlign w:val="center"/>
          </w:tcPr>
          <w:p>
            <w:pPr>
              <w:pStyle w:val="TableContents"/>
              <w:bidi w:val="0"/>
              <w:spacing w:before="0" w:after="283"/>
              <w:jc w:val="left"/>
              <w:rPr/>
            </w:pPr>
            <w:r>
              <w:rPr/>
              <w:t> </w:t>
            </w:r>
            <w:bookmarkStart w:id="423" w:name="xdx_40C_eus-gaap--UnamortizedDebtIssuanc"/>
            <w:bookmarkEnd w:id="423"/>
          </w:p>
        </w:tc>
      </w:tr>
      <w:tr>
        <w:trPr/>
        <w:tc>
          <w:tcPr>
            <w:tcW w:w="6592" w:type="dxa"/>
            <w:tcBorders/>
            <w:shd w:fill="CCEEFF" w:val="clear"/>
            <w:vAlign w:val="center"/>
          </w:tcPr>
          <w:p>
            <w:pPr>
              <w:pStyle w:val="TableContents"/>
              <w:bidi w:val="0"/>
              <w:spacing w:before="0" w:after="283"/>
              <w:jc w:val="left"/>
              <w:rPr/>
            </w:pPr>
            <w:r>
              <w:rPr/>
              <w:t>Less: unamortized debt issuance costs</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1146" w:type="dxa"/>
            <w:tcBorders/>
            <w:shd w:fill="CCEEFF" w:val="clear"/>
            <w:vAlign w:val="center"/>
          </w:tcPr>
          <w:p>
            <w:pPr>
              <w:pStyle w:val="TableContents"/>
              <w:bidi w:val="0"/>
              <w:spacing w:before="0" w:after="283"/>
              <w:jc w:val="right"/>
              <w:rPr/>
            </w:pPr>
            <w:r>
              <w:rPr/>
              <w:t>(210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24" w:type="dxa"/>
            <w:tcBorders/>
            <w:shd w:fill="CCEEFF" w:val="clear"/>
            <w:vAlign w:val="center"/>
          </w:tcPr>
          <w:p>
            <w:pPr>
              <w:pStyle w:val="TableContents"/>
              <w:bidi w:val="0"/>
              <w:spacing w:before="0" w:after="283"/>
              <w:jc w:val="left"/>
              <w:rPr/>
            </w:pPr>
            <w:r>
              <w:rPr/>
              <w:t> </w:t>
            </w:r>
          </w:p>
        </w:tc>
        <w:tc>
          <w:tcPr>
            <w:tcW w:w="1580" w:type="dxa"/>
            <w:tcBorders/>
            <w:shd w:fill="CCEEFF" w:val="clear"/>
            <w:vAlign w:val="center"/>
          </w:tcPr>
          <w:p>
            <w:pPr>
              <w:pStyle w:val="TableContents"/>
              <w:bidi w:val="0"/>
              <w:spacing w:before="0" w:after="283"/>
              <w:jc w:val="right"/>
              <w:rPr/>
            </w:pPr>
            <w:r>
              <w:rPr/>
              <w:t>(291</w:t>
            </w:r>
          </w:p>
        </w:tc>
        <w:tc>
          <w:tcPr>
            <w:tcW w:w="113" w:type="dxa"/>
            <w:tcBorders/>
            <w:shd w:fill="CCEEFF" w:val="clear"/>
            <w:vAlign w:val="center"/>
          </w:tcPr>
          <w:p>
            <w:pPr>
              <w:pStyle w:val="TableContents"/>
              <w:bidi w:val="0"/>
              <w:spacing w:before="0" w:after="283"/>
              <w:jc w:val="left"/>
              <w:rPr/>
            </w:pPr>
            <w:r>
              <w:rPr/>
              <w:t>)</w:t>
            </w:r>
            <w:bookmarkStart w:id="424" w:name="xdx_406_eus-gaap--LongTermDebtCurrent_iN"/>
            <w:bookmarkEnd w:id="424"/>
          </w:p>
        </w:tc>
      </w:tr>
      <w:tr>
        <w:trPr/>
        <w:tc>
          <w:tcPr>
            <w:tcW w:w="6592" w:type="dxa"/>
            <w:tcBorders/>
            <w:shd w:fill="FFFFFF" w:val="clear"/>
            <w:vAlign w:val="center"/>
          </w:tcPr>
          <w:p>
            <w:pPr>
              <w:pStyle w:val="TableContents"/>
              <w:bidi w:val="0"/>
              <w:spacing w:before="0" w:after="283"/>
              <w:jc w:val="left"/>
              <w:rPr/>
            </w:pPr>
            <w:r>
              <w:rPr/>
              <w:t>Less: current portion of long-term debt</w:t>
            </w:r>
          </w:p>
        </w:tc>
        <w:tc>
          <w:tcPr>
            <w:tcW w:w="60" w:type="dxa"/>
            <w:tcBorders/>
            <w:shd w:fill="FFFFFF" w:val="clear"/>
            <w:vAlign w:val="center"/>
          </w:tcPr>
          <w:p>
            <w:pPr>
              <w:pStyle w:val="TableContents"/>
              <w:bidi w:val="0"/>
              <w:spacing w:before="0" w:after="283"/>
              <w:jc w:val="left"/>
              <w:rPr/>
            </w:pPr>
            <w:r>
              <w:rPr/>
              <w:t> </w:t>
            </w:r>
          </w:p>
        </w:tc>
        <w:tc>
          <w:tcPr>
            <w:tcW w:w="2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FFFFFF" w:val="clear"/>
            <w:tcMar>
              <w:bottom w:w="28" w:type="dxa"/>
            </w:tcMar>
            <w:vAlign w:val="center"/>
          </w:tcPr>
          <w:p>
            <w:pPr>
              <w:pStyle w:val="TableContents"/>
              <w:bidi w:val="0"/>
              <w:spacing w:before="0" w:after="283"/>
              <w:jc w:val="right"/>
              <w:rPr/>
            </w:pPr>
            <w:r>
              <w:rPr/>
              <w:t>(3,720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80" w:type="dxa"/>
            <w:tcBorders>
              <w:bottom w:val="single" w:sz="8" w:space="0" w:color="000000"/>
            </w:tcBorders>
            <w:shd w:fill="FFFFFF" w:val="clear"/>
            <w:tcMar>
              <w:bottom w:w="28" w:type="dxa"/>
            </w:tcMar>
            <w:vAlign w:val="center"/>
          </w:tcPr>
          <w:p>
            <w:pPr>
              <w:pStyle w:val="TableContents"/>
              <w:bidi w:val="0"/>
              <w:spacing w:before="0" w:after="283"/>
              <w:jc w:val="right"/>
              <w:rPr/>
            </w:pPr>
            <w:r>
              <w:rPr/>
              <w:t>(3,500</w:t>
            </w:r>
          </w:p>
        </w:tc>
        <w:tc>
          <w:tcPr>
            <w:tcW w:w="113" w:type="dxa"/>
            <w:tcBorders/>
            <w:shd w:fill="FFFFFF" w:val="clear"/>
            <w:vAlign w:val="center"/>
          </w:tcPr>
          <w:p>
            <w:pPr>
              <w:pStyle w:val="TableContents"/>
              <w:bidi w:val="0"/>
              <w:spacing w:before="0" w:after="283"/>
              <w:jc w:val="left"/>
              <w:rPr/>
            </w:pPr>
            <w:r>
              <w:rPr/>
              <w:t>)</w:t>
            </w:r>
            <w:bookmarkStart w:id="425" w:name="xdx_40D_eus-gaap--LongTermDebt_iTI_pn3n3"/>
            <w:bookmarkEnd w:id="425"/>
          </w:p>
        </w:tc>
      </w:tr>
      <w:tr>
        <w:trPr/>
        <w:tc>
          <w:tcPr>
            <w:tcW w:w="6592" w:type="dxa"/>
            <w:tcBorders/>
            <w:shd w:fill="CCEEFF" w:val="clear"/>
            <w:vAlign w:val="center"/>
          </w:tcPr>
          <w:p>
            <w:pPr>
              <w:pStyle w:val="TableContents"/>
              <w:bidi w:val="0"/>
              <w:spacing w:before="0" w:after="283"/>
              <w:jc w:val="left"/>
              <w:rPr/>
            </w:pPr>
            <w:r>
              <w:rPr/>
              <w:t>Long-term debt, less issuance costs and current portion of long-term debt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46" w:type="dxa"/>
            <w:tcBorders>
              <w:bottom w:val="double" w:sz="6" w:space="0" w:color="000000"/>
            </w:tcBorders>
            <w:shd w:fill="CCEEFF" w:val="clear"/>
            <w:tcMar>
              <w:bottom w:w="28" w:type="dxa"/>
            </w:tcMar>
            <w:vAlign w:val="center"/>
          </w:tcPr>
          <w:p>
            <w:pPr>
              <w:pStyle w:val="TableContents"/>
              <w:bidi w:val="0"/>
              <w:spacing w:before="0" w:after="283"/>
              <w:jc w:val="right"/>
              <w:rPr/>
            </w:pPr>
            <w:r>
              <w:rPr/>
              <w:t>7,287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80" w:type="dxa"/>
            <w:tcBorders>
              <w:bottom w:val="double" w:sz="6" w:space="0" w:color="000000"/>
            </w:tcBorders>
            <w:shd w:fill="CCEEFF" w:val="clear"/>
            <w:tcMar>
              <w:bottom w:w="28" w:type="dxa"/>
            </w:tcMar>
            <w:vAlign w:val="center"/>
          </w:tcPr>
          <w:p>
            <w:pPr>
              <w:pStyle w:val="TableContents"/>
              <w:bidi w:val="0"/>
              <w:spacing w:before="0" w:after="283"/>
              <w:jc w:val="right"/>
              <w:rPr/>
            </w:pPr>
            <w:r>
              <w:rPr/>
              <w:t>11,026</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26" w:name="xdx_8A6_zyrJMpkoWps"/>
      <w:bookmarkEnd w:id="426"/>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27" w:name="xdx_895_ecustom--ScheduleOfPrincipalPaym"/>
      <w:bookmarkEnd w:id="427"/>
      <w:r>
        <w:rPr>
          <w:rFonts w:ascii="Times New Roman;Times;Serif" w:hAnsi="Times New Roman;Times;Serif"/>
          <w:b w:val="false"/>
          <w:i w:val="false"/>
          <w:caps w:val="false"/>
          <w:smallCaps w:val="false"/>
          <w:sz w:val="20"/>
        </w:rPr>
        <w:t>As of June 30, 2026, scheduled principal payments for our term credit agreement are as follows (in thousands):</w:t>
      </w:r>
    </w:p>
    <w:p>
      <w:pPr>
        <w:pStyle w:val="TextBody"/>
        <w:bidi w:val="0"/>
        <w:spacing w:before="0" w:after="0"/>
        <w:ind w:left="0" w:right="0" w:firstLine="720"/>
        <w:jc w:val="both"/>
        <w:rPr>
          <w:caps w:val="false"/>
          <w:smallCaps w:val="false"/>
        </w:rPr>
      </w:pPr>
      <w:r>
        <w:rPr>
          <w:caps w:val="false"/>
          <w:smallCaps w:val="false"/>
        </w:rPr>
        <w:t> </w:t>
      </w:r>
      <w:bookmarkStart w:id="428" w:name="xdx_8B6_z6cDHTTRsOc7"/>
      <w:bookmarkEnd w:id="428"/>
      <w:r>
        <w:rPr>
          <w:rFonts w:ascii="Times New Roman;Times;Serif" w:hAnsi="Times New Roman;Times;Serif"/>
          <w:b w:val="false"/>
          <w:i w:val="false"/>
          <w:caps w:val="false"/>
          <w:smallCaps w:val="false"/>
          <w:sz w:val="20"/>
        </w:rPr>
        <w:t>Schedule of Principal Payments </w:t>
      </w:r>
    </w:p>
    <w:tbl>
      <w:tblPr>
        <w:tblW w:w="6269" w:type="dxa"/>
        <w:jc w:val="left"/>
        <w:tblInd w:w="0" w:type="dxa"/>
        <w:tblLayout w:type="fixed"/>
        <w:tblCellMar>
          <w:top w:w="0" w:type="dxa"/>
          <w:left w:w="0" w:type="dxa"/>
          <w:bottom w:w="28" w:type="dxa"/>
          <w:right w:w="0" w:type="dxa"/>
        </w:tblCellMar>
      </w:tblPr>
      <w:tblGrid>
        <w:gridCol w:w="1865"/>
        <w:gridCol w:w="60"/>
        <w:gridCol w:w="857"/>
        <w:gridCol w:w="2327"/>
        <w:gridCol w:w="60"/>
        <w:gridCol w:w="60"/>
        <w:gridCol w:w="193"/>
        <w:gridCol w:w="772"/>
        <w:gridCol w:w="75"/>
      </w:tblGrid>
      <w:tr>
        <w:trPr/>
        <w:tc>
          <w:tcPr>
            <w:tcW w:w="1865" w:type="dxa"/>
            <w:tcBorders>
              <w:bottom w:val="single" w:sz="8" w:space="0" w:color="000000"/>
            </w:tcBorders>
            <w:vAlign w:val="center"/>
          </w:tcPr>
          <w:p>
            <w:pPr>
              <w:pStyle w:val="TableContents"/>
              <w:bidi w:val="0"/>
              <w:spacing w:before="0" w:after="283"/>
              <w:jc w:val="center"/>
              <w:rPr>
                <w:b/>
              </w:rPr>
            </w:pPr>
            <w:r>
              <w:rPr>
                <w:b/>
              </w:rPr>
              <w:t>Period</w:t>
            </w:r>
          </w:p>
        </w:tc>
        <w:tc>
          <w:tcPr>
            <w:tcW w:w="60" w:type="dxa"/>
            <w:tcBorders/>
            <w:tcMar>
              <w:bottom w:w="0" w:type="dxa"/>
            </w:tcMar>
            <w:vAlign w:val="center"/>
          </w:tcPr>
          <w:p>
            <w:pPr>
              <w:pStyle w:val="TableContents"/>
              <w:bidi w:val="0"/>
              <w:spacing w:before="0" w:after="283"/>
              <w:jc w:val="left"/>
              <w:rPr/>
            </w:pPr>
            <w:r>
              <w:rPr/>
              <w:t> </w:t>
            </w:r>
          </w:p>
        </w:tc>
        <w:tc>
          <w:tcPr>
            <w:tcW w:w="3184" w:type="dxa"/>
            <w:gridSpan w:val="2"/>
            <w:tcBorders>
              <w:bottom w:val="single" w:sz="8" w:space="0" w:color="000000"/>
            </w:tcBorders>
            <w:vAlign w:val="center"/>
          </w:tcPr>
          <w:p>
            <w:pPr>
              <w:pStyle w:val="TableContents"/>
              <w:bidi w:val="0"/>
              <w:spacing w:before="0" w:after="283"/>
              <w:jc w:val="center"/>
              <w:rPr>
                <w:b/>
              </w:rPr>
            </w:pPr>
            <w:r>
              <w:rPr>
                <w:b/>
              </w:rPr>
              <w:t>Scheduled Quarterly Payments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rPr>
            </w:pPr>
            <w:r>
              <w:rPr>
                <w:b/>
              </w:rPr>
              <w:t>Annually</w:t>
            </w:r>
          </w:p>
        </w:tc>
        <w:tc>
          <w:tcPr>
            <w:tcW w:w="75" w:type="dxa"/>
            <w:tcBorders/>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both"/>
              <w:rPr/>
            </w:pPr>
            <w:r>
              <w:rPr/>
              <w:t>Remainder of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w:t>
            </w:r>
            <w:bookmarkStart w:id="429" w:name="xdx_981_eus-gaap--DebtInstrumentPeriodic"/>
            <w:bookmarkEnd w:id="429"/>
          </w:p>
        </w:tc>
        <w:tc>
          <w:tcPr>
            <w:tcW w:w="2327" w:type="dxa"/>
            <w:tcBorders/>
            <w:shd w:fill="CCEEFF" w:val="clear"/>
            <w:tcMar>
              <w:bottom w:w="0" w:type="dxa"/>
            </w:tcMar>
            <w:vAlign w:val="center"/>
          </w:tcPr>
          <w:p>
            <w:pPr>
              <w:pStyle w:val="TableContents"/>
              <w:bidi w:val="0"/>
              <w:spacing w:before="0" w:after="283"/>
              <w:jc w:val="right"/>
              <w:rPr/>
            </w:pPr>
            <w:r>
              <w:rPr/>
              <w:t>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w:t>
            </w:r>
            <w:bookmarkStart w:id="430" w:name="xdx_986_eus-gaap--DebtInstrumentAnnualPr"/>
            <w:bookmarkEnd w:id="430"/>
          </w:p>
        </w:tc>
        <w:tc>
          <w:tcPr>
            <w:tcW w:w="772" w:type="dxa"/>
            <w:tcBorders/>
            <w:shd w:fill="CCEEFF" w:val="clear"/>
            <w:tcMar>
              <w:bottom w:w="0" w:type="dxa"/>
            </w:tcMar>
            <w:vAlign w:val="center"/>
          </w:tcPr>
          <w:p>
            <w:pPr>
              <w:pStyle w:val="TableContents"/>
              <w:bidi w:val="0"/>
              <w:spacing w:before="0" w:after="283"/>
              <w:jc w:val="right"/>
              <w:rPr/>
            </w:pPr>
            <w:r>
              <w:rPr/>
              <w:t>1,860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both"/>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bookmarkStart w:id="431" w:name="xdx_98B_eus-gaap--DebtInstrumentPeriodic"/>
            <w:bookmarkEnd w:id="431"/>
          </w:p>
        </w:tc>
        <w:tc>
          <w:tcPr>
            <w:tcW w:w="2327" w:type="dxa"/>
            <w:tcBorders/>
            <w:shd w:fill="FFFFFF" w:val="clear"/>
            <w:tcMar>
              <w:bottom w:w="0" w:type="dxa"/>
            </w:tcMar>
            <w:vAlign w:val="center"/>
          </w:tcPr>
          <w:p>
            <w:pPr>
              <w:pStyle w:val="TableContents"/>
              <w:bidi w:val="0"/>
              <w:spacing w:before="0" w:after="283"/>
              <w:jc w:val="right"/>
              <w:rPr/>
            </w:pPr>
            <w:r>
              <w:rPr/>
              <w:t>930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bookmarkStart w:id="432" w:name="xdx_987_eus-gaap--DebtInstrumentAnnualPr"/>
            <w:bookmarkEnd w:id="432"/>
          </w:p>
        </w:tc>
        <w:tc>
          <w:tcPr>
            <w:tcW w:w="772" w:type="dxa"/>
            <w:tcBorders/>
            <w:shd w:fill="FFFFFF" w:val="clear"/>
            <w:tcMar>
              <w:bottom w:w="0" w:type="dxa"/>
            </w:tcMar>
            <w:vAlign w:val="center"/>
          </w:tcPr>
          <w:p>
            <w:pPr>
              <w:pStyle w:val="TableContents"/>
              <w:bidi w:val="0"/>
              <w:spacing w:before="0" w:after="283"/>
              <w:jc w:val="right"/>
              <w:rPr/>
            </w:pPr>
            <w:r>
              <w:rPr/>
              <w:t>3,720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65" w:type="dxa"/>
            <w:tcBorders/>
            <w:shd w:fill="CCEEFF" w:val="clear"/>
            <w:tcMar>
              <w:bottom w:w="0" w:type="dxa"/>
            </w:tcMar>
            <w:vAlign w:val="center"/>
          </w:tcPr>
          <w:p>
            <w:pPr>
              <w:pStyle w:val="TableContents"/>
              <w:bidi w:val="0"/>
              <w:spacing w:before="0" w:after="283"/>
              <w:jc w:val="both"/>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857" w:type="dxa"/>
            <w:tcBorders/>
            <w:shd w:fill="CCEEFF" w:val="clear"/>
            <w:tcMar>
              <w:bottom w:w="0" w:type="dxa"/>
            </w:tcMar>
            <w:vAlign w:val="center"/>
          </w:tcPr>
          <w:p>
            <w:pPr>
              <w:pStyle w:val="TableContents"/>
              <w:bidi w:val="0"/>
              <w:spacing w:before="0" w:after="283"/>
              <w:jc w:val="left"/>
              <w:rPr/>
            </w:pPr>
            <w:r>
              <w:rPr/>
              <w:t> </w:t>
            </w:r>
            <w:bookmarkStart w:id="433" w:name="xdx_98B_eus-gaap--DebtInstrumentPeriodic"/>
            <w:bookmarkEnd w:id="433"/>
          </w:p>
        </w:tc>
        <w:tc>
          <w:tcPr>
            <w:tcW w:w="2327" w:type="dxa"/>
            <w:tcBorders/>
            <w:shd w:fill="CCEEFF" w:val="clear"/>
            <w:tcMar>
              <w:bottom w:w="0" w:type="dxa"/>
            </w:tcMar>
            <w:vAlign w:val="center"/>
          </w:tcPr>
          <w:p>
            <w:pPr>
              <w:pStyle w:val="TableContents"/>
              <w:bidi w:val="0"/>
              <w:spacing w:before="0" w:after="283"/>
              <w:jc w:val="right"/>
              <w:rPr/>
            </w:pPr>
            <w:r>
              <w:rPr/>
              <w:t>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3" w:type="dxa"/>
            <w:tcBorders/>
            <w:shd w:fill="CCEEFF" w:val="clear"/>
            <w:tcMar>
              <w:bottom w:w="0" w:type="dxa"/>
            </w:tcMar>
            <w:vAlign w:val="center"/>
          </w:tcPr>
          <w:p>
            <w:pPr>
              <w:pStyle w:val="TableContents"/>
              <w:bidi w:val="0"/>
              <w:spacing w:before="0" w:after="283"/>
              <w:jc w:val="left"/>
              <w:rPr/>
            </w:pPr>
            <w:r>
              <w:rPr/>
              <w:t> </w:t>
            </w:r>
            <w:bookmarkStart w:id="434" w:name="xdx_983_eus-gaap--DebtInstrumentAnnualPr"/>
            <w:bookmarkEnd w:id="434"/>
          </w:p>
        </w:tc>
        <w:tc>
          <w:tcPr>
            <w:tcW w:w="772" w:type="dxa"/>
            <w:tcBorders/>
            <w:shd w:fill="CCEEFF" w:val="clear"/>
            <w:tcMar>
              <w:bottom w:w="0" w:type="dxa"/>
            </w:tcMar>
            <w:vAlign w:val="center"/>
          </w:tcPr>
          <w:p>
            <w:pPr>
              <w:pStyle w:val="TableContents"/>
              <w:bidi w:val="0"/>
              <w:spacing w:before="0" w:after="283"/>
              <w:jc w:val="right"/>
              <w:rPr/>
            </w:pPr>
            <w:r>
              <w:rPr/>
              <w:t>3,720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65" w:type="dxa"/>
            <w:tcBorders/>
            <w:shd w:fill="FFFFFF" w:val="clear"/>
            <w:tcMar>
              <w:bottom w:w="0" w:type="dxa"/>
            </w:tcMar>
            <w:vAlign w:val="center"/>
          </w:tcPr>
          <w:p>
            <w:pPr>
              <w:pStyle w:val="TableContents"/>
              <w:bidi w:val="0"/>
              <w:spacing w:before="0" w:after="283"/>
              <w:jc w:val="both"/>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857" w:type="dxa"/>
            <w:tcBorders/>
            <w:shd w:fill="FFFFFF" w:val="clear"/>
            <w:tcMar>
              <w:bottom w:w="0" w:type="dxa"/>
            </w:tcMar>
            <w:vAlign w:val="center"/>
          </w:tcPr>
          <w:p>
            <w:pPr>
              <w:pStyle w:val="TableContents"/>
              <w:bidi w:val="0"/>
              <w:spacing w:before="0" w:after="283"/>
              <w:jc w:val="left"/>
              <w:rPr/>
            </w:pPr>
            <w:r>
              <w:rPr/>
              <w:t> </w:t>
            </w:r>
            <w:bookmarkStart w:id="435" w:name="xdx_983_eus-gaap--DebtInstrumentPeriodic"/>
            <w:bookmarkEnd w:id="435"/>
          </w:p>
        </w:tc>
        <w:tc>
          <w:tcPr>
            <w:tcW w:w="2327" w:type="dxa"/>
            <w:tcBorders/>
            <w:shd w:fill="FFFFFF" w:val="clear"/>
            <w:tcMar>
              <w:bottom w:w="0" w:type="dxa"/>
            </w:tcMar>
            <w:vAlign w:val="center"/>
          </w:tcPr>
          <w:p>
            <w:pPr>
              <w:pStyle w:val="TableContents"/>
              <w:bidi w:val="0"/>
              <w:spacing w:before="0" w:after="283"/>
              <w:jc w:val="right"/>
              <w:rPr/>
            </w:pPr>
            <w:r>
              <w:rPr/>
              <w:t>930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3" w:type="dxa"/>
            <w:tcBorders/>
            <w:shd w:fill="FFFFFF" w:val="clear"/>
            <w:tcMar>
              <w:bottom w:w="0" w:type="dxa"/>
            </w:tcMar>
            <w:vAlign w:val="center"/>
          </w:tcPr>
          <w:p>
            <w:pPr>
              <w:pStyle w:val="TableContents"/>
              <w:bidi w:val="0"/>
              <w:spacing w:before="0" w:after="283"/>
              <w:jc w:val="left"/>
              <w:rPr/>
            </w:pPr>
            <w:r>
              <w:rPr/>
              <w:t> </w:t>
            </w:r>
            <w:bookmarkStart w:id="436" w:name="xdx_98A_eus-gaap--DebtInstrumentAnnualPr"/>
            <w:bookmarkEnd w:id="436"/>
          </w:p>
        </w:tc>
        <w:tc>
          <w:tcPr>
            <w:tcW w:w="772" w:type="dxa"/>
            <w:tcBorders/>
            <w:shd w:fill="FFFFFF" w:val="clear"/>
            <w:tcMar>
              <w:bottom w:w="0" w:type="dxa"/>
            </w:tcMar>
            <w:vAlign w:val="center"/>
          </w:tcPr>
          <w:p>
            <w:pPr>
              <w:pStyle w:val="TableContents"/>
              <w:bidi w:val="0"/>
              <w:spacing w:before="0" w:after="283"/>
              <w:jc w:val="right"/>
              <w:rPr/>
            </w:pPr>
            <w:r>
              <w:rPr/>
              <w:t>930</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437" w:name="xdx_8AD_zYdhDVQcXSVh"/>
      <w:bookmarkEnd w:id="437"/>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 effective rate of the term loan under our term credit agreement, inclusive of amortization of debt issuance costs and accretion of the final payment, was </w:t>
      </w:r>
      <w:bookmarkStart w:id="438" w:name="xdx_907_eus-gaap--LineOfCreditFacilityIn"/>
      <w:bookmarkEnd w:id="438"/>
      <w:r>
        <w:rPr>
          <w:rFonts w:ascii="Times New Roman;Times;Serif" w:hAnsi="Times New Roman;Times;Serif"/>
          <w:b w:val="false"/>
          <w:i w:val="false"/>
          <w:caps w:val="false"/>
          <w:smallCaps w:val="false"/>
          <w:sz w:val="20"/>
        </w:rPr>
        <w:t xml:space="preserve">14.74%, and the effective rate of the revolving loan under our revolving credit agreement was </w:t>
      </w:r>
      <w:bookmarkStart w:id="439" w:name="xdx_90A_eus-gaap--LineOfCreditFacilityIn"/>
      <w:bookmarkEnd w:id="439"/>
      <w:r>
        <w:rPr>
          <w:rFonts w:ascii="Times New Roman;Times;Serif" w:hAnsi="Times New Roman;Times;Serif"/>
          <w:b w:val="false"/>
          <w:i w:val="false"/>
          <w:caps w:val="false"/>
          <w:smallCaps w:val="false"/>
          <w:sz w:val="20"/>
        </w:rPr>
        <w:t>8.23%. As of June 30, 2026, we had $</w:t>
      </w:r>
      <w:bookmarkStart w:id="440" w:name="xdx_909_eus-gaap--LineOfCredit_iI_pn5n6_"/>
      <w:bookmarkEnd w:id="440"/>
      <w:r>
        <w:rPr>
          <w:rFonts w:ascii="Times New Roman;Times;Serif" w:hAnsi="Times New Roman;Times;Serif"/>
          <w:b w:val="false"/>
          <w:i w:val="false"/>
          <w:caps w:val="false"/>
          <w:smallCaps w:val="false"/>
          <w:sz w:val="20"/>
        </w:rPr>
        <w:t>12.0 million outstanding and $</w:t>
      </w:r>
      <w:bookmarkStart w:id="441" w:name="xdx_904_eus-gaap--LineOfCreditFacilityRe"/>
      <w:bookmarkEnd w:id="441"/>
      <w:r>
        <w:rPr>
          <w:rFonts w:ascii="Times New Roman;Times;Serif" w:hAnsi="Times New Roman;Times;Serif"/>
          <w:b w:val="false"/>
          <w:i w:val="false"/>
          <w:caps w:val="false"/>
          <w:smallCaps w:val="false"/>
          <w:sz w:val="20"/>
        </w:rPr>
        <w:t>0.7 million of availability under our revolving credit facility.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agreements contain affirmative and negative covenants customarily applicable to senior secured credit facilities, including covenants that, among other things, limit or restrict the ability of certain subsidiaries of the Company, as borrowers (the “Borrowers”),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their businesses. In addition, the credit agreements require the Borrowers and the Company to maintain net product revenue at or above minimum levels and to maintain a certain minimum liquidity level, in each case as specified in the credit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we entered into Amendment No. 4 to Amended and Restated Credit, Security and Guaranty Agreement (Term Loan) with MidCap Financial Trust and Amendment No. 4 to Amended and Restated Credit, Security and Guaranty Agreement (Revolving Loan) with MidCap Funding IV Trust pursuant to which we eliminated the requirement to comply with the minimum net revenue covenant for fourth quarter of 2025, adjusted the amortization of the term loan to have amortization calculated off the amount of principal outstanding when amortization payments start instead of the original principal amount of the term loan, and revised the minimum net revenue covenant to align solely with revenue generated from the orthobiologics products and correspondingly adjust the minimum net revenue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we entered into Amendment No. 5 to Amended and Restated Credit, Security and Guaranty Agreement (Term Loan) with MidCap Financial Trust and Amendment No. 5 to Amended and Restated Credit, Security and Guaranty Agreement (Revolving Loan) with MidCap Funding IV Trust (collectively, the “Amendment No. 5s”) pursuant to which we eliminated the requirement to comply with the minimum net revenue covenant for second quarter of 2026, adjusted the amortization of the term loan to increase quarterly principal payments by $</w:t>
      </w:r>
      <w:bookmarkStart w:id="442" w:name="xdx_90D_eus-gaap--DebtInstrumentPeriodic"/>
      <w:bookmarkEnd w:id="442"/>
      <w:r>
        <w:rPr>
          <w:rFonts w:ascii="Times New Roman;Times;Serif" w:hAnsi="Times New Roman;Times;Serif"/>
          <w:b w:val="false"/>
          <w:i w:val="false"/>
          <w:caps w:val="false"/>
          <w:smallCaps w:val="false"/>
          <w:sz w:val="20"/>
        </w:rPr>
        <w:t>0.15 million in the fourth quarter of 2026 and increased quarterly principal payments by $</w:t>
      </w:r>
      <w:bookmarkStart w:id="443" w:name="xdx_906_eus-gaap--DebtInstrumentPeriodic"/>
      <w:bookmarkEnd w:id="443"/>
      <w:r>
        <w:rPr>
          <w:rFonts w:ascii="Times New Roman;Times;Serif" w:hAnsi="Times New Roman;Times;Serif"/>
          <w:b w:val="false"/>
          <w:i w:val="false"/>
          <w:caps w:val="false"/>
          <w:smallCaps w:val="false"/>
          <w:sz w:val="20"/>
        </w:rPr>
        <w:t>0.3 million thereafter until the outstanding principal balance of the Term Loan has been paid in full, and revised the minimum net revenue covenant to new minimum net revenue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was in compliance with all applicable covenants under the credit agreements. As of June 30, 2026, our credit agreements included a minimum net revenue covenant; however, pursuant to the Amendment No. 5s executed in August 2026, we were not required to comply with the minimum net revenue covenant for the quarter ended June 30, 2026. Under the covenant terms in effect prior to the Amendment No. 5s, we would not have been in compliance with the minimum net revenue requirement for that quarter.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Borrowers, and the Company, as guarantor, are jointly and severally liable for all of the obligations under the facilities on the terms set forth in the credit agreements. The Borrowers’ obligations, and the Company’s obligations as a guarantor, under the credit agreements are secured by first-priority liens on substantially all of their assets, including, without limitation, all inventory, equipment, accounts, intellectual property and other assets of the Company and the Borrowers.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44" w:name="xdx_800_eus-gaap--DisclosureOfCompensati"/>
      <w:bookmarkEnd w:id="444"/>
      <w:r>
        <w:rPr>
          <w:rFonts w:ascii="Times New Roman;Times;Serif" w:hAnsi="Times New Roman;Times;Serif"/>
          <w:b/>
          <w:i w:val="false"/>
          <w:caps w:val="false"/>
          <w:smallCaps w:val="false"/>
          <w:sz w:val="20"/>
        </w:rPr>
        <w:t xml:space="preserve">(11) </w:t>
      </w:r>
      <w:bookmarkStart w:id="445" w:name="xdx_822_zrpXmLmks3W6"/>
      <w:bookmarkEnd w:id="445"/>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26, 2023, our stockholders approved and adopted the Xtant Medical Holdings, Inc. 2023 Equity Incentive Plan (the “2023 Plan”), which replaced the Xtant Medical Holdings, Inc. 2018 Equity Incentive Plan (as amended and restated, the “2018 Plan”) with respect to future grants of equity awards, although the 2018 Plan continues to govern equity awards granted under the 2018 Plan. The 2023 Plan permits the Board of Directors, or a committee thereof, to grant to eligible employees, non-employee directors, and consultants of the Company non-statutory and incentive stock options, stock appreciation rights, restricted stock awards, restricted stock units, deferred stock units, performance awards, non-employee director awards, and other stock-based awards. The 2023 Plan is administered by the Compensation Committee of the Board of Directors. The Compensation Committee or the Board of Directors may select 2023 Plan participants and determine the nature and amount of awards to be granted. </w:t>
      </w:r>
      <w:bookmarkStart w:id="446" w:name="xdx_908_eus-gaap--ShareBasedCompensation"/>
      <w:bookmarkEnd w:id="446"/>
      <w:r>
        <w:rPr>
          <w:rFonts w:ascii="Times New Roman;Times;Serif" w:hAnsi="Times New Roman;Times;Serif"/>
          <w:b w:val="false"/>
          <w:i w:val="false"/>
          <w:caps w:val="false"/>
          <w:smallCaps w:val="false"/>
          <w:sz w:val="20"/>
        </w:rPr>
        <w:t xml:space="preserve">The maximum number of shares of our common stock available for issuance under the 2023 Plan, subject to adjustment pursuant to the terms of the 2023 Plan, as increased by an amendment approved by our stockholders on November 7, 2025, is (i) </w:t>
      </w:r>
      <w:bookmarkStart w:id="447" w:name="xdx_90E_eus-gaap--ShareBasedCompensation"/>
      <w:bookmarkEnd w:id="447"/>
      <w:r>
        <w:rPr>
          <w:rFonts w:ascii="Times New Roman;Times;Serif" w:hAnsi="Times New Roman;Times;Serif"/>
          <w:b w:val="false"/>
          <w:i w:val="false"/>
          <w:caps w:val="false"/>
          <w:smallCaps w:val="false"/>
          <w:sz w:val="20"/>
        </w:rPr>
        <w:t xml:space="preserve">17,800,000 shares of common stock; (ii) </w:t>
      </w:r>
      <w:bookmarkStart w:id="448" w:name="xdx_901_eus-gaap--ShareBasedCompensation"/>
      <w:bookmarkEnd w:id="448"/>
      <w:r>
        <w:rPr>
          <w:rFonts w:ascii="Times New Roman;Times;Serif" w:hAnsi="Times New Roman;Times;Serif"/>
          <w:b w:val="false"/>
          <w:i w:val="false"/>
          <w:caps w:val="false"/>
          <w:smallCaps w:val="false"/>
          <w:sz w:val="20"/>
        </w:rPr>
        <w:t xml:space="preserve">7,695,812 shares of common stock remaining available for issuance under the 2018 Plan but not subject to outstanding awards under the 2018 Plan as of July 26, 2023; and (iii) up to </w:t>
      </w:r>
      <w:bookmarkStart w:id="449" w:name="xdx_907_eus-gaap--ShareBasedCompensation"/>
      <w:bookmarkEnd w:id="449"/>
      <w:r>
        <w:rPr>
          <w:rFonts w:ascii="Times New Roman;Times;Serif" w:hAnsi="Times New Roman;Times;Serif"/>
          <w:b w:val="false"/>
          <w:i w:val="false"/>
          <w:caps w:val="false"/>
          <w:smallCaps w:val="false"/>
          <w:sz w:val="20"/>
        </w:rPr>
        <w:t>6,686,090 shares of common stock subject to awards outstanding under the 2018 Plan as of July 26, 2023 but only to the extent such awards are subsequently forfeited, cancelled, expire, or otherwise terminate without the issuance of such shares of common stock after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expense recognized for employees and directors was $</w:t>
      </w:r>
      <w:bookmarkStart w:id="450" w:name="xdx_904_eus-gaap--ShareBasedCompensation"/>
      <w:bookmarkEnd w:id="450"/>
      <w:r>
        <w:rPr>
          <w:rFonts w:ascii="Times New Roman;Times;Serif" w:hAnsi="Times New Roman;Times;Serif"/>
          <w:b w:val="false"/>
          <w:i w:val="false"/>
          <w:caps w:val="false"/>
          <w:smallCaps w:val="false"/>
          <w:sz w:val="20"/>
        </w:rPr>
        <w:t>0.9 million and $</w:t>
      </w:r>
      <w:bookmarkStart w:id="451" w:name="xdx_90B_eus-gaap--ShareBasedCompensation"/>
      <w:bookmarkEnd w:id="451"/>
      <w:r>
        <w:rPr>
          <w:rFonts w:ascii="Times New Roman;Times;Serif" w:hAnsi="Times New Roman;Times;Serif"/>
          <w:b w:val="false"/>
          <w:i w:val="false"/>
          <w:caps w:val="false"/>
          <w:smallCaps w:val="false"/>
          <w:sz w:val="20"/>
        </w:rPr>
        <w:t>0.8 million for the three months ended June 30, 2026 and 2025, respectively, and $</w:t>
      </w:r>
      <w:bookmarkStart w:id="452" w:name="xdx_90B_eus-gaap--ShareBasedCompensation"/>
      <w:bookmarkEnd w:id="452"/>
      <w:r>
        <w:rPr>
          <w:rFonts w:ascii="Times New Roman;Times;Serif" w:hAnsi="Times New Roman;Times;Serif"/>
          <w:b w:val="false"/>
          <w:i w:val="false"/>
          <w:caps w:val="false"/>
          <w:smallCaps w:val="false"/>
          <w:sz w:val="20"/>
        </w:rPr>
        <w:t>1.6 million and $</w:t>
      </w:r>
      <w:bookmarkStart w:id="453" w:name="xdx_905_eus-gaap--ShareBasedCompensation"/>
      <w:bookmarkEnd w:id="453"/>
      <w:r>
        <w:rPr>
          <w:rFonts w:ascii="Times New Roman;Times;Serif" w:hAnsi="Times New Roman;Times;Serif"/>
          <w:b w:val="false"/>
          <w:i w:val="false"/>
          <w:caps w:val="false"/>
          <w:smallCaps w:val="false"/>
          <w:sz w:val="20"/>
        </w:rPr>
        <w:t>1.5 million for the six months ended June 30, 2026 and 2025, respectively, and was recognized as general and administrative expense.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454" w:name="xdx_896_eus-gaap--ScheduleOfShareBasedCo"/>
      <w:bookmarkEnd w:id="454"/>
      <w:r>
        <w:rPr>
          <w:rFonts w:ascii="Times New Roman;Times;Serif" w:hAnsi="Times New Roman;Times;Serif"/>
          <w:b w:val="false"/>
          <w:i w:val="false"/>
          <w:caps w:val="false"/>
          <w:smallCaps w:val="false"/>
          <w:sz w:val="20"/>
        </w:rPr>
        <w:t>Stock option activity was as follows for the six months ended June 30, 2026 and 2025:</w:t>
      </w:r>
    </w:p>
    <w:p>
      <w:pPr>
        <w:pStyle w:val="TextBody"/>
        <w:bidi w:val="0"/>
        <w:spacing w:before="0" w:after="0"/>
        <w:ind w:left="0" w:right="0" w:hanging="0"/>
        <w:jc w:val="both"/>
        <w:rPr>
          <w:caps w:val="false"/>
          <w:smallCaps w:val="false"/>
        </w:rPr>
      </w:pPr>
      <w:r>
        <w:rPr>
          <w:caps w:val="false"/>
          <w:smallCaps w:val="false"/>
        </w:rPr>
        <w:t> </w:t>
      </w:r>
      <w:bookmarkStart w:id="455" w:name="xdx_8B1_z59jnHGiyvi9"/>
      <w:bookmarkEnd w:id="455"/>
      <w:r>
        <w:rPr>
          <w:rFonts w:ascii="Times New Roman;Times;Serif" w:hAnsi="Times New Roman;Times;Serif"/>
          <w:b w:val="false"/>
          <w:i w:val="false"/>
          <w:caps w:val="false"/>
          <w:smallCaps w:val="false"/>
          <w:sz w:val="20"/>
        </w:rPr>
        <w:t>Schedule of Stock Options Activity </w:t>
      </w:r>
    </w:p>
    <w:tbl>
      <w:tblPr>
        <w:tblW w:w="8835" w:type="dxa"/>
        <w:jc w:val="left"/>
        <w:tblInd w:w="0" w:type="dxa"/>
        <w:tblLayout w:type="fixed"/>
        <w:tblCellMar>
          <w:top w:w="0" w:type="dxa"/>
          <w:left w:w="0" w:type="dxa"/>
          <w:bottom w:w="0" w:type="dxa"/>
          <w:right w:w="0" w:type="dxa"/>
        </w:tblCellMar>
      </w:tblPr>
      <w:tblGrid>
        <w:gridCol w:w="2390"/>
        <w:gridCol w:w="60"/>
        <w:gridCol w:w="60"/>
        <w:gridCol w:w="980"/>
        <w:gridCol w:w="95"/>
        <w:gridCol w:w="60"/>
        <w:gridCol w:w="99"/>
        <w:gridCol w:w="731"/>
        <w:gridCol w:w="60"/>
        <w:gridCol w:w="60"/>
        <w:gridCol w:w="114"/>
        <w:gridCol w:w="836"/>
        <w:gridCol w:w="60"/>
        <w:gridCol w:w="60"/>
        <w:gridCol w:w="60"/>
        <w:gridCol w:w="980"/>
        <w:gridCol w:w="95"/>
        <w:gridCol w:w="60"/>
        <w:gridCol w:w="200"/>
        <w:gridCol w:w="630"/>
        <w:gridCol w:w="60"/>
        <w:gridCol w:w="60"/>
        <w:gridCol w:w="114"/>
        <w:gridCol w:w="836"/>
        <w:gridCol w:w="75"/>
      </w:tblGrid>
      <w:tr>
        <w:trPr/>
        <w:tc>
          <w:tcPr>
            <w:tcW w:w="23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0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w:t>
              <w:br/>
              <w:t>Term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w:t>
              <w:br/>
              <w:t>Term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Outstanding at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56" w:name="xdx_989_eus-gaap--ShareBasedCompensation"/>
            <w:bookmarkEnd w:id="456"/>
          </w:p>
        </w:tc>
        <w:tc>
          <w:tcPr>
            <w:tcW w:w="980" w:type="dxa"/>
            <w:tcBorders/>
            <w:shd w:fill="CCEEFF" w:val="clear"/>
            <w:vAlign w:val="center"/>
          </w:tcPr>
          <w:p>
            <w:pPr>
              <w:pStyle w:val="TableContents"/>
              <w:bidi w:val="0"/>
              <w:spacing w:before="0" w:after="283"/>
              <w:jc w:val="right"/>
              <w:rPr/>
            </w:pPr>
            <w:r>
              <w:rPr/>
              <w:t>3,760,472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457" w:name="xdx_98B_eus-gaap--ShareBasedCompensation"/>
            <w:bookmarkEnd w:id="457"/>
          </w:p>
        </w:tc>
        <w:tc>
          <w:tcPr>
            <w:tcW w:w="731" w:type="dxa"/>
            <w:tcBorders/>
            <w:shd w:fill="CCEEFF" w:val="clear"/>
            <w:vAlign w:val="center"/>
          </w:tcPr>
          <w:p>
            <w:pPr>
              <w:pStyle w:val="TableContents"/>
              <w:bidi w:val="0"/>
              <w:spacing w:before="0" w:after="283"/>
              <w:jc w:val="right"/>
              <w:rPr/>
            </w:pPr>
            <w:r>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58" w:name="xdx_982_eus-gaap--ShareBasedCompensation"/>
            <w:bookmarkEnd w:id="458"/>
          </w:p>
        </w:tc>
        <w:tc>
          <w:tcPr>
            <w:tcW w:w="980" w:type="dxa"/>
            <w:tcBorders/>
            <w:shd w:fill="CCEEFF" w:val="clear"/>
            <w:vAlign w:val="center"/>
          </w:tcPr>
          <w:p>
            <w:pPr>
              <w:pStyle w:val="TableContents"/>
              <w:bidi w:val="0"/>
              <w:spacing w:before="0" w:after="283"/>
              <w:jc w:val="right"/>
              <w:rPr/>
            </w:pPr>
            <w:r>
              <w:rPr/>
              <w:t>3,925,403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w:t>
            </w:r>
            <w:bookmarkStart w:id="459" w:name="xdx_98C_eus-gaap--ShareBasedCompensation"/>
            <w:bookmarkEnd w:id="459"/>
          </w:p>
        </w:tc>
        <w:tc>
          <w:tcPr>
            <w:tcW w:w="630" w:type="dxa"/>
            <w:tcBorders/>
            <w:shd w:fill="CCEEFF" w:val="clear"/>
            <w:vAlign w:val="center"/>
          </w:tcPr>
          <w:p>
            <w:pPr>
              <w:pStyle w:val="TableContents"/>
              <w:bidi w:val="0"/>
              <w:spacing w:before="0" w:after="283"/>
              <w:jc w:val="right"/>
              <w:rPr/>
            </w:pPr>
            <w:r>
              <w:rPr/>
              <w:t>1.29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Cancelled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0" w:name="xdx_98C_eus-gaap--ShareBasedCompensation"/>
            <w:bookmarkEnd w:id="460"/>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1" w:name="xdx_987_eus-gaap--ShareBasedCompensation"/>
            <w:bookmarkEnd w:id="461"/>
          </w:p>
        </w:tc>
        <w:tc>
          <w:tcPr>
            <w:tcW w:w="731" w:type="dxa"/>
            <w:tcBorders>
              <w:bottom w:val="single" w:sz="8" w:space="0" w:color="000000"/>
            </w:tcBorders>
            <w:shd w:fill="FFFFFF" w:val="clear"/>
            <w:tcMar>
              <w:bottom w:w="28" w:type="dxa"/>
            </w:tcMar>
            <w:vAlign w:val="center"/>
          </w:tcPr>
          <w:p>
            <w:pPr>
              <w:pStyle w:val="TableContents"/>
              <w:bidi w:val="0"/>
              <w:spacing w:before="0" w:after="283"/>
              <w:jc w:val="right"/>
              <w:rPr/>
            </w:pPr>
            <w:r>
              <w:rPr/>
              <w:t>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2" w:name="xdx_980_eus-gaap--ShareBasedCompensation"/>
            <w:bookmarkEnd w:id="46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(164,931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63" w:name="xdx_98C_eus-gaap--ShareBasedCompensation"/>
            <w:bookmarkEnd w:id="463"/>
          </w:p>
        </w:tc>
        <w:tc>
          <w:tcPr>
            <w:tcW w:w="630" w:type="dxa"/>
            <w:tcBorders>
              <w:bottom w:val="single" w:sz="8" w:space="0" w:color="000000"/>
            </w:tcBorders>
            <w:shd w:fill="FFFFFF" w:val="clear"/>
            <w:tcMar>
              <w:bottom w:w="28" w:type="dxa"/>
            </w:tcMar>
            <w:vAlign w:val="center"/>
          </w:tcPr>
          <w:p>
            <w:pPr>
              <w:pStyle w:val="TableContents"/>
              <w:bidi w:val="0"/>
              <w:spacing w:before="0" w:after="283"/>
              <w:jc w:val="right"/>
              <w:rPr/>
            </w:pPr>
            <w:r>
              <w:rPr/>
              <w:t>1.19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Outstanding at June 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64" w:name="xdx_98C_eus-gaap--ShareBasedCompensation"/>
            <w:bookmarkEnd w:id="464"/>
          </w:p>
        </w:tc>
        <w:tc>
          <w:tcPr>
            <w:tcW w:w="980" w:type="dxa"/>
            <w:tcBorders/>
            <w:shd w:fill="CCEEFF" w:val="clear"/>
            <w:vAlign w:val="center"/>
          </w:tcPr>
          <w:p>
            <w:pPr>
              <w:pStyle w:val="TableContents"/>
              <w:bidi w:val="0"/>
              <w:spacing w:before="0" w:after="283"/>
              <w:jc w:val="right"/>
              <w:rPr/>
            </w:pPr>
            <w:r>
              <w:rPr/>
              <w:t>3,635,472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465" w:name="xdx_98B_eus-gaap--ShareBasedCompensation"/>
            <w:bookmarkEnd w:id="465"/>
          </w:p>
        </w:tc>
        <w:tc>
          <w:tcPr>
            <w:tcW w:w="731" w:type="dxa"/>
            <w:tcBorders/>
            <w:shd w:fill="CCEEFF" w:val="clear"/>
            <w:vAlign w:val="center"/>
          </w:tcPr>
          <w:p>
            <w:pPr>
              <w:pStyle w:val="TableContents"/>
              <w:bidi w:val="0"/>
              <w:spacing w:before="0" w:after="283"/>
              <w:jc w:val="right"/>
              <w:rPr/>
            </w:pPr>
            <w:r>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bookmarkStart w:id="466" w:name="xdx_90D_eus-gaap--SharebasedCompensation"/>
            <w:bookmarkEnd w:id="466"/>
            <w:r>
              <w:rPr/>
              <w:t>5.30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67" w:name="xdx_985_eus-gaap--ShareBasedCompensation"/>
            <w:bookmarkEnd w:id="467"/>
          </w:p>
        </w:tc>
        <w:tc>
          <w:tcPr>
            <w:tcW w:w="980" w:type="dxa"/>
            <w:tcBorders/>
            <w:shd w:fill="CCEEFF" w:val="clear"/>
            <w:vAlign w:val="center"/>
          </w:tcPr>
          <w:p>
            <w:pPr>
              <w:pStyle w:val="TableContents"/>
              <w:bidi w:val="0"/>
              <w:spacing w:before="0" w:after="283"/>
              <w:jc w:val="right"/>
              <w:rPr/>
            </w:pPr>
            <w:r>
              <w:rPr/>
              <w:t>3,760,472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bookmarkStart w:id="468" w:name="xdx_987_eus-gaap--ShareBasedCompensation"/>
            <w:bookmarkEnd w:id="468"/>
          </w:p>
        </w:tc>
        <w:tc>
          <w:tcPr>
            <w:tcW w:w="630" w:type="dxa"/>
            <w:tcBorders/>
            <w:shd w:fill="CCEEFF" w:val="clear"/>
            <w:vAlign w:val="center"/>
          </w:tcPr>
          <w:p>
            <w:pPr>
              <w:pStyle w:val="TableContents"/>
              <w:bidi w:val="0"/>
              <w:spacing w:before="0" w:after="283"/>
              <w:jc w:val="right"/>
              <w:rPr/>
            </w:pPr>
            <w:r>
              <w:rPr/>
              <w:t>1.30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bookmarkStart w:id="469" w:name="xdx_902_eus-gaap--SharebasedCompensation"/>
            <w:bookmarkEnd w:id="469"/>
            <w:r>
              <w:rPr/>
              <w:t>6.43</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Exercisable at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70" w:name="xdx_98E_eus-gaap--ShareBasedCompensation"/>
            <w:bookmarkEnd w:id="470"/>
          </w:p>
        </w:tc>
        <w:tc>
          <w:tcPr>
            <w:tcW w:w="980" w:type="dxa"/>
            <w:tcBorders/>
            <w:shd w:fill="FFFFFF" w:val="clear"/>
            <w:vAlign w:val="center"/>
          </w:tcPr>
          <w:p>
            <w:pPr>
              <w:pStyle w:val="TableContents"/>
              <w:bidi w:val="0"/>
              <w:spacing w:before="0" w:after="283"/>
              <w:jc w:val="right"/>
              <w:rPr/>
            </w:pPr>
            <w:r>
              <w:rPr/>
              <w:t>3,301,650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471" w:name="xdx_98C_eus-gaap--ShareBasedCompensation"/>
            <w:bookmarkEnd w:id="471"/>
          </w:p>
        </w:tc>
        <w:tc>
          <w:tcPr>
            <w:tcW w:w="731" w:type="dxa"/>
            <w:tcBorders/>
            <w:shd w:fill="FFFFFF" w:val="clear"/>
            <w:vAlign w:val="center"/>
          </w:tcPr>
          <w:p>
            <w:pPr>
              <w:pStyle w:val="TableContents"/>
              <w:bidi w:val="0"/>
              <w:spacing w:before="0" w:after="283"/>
              <w:jc w:val="right"/>
              <w:rPr/>
            </w:pPr>
            <w:r>
              <w:rPr/>
              <w:t>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bookmarkStart w:id="472" w:name="xdx_90D_eus-gaap--SharebasedCompensation"/>
            <w:bookmarkEnd w:id="472"/>
            <w:r>
              <w:rPr/>
              <w:t>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73" w:name="xdx_984_eus-gaap--ShareBasedCompensation"/>
            <w:bookmarkEnd w:id="473"/>
          </w:p>
        </w:tc>
        <w:tc>
          <w:tcPr>
            <w:tcW w:w="980" w:type="dxa"/>
            <w:tcBorders/>
            <w:shd w:fill="FFFFFF" w:val="clear"/>
            <w:vAlign w:val="center"/>
          </w:tcPr>
          <w:p>
            <w:pPr>
              <w:pStyle w:val="TableContents"/>
              <w:bidi w:val="0"/>
              <w:spacing w:before="0" w:after="283"/>
              <w:jc w:val="right"/>
              <w:rPr/>
            </w:pPr>
            <w:r>
              <w:rPr/>
              <w:t>3,006,140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bookmarkStart w:id="474" w:name="xdx_986_eus-gaap--ShareBasedCompensation"/>
            <w:bookmarkEnd w:id="474"/>
          </w:p>
        </w:tc>
        <w:tc>
          <w:tcPr>
            <w:tcW w:w="630" w:type="dxa"/>
            <w:tcBorders/>
            <w:shd w:fill="FFFFFF" w:val="clear"/>
            <w:vAlign w:val="center"/>
          </w:tcPr>
          <w:p>
            <w:pPr>
              <w:pStyle w:val="TableContents"/>
              <w:bidi w:val="0"/>
              <w:spacing w:before="0" w:after="283"/>
              <w:jc w:val="right"/>
              <w:rPr/>
            </w:pPr>
            <w:r>
              <w:rPr/>
              <w:t>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bookmarkStart w:id="475" w:name="xdx_900_eus-gaap--SharebasedCompensation"/>
            <w:bookmarkEnd w:id="475"/>
            <w:r>
              <w:rPr/>
              <w:t>6.06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76" w:name="xdx_8AF_z6sQIHttXVA4"/>
      <w:bookmarkEnd w:id="476"/>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As of June 30, 2026, there was approximately $</w:t>
      </w:r>
      <w:bookmarkStart w:id="477" w:name="xdx_90A_eus-gaap--EmployeeServiceShareBa"/>
      <w:bookmarkEnd w:id="477"/>
      <w:r>
        <w:rPr>
          <w:rFonts w:ascii="Times New Roman;Times;Serif" w:hAnsi="Times New Roman;Times;Serif"/>
          <w:b w:val="false"/>
          <w:i w:val="false"/>
          <w:caps w:val="false"/>
          <w:smallCaps w:val="false"/>
          <w:sz w:val="20"/>
          <w:shd w:fill="FFFFFF" w:val="clear"/>
        </w:rPr>
        <w:t>0.3 million of total unrecognized compensation expense related to unvested stock options. These costs are expected to be recognized over a weighted-average period of </w:t>
      </w:r>
      <w:bookmarkStart w:id="478" w:name="xdx_908_eus-gaap--SharebasedCompensation"/>
      <w:bookmarkEnd w:id="478"/>
      <w:r>
        <w:rPr>
          <w:rFonts w:ascii="Times New Roman;Times;Serif" w:hAnsi="Times New Roman;Times;Serif"/>
          <w:b w:val="false"/>
          <w:i w:val="false"/>
          <w:caps w:val="false"/>
          <w:smallCaps w:val="false"/>
          <w:sz w:val="20"/>
        </w:rPr>
        <w:t>1.1</w:t>
      </w:r>
      <w:r>
        <w:rPr>
          <w:rFonts w:ascii="Times New Roman;Times;Serif" w:hAnsi="Times New Roman;Times;Serif"/>
          <w:b w:val="false"/>
          <w:i w:val="false"/>
          <w:caps w:val="false"/>
          <w:smallCaps w:val="false"/>
          <w:sz w:val="20"/>
          <w:shd w:fill="FFFFFF" w:val="clear"/>
        </w:rPr>
        <w:t xml:space="preserve"> years.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Units and Deferred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bookmarkStart w:id="479" w:name="xdx_89B_eus-gaap--ScheduleOfShareBasedCo"/>
      <w:bookmarkEnd w:id="479"/>
      <w:r>
        <w:rPr>
          <w:rFonts w:ascii="Times New Roman;Times;Serif" w:hAnsi="Times New Roman;Times;Serif"/>
          <w:b w:val="false"/>
          <w:i w:val="false"/>
          <w:caps w:val="false"/>
          <w:smallCaps w:val="false"/>
          <w:sz w:val="20"/>
        </w:rPr>
        <w:t>Restricted stock unit and deferred stock unit activity was as follows for the six months ended June 30, 2026 and 2025: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bookmarkStart w:id="480" w:name="xdx_8B0_zfaxxIWXR7E3"/>
      <w:bookmarkEnd w:id="480"/>
      <w:r>
        <w:rPr>
          <w:rFonts w:ascii="Times New Roman;Times;Serif" w:hAnsi="Times New Roman;Times;Serif"/>
          <w:b w:val="false"/>
          <w:i w:val="false"/>
          <w:caps w:val="false"/>
          <w:smallCaps w:val="false"/>
          <w:sz w:val="20"/>
        </w:rPr>
        <w:t>Schedule of Restricted Stock Activity </w:t>
      </w:r>
    </w:p>
    <w:tbl>
      <w:tblPr>
        <w:tblW w:w="7608" w:type="dxa"/>
        <w:jc w:val="left"/>
        <w:tblInd w:w="0" w:type="dxa"/>
        <w:tblLayout w:type="fixed"/>
        <w:tblCellMar>
          <w:top w:w="0" w:type="dxa"/>
          <w:left w:w="0" w:type="dxa"/>
          <w:bottom w:w="0" w:type="dxa"/>
          <w:right w:w="0" w:type="dxa"/>
        </w:tblCellMar>
      </w:tblPr>
      <w:tblGrid>
        <w:gridCol w:w="2390"/>
        <w:gridCol w:w="60"/>
        <w:gridCol w:w="60"/>
        <w:gridCol w:w="980"/>
        <w:gridCol w:w="95"/>
        <w:gridCol w:w="60"/>
        <w:gridCol w:w="308"/>
        <w:gridCol w:w="971"/>
        <w:gridCol w:w="60"/>
        <w:gridCol w:w="60"/>
        <w:gridCol w:w="60"/>
        <w:gridCol w:w="980"/>
        <w:gridCol w:w="95"/>
        <w:gridCol w:w="60"/>
        <w:gridCol w:w="312"/>
        <w:gridCol w:w="982"/>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at Grant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Per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 Fair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Value at Grant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Per Share</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Outstanding at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81" w:name="xdx_986_eus-gaap--ShareBasedCompensation"/>
            <w:bookmarkEnd w:id="481"/>
          </w:p>
        </w:tc>
        <w:tc>
          <w:tcPr>
            <w:tcW w:w="980" w:type="dxa"/>
            <w:tcBorders/>
            <w:shd w:fill="CCEEFF" w:val="clear"/>
            <w:vAlign w:val="center"/>
          </w:tcPr>
          <w:p>
            <w:pPr>
              <w:pStyle w:val="TableContents"/>
              <w:bidi w:val="0"/>
              <w:spacing w:before="0" w:after="283"/>
              <w:jc w:val="right"/>
              <w:rPr/>
            </w:pPr>
            <w:r>
              <w:rPr/>
              <w:t>7,669,141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8" w:type="dxa"/>
            <w:tcBorders/>
            <w:shd w:fill="CCEEFF" w:val="clear"/>
            <w:vAlign w:val="center"/>
          </w:tcPr>
          <w:p>
            <w:pPr>
              <w:pStyle w:val="TableContents"/>
              <w:bidi w:val="0"/>
              <w:spacing w:before="0" w:after="283"/>
              <w:jc w:val="left"/>
              <w:rPr/>
            </w:pPr>
            <w:r>
              <w:rPr/>
              <w:t>$</w:t>
            </w:r>
            <w:bookmarkStart w:id="482" w:name="xdx_98B_eus-gaap--ShareBasedCompensation"/>
            <w:bookmarkEnd w:id="482"/>
          </w:p>
        </w:tc>
        <w:tc>
          <w:tcPr>
            <w:tcW w:w="971" w:type="dxa"/>
            <w:tcBorders/>
            <w:shd w:fill="CCEEFF" w:val="clear"/>
            <w:vAlign w:val="center"/>
          </w:tcPr>
          <w:p>
            <w:pPr>
              <w:pStyle w:val="TableContents"/>
              <w:bidi w:val="0"/>
              <w:spacing w:before="0" w:after="283"/>
              <w:jc w:val="right"/>
              <w:rPr/>
            </w:pPr>
            <w:r>
              <w:rPr/>
              <w:t>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83" w:name="xdx_983_eus-gaap--ShareBasedCompensation"/>
            <w:bookmarkEnd w:id="483"/>
          </w:p>
        </w:tc>
        <w:tc>
          <w:tcPr>
            <w:tcW w:w="980" w:type="dxa"/>
            <w:tcBorders/>
            <w:shd w:fill="CCEEFF" w:val="clear"/>
            <w:vAlign w:val="center"/>
          </w:tcPr>
          <w:p>
            <w:pPr>
              <w:pStyle w:val="TableContents"/>
              <w:bidi w:val="0"/>
              <w:spacing w:before="0" w:after="283"/>
              <w:jc w:val="right"/>
              <w:rPr/>
            </w:pPr>
            <w:r>
              <w:rPr/>
              <w:t>5,455,472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2" w:type="dxa"/>
            <w:tcBorders/>
            <w:shd w:fill="CCEEFF" w:val="clear"/>
            <w:vAlign w:val="center"/>
          </w:tcPr>
          <w:p>
            <w:pPr>
              <w:pStyle w:val="TableContents"/>
              <w:bidi w:val="0"/>
              <w:spacing w:before="0" w:after="283"/>
              <w:jc w:val="left"/>
              <w:rPr/>
            </w:pPr>
            <w:r>
              <w:rPr/>
              <w:t>$</w:t>
            </w:r>
            <w:bookmarkStart w:id="484" w:name="xdx_981_eus-gaap--ShareBasedCompensation"/>
            <w:bookmarkEnd w:id="484"/>
          </w:p>
        </w:tc>
        <w:tc>
          <w:tcPr>
            <w:tcW w:w="982" w:type="dxa"/>
            <w:tcBorders/>
            <w:shd w:fill="CCEEFF" w:val="clear"/>
            <w:vAlign w:val="center"/>
          </w:tcPr>
          <w:p>
            <w:pPr>
              <w:pStyle w:val="TableContents"/>
              <w:bidi w:val="0"/>
              <w:spacing w:before="0" w:after="283"/>
              <w:jc w:val="right"/>
              <w:rPr/>
            </w:pPr>
            <w:r>
              <w:rPr/>
              <w:t>0.90</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85" w:name="xdx_98C_eus-gaap--ShareBasedCompensation"/>
            <w:bookmarkEnd w:id="485"/>
          </w:p>
        </w:tc>
        <w:tc>
          <w:tcPr>
            <w:tcW w:w="980" w:type="dxa"/>
            <w:tcBorders/>
            <w:shd w:fill="FFFFFF" w:val="clear"/>
            <w:vAlign w:val="center"/>
          </w:tcPr>
          <w:p>
            <w:pPr>
              <w:pStyle w:val="TableContents"/>
              <w:bidi w:val="0"/>
              <w:spacing w:before="0" w:after="283"/>
              <w:jc w:val="right"/>
              <w:rPr/>
            </w:pPr>
            <w:r>
              <w:rPr/>
              <w:t>(333,169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 </w:t>
            </w:r>
            <w:bookmarkStart w:id="486" w:name="xdx_98B_eus-gaap--ShareBasedCompensation"/>
            <w:bookmarkEnd w:id="486"/>
          </w:p>
        </w:tc>
        <w:tc>
          <w:tcPr>
            <w:tcW w:w="971" w:type="dxa"/>
            <w:tcBorders/>
            <w:shd w:fill="FFFFFF" w:val="clear"/>
            <w:vAlign w:val="center"/>
          </w:tcPr>
          <w:p>
            <w:pPr>
              <w:pStyle w:val="TableContents"/>
              <w:bidi w:val="0"/>
              <w:spacing w:before="0" w:after="283"/>
              <w:jc w:val="right"/>
              <w:rPr/>
            </w:pPr>
            <w:r>
              <w:rPr/>
              <w:t>0.93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87" w:name="xdx_985_eus-gaap--ShareBasedCompensation"/>
            <w:bookmarkEnd w:id="487"/>
          </w:p>
        </w:tc>
        <w:tc>
          <w:tcPr>
            <w:tcW w:w="980" w:type="dxa"/>
            <w:tcBorders/>
            <w:shd w:fill="FFFFFF" w:val="clear"/>
            <w:vAlign w:val="center"/>
          </w:tcPr>
          <w:p>
            <w:pPr>
              <w:pStyle w:val="TableContents"/>
              <w:bidi w:val="0"/>
              <w:spacing w:before="0" w:after="283"/>
              <w:jc w:val="right"/>
              <w:rPr/>
            </w:pPr>
            <w:r>
              <w:rPr/>
              <w:t>(386,624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 </w:t>
            </w:r>
            <w:bookmarkStart w:id="488" w:name="xdx_985_eus-gaap--ShareBasedCompensation"/>
            <w:bookmarkEnd w:id="488"/>
          </w:p>
        </w:tc>
        <w:tc>
          <w:tcPr>
            <w:tcW w:w="982" w:type="dxa"/>
            <w:tcBorders/>
            <w:shd w:fill="FFFFFF" w:val="clear"/>
            <w:vAlign w:val="center"/>
          </w:tcPr>
          <w:p>
            <w:pPr>
              <w:pStyle w:val="TableContents"/>
              <w:bidi w:val="0"/>
              <w:spacing w:before="0" w:after="283"/>
              <w:jc w:val="right"/>
              <w:rPr/>
            </w:pPr>
            <w:r>
              <w:rPr/>
              <w:t>0.91</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Cancelled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89" w:name="xdx_981_eus-gaap--ShareBasedCompensation"/>
            <w:bookmarkEnd w:id="489"/>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(114,486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0" w:name="xdx_989_eus-gaap--ShareBasedCompensation"/>
            <w:bookmarkEnd w:id="490"/>
          </w:p>
        </w:tc>
        <w:tc>
          <w:tcPr>
            <w:tcW w:w="971" w:type="dxa"/>
            <w:tcBorders>
              <w:bottom w:val="single" w:sz="8" w:space="0" w:color="000000"/>
            </w:tcBorders>
            <w:shd w:fill="CCEEFF" w:val="clear"/>
            <w:tcMar>
              <w:bottom w:w="28" w:type="dxa"/>
            </w:tcMar>
            <w:vAlign w:val="center"/>
          </w:tcPr>
          <w:p>
            <w:pPr>
              <w:pStyle w:val="TableContents"/>
              <w:bidi w:val="0"/>
              <w:spacing w:before="0" w:after="283"/>
              <w:jc w:val="right"/>
              <w:rPr/>
            </w:pPr>
            <w:r>
              <w:rPr/>
              <w:t>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1" w:name="xdx_98D_eus-gaap--ShareBasedCompensation"/>
            <w:bookmarkEnd w:id="491"/>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(34,197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92" w:name="xdx_98B_eus-gaap--ShareBasedCompensation"/>
            <w:bookmarkEnd w:id="492"/>
          </w:p>
        </w:tc>
        <w:tc>
          <w:tcPr>
            <w:tcW w:w="982" w:type="dxa"/>
            <w:tcBorders>
              <w:bottom w:val="single" w:sz="8" w:space="0" w:color="000000"/>
            </w:tcBorders>
            <w:shd w:fill="CCEEFF" w:val="clear"/>
            <w:tcMar>
              <w:bottom w:w="28" w:type="dxa"/>
            </w:tcMar>
            <w:vAlign w:val="center"/>
          </w:tcPr>
          <w:p>
            <w:pPr>
              <w:pStyle w:val="TableContents"/>
              <w:bidi w:val="0"/>
              <w:spacing w:before="0" w:after="283"/>
              <w:jc w:val="right"/>
              <w:rPr/>
            </w:pPr>
            <w:r>
              <w:rPr/>
              <w:t>0.98</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Outstanding at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93" w:name="xdx_98C_eus-gaap--ShareBasedCompensation"/>
            <w:bookmarkEnd w:id="493"/>
          </w:p>
        </w:tc>
        <w:tc>
          <w:tcPr>
            <w:tcW w:w="980" w:type="dxa"/>
            <w:tcBorders/>
            <w:shd w:fill="FFFFFF" w:val="clear"/>
            <w:vAlign w:val="center"/>
          </w:tcPr>
          <w:p>
            <w:pPr>
              <w:pStyle w:val="TableContents"/>
              <w:bidi w:val="0"/>
              <w:spacing w:before="0" w:after="283"/>
              <w:jc w:val="right"/>
              <w:rPr/>
            </w:pPr>
            <w:r>
              <w:rPr/>
              <w:t>7,221,486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8" w:type="dxa"/>
            <w:tcBorders/>
            <w:shd w:fill="FFFFFF" w:val="clear"/>
            <w:vAlign w:val="center"/>
          </w:tcPr>
          <w:p>
            <w:pPr>
              <w:pStyle w:val="TableContents"/>
              <w:bidi w:val="0"/>
              <w:spacing w:before="0" w:after="283"/>
              <w:jc w:val="left"/>
              <w:rPr/>
            </w:pPr>
            <w:r>
              <w:rPr/>
              <w:t>$</w:t>
            </w:r>
            <w:bookmarkStart w:id="494" w:name="xdx_98F_eus-gaap--ShareBasedCompensation"/>
            <w:bookmarkEnd w:id="494"/>
          </w:p>
        </w:tc>
        <w:tc>
          <w:tcPr>
            <w:tcW w:w="971" w:type="dxa"/>
            <w:tcBorders/>
            <w:shd w:fill="FFFFFF" w:val="clear"/>
            <w:vAlign w:val="center"/>
          </w:tcPr>
          <w:p>
            <w:pPr>
              <w:pStyle w:val="TableContents"/>
              <w:bidi w:val="0"/>
              <w:spacing w:before="0" w:after="283"/>
              <w:jc w:val="right"/>
              <w:rPr/>
            </w:pPr>
            <w:r>
              <w:rPr/>
              <w:t>0.79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95" w:name="xdx_981_eus-gaap--ShareBasedCompensation"/>
            <w:bookmarkEnd w:id="495"/>
          </w:p>
        </w:tc>
        <w:tc>
          <w:tcPr>
            <w:tcW w:w="980" w:type="dxa"/>
            <w:tcBorders/>
            <w:shd w:fill="FFFFFF" w:val="clear"/>
            <w:vAlign w:val="center"/>
          </w:tcPr>
          <w:p>
            <w:pPr>
              <w:pStyle w:val="TableContents"/>
              <w:bidi w:val="0"/>
              <w:spacing w:before="0" w:after="283"/>
              <w:jc w:val="right"/>
              <w:rPr/>
            </w:pPr>
            <w:r>
              <w:rPr/>
              <w:t>5,034,651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2" w:type="dxa"/>
            <w:tcBorders/>
            <w:shd w:fill="FFFFFF" w:val="clear"/>
            <w:vAlign w:val="center"/>
          </w:tcPr>
          <w:p>
            <w:pPr>
              <w:pStyle w:val="TableContents"/>
              <w:bidi w:val="0"/>
              <w:spacing w:before="0" w:after="283"/>
              <w:jc w:val="left"/>
              <w:rPr/>
            </w:pPr>
            <w:r>
              <w:rPr/>
              <w:t>$</w:t>
            </w:r>
            <w:bookmarkStart w:id="496" w:name="xdx_982_eus-gaap--ShareBasedCompensation"/>
            <w:bookmarkEnd w:id="496"/>
          </w:p>
        </w:tc>
        <w:tc>
          <w:tcPr>
            <w:tcW w:w="982" w:type="dxa"/>
            <w:tcBorders/>
            <w:shd w:fill="FFFFFF" w:val="clear"/>
            <w:vAlign w:val="center"/>
          </w:tcPr>
          <w:p>
            <w:pPr>
              <w:pStyle w:val="TableContents"/>
              <w:bidi w:val="0"/>
              <w:spacing w:before="0" w:after="283"/>
              <w:jc w:val="right"/>
              <w:rPr/>
            </w:pPr>
            <w:r>
              <w:rPr/>
              <w:t>0.90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97" w:name="xdx_8A0_zUVNrCeB7nmh"/>
      <w:bookmarkEnd w:id="497"/>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stock-based compensation expense related to unvested restricted stock units and deferred stock units not yet recognized was $</w:t>
      </w:r>
      <w:bookmarkStart w:id="498" w:name="xdx_901_eus-gaap--EmployeeServiceShareBa"/>
      <w:bookmarkEnd w:id="498"/>
      <w:r>
        <w:rPr>
          <w:rFonts w:ascii="Times New Roman;Times;Serif" w:hAnsi="Times New Roman;Times;Serif"/>
          <w:b w:val="false"/>
          <w:i w:val="false"/>
          <w:caps w:val="false"/>
          <w:smallCaps w:val="false"/>
          <w:sz w:val="20"/>
        </w:rPr>
        <w:t xml:space="preserve">2.8 million as of June 30, 2026, which is expected to be allocated to expenses over a weighted-average period of </w:t>
      </w:r>
      <w:bookmarkStart w:id="499" w:name="xdx_901_eus-gaap--SharebasedCompensation"/>
      <w:bookmarkEnd w:id="499"/>
      <w:r>
        <w:rPr>
          <w:rFonts w:ascii="Times New Roman;Times;Serif" w:hAnsi="Times New Roman;Times;Serif"/>
          <w:b w:val="false"/>
          <w:i w:val="false"/>
          <w:caps w:val="false"/>
          <w:smallCaps w:val="false"/>
          <w:sz w:val="20"/>
        </w:rPr>
        <w:t>2.3 years</w:t>
      </w:r>
      <w:r>
        <w:rPr>
          <w:rFonts w:ascii="Times New Roman;Times;Serif" w:hAnsi="Times New Roman;Times;Serif"/>
          <w:b w:val="false"/>
          <w:i w:val="false"/>
          <w:caps w:val="false"/>
          <w:smallCaps w:val="false"/>
          <w:sz w:val="20"/>
          <w:shd w:fill="FFFFFF" w:val="clear"/>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Performance Stock Units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During 2024, the Company awarded performance stock units (“PSUs”) under the 2023 Plan to certain executive officers and key employees. The Company has awarded an aggregate of </w:t>
      </w:r>
      <w:bookmarkStart w:id="500" w:name="xdx_90A_eus-gaap--ShareBasedCompensation"/>
      <w:bookmarkEnd w:id="500"/>
      <w:r>
        <w:rPr>
          <w:rFonts w:ascii="Times New Roman;Times;Serif" w:hAnsi="Times New Roman;Times;Serif"/>
          <w:b w:val="false"/>
          <w:i w:val="false"/>
          <w:caps w:val="false"/>
          <w:smallCaps w:val="false"/>
          <w:sz w:val="20"/>
          <w:shd w:fill="FFFFFF" w:val="clear"/>
        </w:rPr>
        <w:t>1,894,985 PSUs, assuming target performance, and each PSU award can be earned and vested at the end of a three-year performance period based on the total stockholder return, or TSR, of the Company’s common stock price relative to a group of peer companies and subject to continued service to the Company. The number of shares of the Company’s common stock to be issued upon vesting and settlement of the PSUs range from </w:t>
      </w:r>
      <w:bookmarkStart w:id="501" w:name="xdx_902_eus-gaap--SharebasedCompensation"/>
      <w:bookmarkEnd w:id="501"/>
      <w:r>
        <w:rPr>
          <w:rFonts w:ascii="Times New Roman;Times;Serif" w:hAnsi="Times New Roman;Times;Serif"/>
          <w:b w:val="false"/>
          <w:i w:val="false"/>
          <w:caps w:val="false"/>
          <w:smallCaps w:val="false"/>
          <w:sz w:val="20"/>
          <w:shd w:fill="FFFFFF" w:val="clear"/>
        </w:rPr>
        <w:t>0% to </w:t>
      </w:r>
      <w:bookmarkStart w:id="502" w:name="xdx_905_eus-gaap--SharebasedCompensation"/>
      <w:bookmarkEnd w:id="502"/>
      <w:r>
        <w:rPr>
          <w:rFonts w:ascii="Times New Roman;Times;Serif" w:hAnsi="Times New Roman;Times;Serif"/>
          <w:b w:val="false"/>
          <w:i w:val="false"/>
          <w:caps w:val="false"/>
          <w:smallCaps w:val="false"/>
          <w:sz w:val="20"/>
          <w:shd w:fill="FFFFFF" w:val="clear"/>
        </w:rPr>
        <w:t>200% of the target number of shares underlying the award, depending on the Company’s performance against the group of peer companies.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During 2025, the Company awarded PSUs under the 2023 Plan to certain executive officers and key employees. The Company awarded </w:t>
      </w:r>
      <w:bookmarkStart w:id="503" w:name="xdx_905_eus-gaap--ShareBasedCompensation"/>
      <w:bookmarkEnd w:id="503"/>
      <w:r>
        <w:rPr>
          <w:rFonts w:ascii="Times New Roman;Times;Serif" w:hAnsi="Times New Roman;Times;Serif"/>
          <w:b w:val="false"/>
          <w:i w:val="false"/>
          <w:caps w:val="false"/>
          <w:smallCaps w:val="false"/>
          <w:sz w:val="20"/>
          <w:shd w:fill="FFFFFF" w:val="clear"/>
        </w:rPr>
        <w:t xml:space="preserve">1,699,402 PSUs, assuming target performance, and each PSU award can be earned at the end of each of the three one-year performance periods based on stock appreciation goals and subject to continued service to the Company. After each one-year performance period, the amount earned in that period will vest equally over the remaining service periods. The number of shares of the Company’s common stock or deferred stock units to be issued upon vesting and settlement of the PSUs ranges from </w:t>
      </w:r>
      <w:bookmarkStart w:id="504" w:name="xdx_902_eus-gaap--SharebasedCompensation"/>
      <w:bookmarkEnd w:id="504"/>
      <w:r>
        <w:rPr>
          <w:rFonts w:ascii="Times New Roman;Times;Serif" w:hAnsi="Times New Roman;Times;Serif"/>
          <w:b w:val="false"/>
          <w:i w:val="false"/>
          <w:caps w:val="false"/>
          <w:smallCaps w:val="false"/>
          <w:sz w:val="20"/>
          <w:shd w:fill="FFFFFF" w:val="clear"/>
        </w:rPr>
        <w:t xml:space="preserve">0% to </w:t>
      </w:r>
      <w:bookmarkStart w:id="505" w:name="xdx_905_eus-gaap--SharebasedCompensation"/>
      <w:bookmarkEnd w:id="505"/>
      <w:r>
        <w:rPr>
          <w:rFonts w:ascii="Times New Roman;Times;Serif" w:hAnsi="Times New Roman;Times;Serif"/>
          <w:b w:val="false"/>
          <w:i w:val="false"/>
          <w:caps w:val="false"/>
          <w:smallCaps w:val="false"/>
          <w:sz w:val="20"/>
          <w:shd w:fill="FFFFFF" w:val="clear"/>
        </w:rPr>
        <w:t>200% of the target number of shares underlying the award, depending on the Company’s performance against the stock appreciation goals set forth in the awards.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bookmarkStart w:id="506" w:name="xdx_893_eus-gaap--ShareBasedCompensation"/>
      <w:bookmarkEnd w:id="506"/>
      <w:r>
        <w:rPr>
          <w:rFonts w:ascii="Times New Roman;Times;Serif" w:hAnsi="Times New Roman;Times;Serif"/>
          <w:b w:val="false"/>
          <w:i w:val="false"/>
          <w:caps w:val="false"/>
          <w:smallCaps w:val="false"/>
          <w:sz w:val="20"/>
          <w:shd w:fill="FFFFFF" w:val="clear"/>
        </w:rPr>
        <w:t>Activity for PSU awards granted under the 2023 Plan, assuming target performance, was as follows for the six months ended June 30, 2026 and 2025:</w:t>
      </w:r>
    </w:p>
    <w:p>
      <w:pPr>
        <w:pStyle w:val="TextBody"/>
        <w:bidi w:val="0"/>
        <w:spacing w:before="0" w:after="0"/>
        <w:ind w:left="0" w:right="0" w:firstLine="720"/>
        <w:jc w:val="both"/>
        <w:rPr>
          <w:caps w:val="false"/>
          <w:smallCaps w:val="false"/>
        </w:rPr>
      </w:pPr>
      <w:r>
        <w:rPr>
          <w:caps w:val="false"/>
          <w:smallCaps w:val="false"/>
        </w:rPr>
        <w:t> </w:t>
      </w:r>
      <w:bookmarkStart w:id="507" w:name="xdx_8BA_zmloAsrYlXu2"/>
      <w:bookmarkEnd w:id="507"/>
      <w:r>
        <w:rPr>
          <w:rFonts w:ascii="Times New Roman;Times;Serif" w:hAnsi="Times New Roman;Times;Serif"/>
          <w:b w:val="false"/>
          <w:i w:val="false"/>
          <w:caps w:val="false"/>
          <w:smallCaps w:val="false"/>
          <w:sz w:val="20"/>
        </w:rPr>
        <w:t>Schedule of PSU Awards Activity</w:t>
      </w:r>
      <w:r>
        <w:rPr>
          <w:rFonts w:ascii="Times New Roman;Times;Serif" w:hAnsi="Times New Roman;Times;Serif"/>
          <w:b w:val="false"/>
          <w:i w:val="false"/>
          <w:caps w:val="false"/>
          <w:smallCaps w:val="false"/>
          <w:sz w:val="20"/>
          <w:shd w:fill="FFFFFF" w:val="clear"/>
        </w:rPr>
        <w:t> </w:t>
      </w:r>
    </w:p>
    <w:tbl>
      <w:tblPr>
        <w:tblW w:w="10205" w:type="dxa"/>
        <w:jc w:val="left"/>
        <w:tblInd w:w="0" w:type="dxa"/>
        <w:tblLayout w:type="fixed"/>
        <w:tblCellMar>
          <w:top w:w="0" w:type="dxa"/>
          <w:left w:w="0" w:type="dxa"/>
          <w:bottom w:w="0" w:type="dxa"/>
          <w:right w:w="0" w:type="dxa"/>
        </w:tblCellMar>
      </w:tblPr>
      <w:tblGrid>
        <w:gridCol w:w="2182"/>
        <w:gridCol w:w="60"/>
        <w:gridCol w:w="60"/>
        <w:gridCol w:w="980"/>
        <w:gridCol w:w="95"/>
        <w:gridCol w:w="60"/>
        <w:gridCol w:w="323"/>
        <w:gridCol w:w="2382"/>
        <w:gridCol w:w="60"/>
        <w:gridCol w:w="60"/>
        <w:gridCol w:w="60"/>
        <w:gridCol w:w="980"/>
        <w:gridCol w:w="60"/>
        <w:gridCol w:w="60"/>
        <w:gridCol w:w="323"/>
        <w:gridCol w:w="2382"/>
        <w:gridCol w:w="78"/>
      </w:tblGrid>
      <w:tr>
        <w:trPr/>
        <w:tc>
          <w:tcPr>
            <w:tcW w:w="21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9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8" w:type="dxa"/>
            <w:tcBorders/>
            <w:vAlign w:val="center"/>
          </w:tcPr>
          <w:p>
            <w:pPr>
              <w:pStyle w:val="TableContents"/>
              <w:bidi w:val="0"/>
              <w:spacing w:before="0" w:after="283"/>
              <w:jc w:val="left"/>
              <w:rPr/>
            </w:pPr>
            <w:r>
              <w:rPr/>
              <w:t> </w:t>
            </w:r>
          </w:p>
        </w:tc>
      </w:tr>
      <w:tr>
        <w:trPr/>
        <w:tc>
          <w:tcPr>
            <w:tcW w:w="2182"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 Average Fair Value</w:t>
            </w:r>
          </w:p>
        </w:tc>
        <w:tc>
          <w:tcPr>
            <w:tcW w:w="78" w:type="dxa"/>
            <w:tcBorders/>
            <w:vAlign w:val="center"/>
          </w:tcPr>
          <w:p>
            <w:pPr>
              <w:pStyle w:val="TableContents"/>
              <w:bidi w:val="0"/>
              <w:spacing w:before="0" w:after="283"/>
              <w:jc w:val="left"/>
              <w:rPr/>
            </w:pPr>
            <w:r>
              <w:rPr/>
              <w:t> </w:t>
            </w:r>
          </w:p>
        </w:tc>
      </w:tr>
      <w:tr>
        <w:trPr/>
        <w:tc>
          <w:tcPr>
            <w:tcW w:w="2182" w:type="dxa"/>
            <w:tcBorders/>
            <w:shd w:fill="CCEEFF" w:val="clear"/>
            <w:vAlign w:val="center"/>
          </w:tcPr>
          <w:p>
            <w:pPr>
              <w:pStyle w:val="TableContents"/>
              <w:bidi w:val="0"/>
              <w:spacing w:before="0" w:after="283"/>
              <w:jc w:val="both"/>
              <w:rPr/>
            </w:pPr>
            <w:r>
              <w:rPr/>
              <w:t>Outstanding at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08" w:name="xdx_988_eus-gaap--ShareBasedCompensation"/>
            <w:bookmarkEnd w:id="508"/>
          </w:p>
        </w:tc>
        <w:tc>
          <w:tcPr>
            <w:tcW w:w="980" w:type="dxa"/>
            <w:tcBorders/>
            <w:shd w:fill="CCEEFF" w:val="clear"/>
            <w:vAlign w:val="center"/>
          </w:tcPr>
          <w:p>
            <w:pPr>
              <w:pStyle w:val="TableContents"/>
              <w:bidi w:val="0"/>
              <w:spacing w:before="0" w:after="283"/>
              <w:jc w:val="right"/>
              <w:rPr/>
            </w:pPr>
            <w:r>
              <w:rPr/>
              <w:t>3,340,111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bookmarkStart w:id="509" w:name="xdx_98B_eus-gaap--ShareBasedCompensation"/>
            <w:bookmarkEnd w:id="509"/>
          </w:p>
        </w:tc>
        <w:tc>
          <w:tcPr>
            <w:tcW w:w="2382" w:type="dxa"/>
            <w:tcBorders/>
            <w:shd w:fill="CCEEFF" w:val="clear"/>
            <w:vAlign w:val="center"/>
          </w:tcPr>
          <w:p>
            <w:pPr>
              <w:pStyle w:val="TableContents"/>
              <w:bidi w:val="0"/>
              <w:spacing w:before="0" w:after="283"/>
              <w:jc w:val="right"/>
              <w:rPr/>
            </w:pPr>
            <w:r>
              <w:rPr/>
              <w:t>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0" w:name="xdx_981_eus-gaap--ShareBasedCompensation"/>
            <w:bookmarkEnd w:id="510"/>
          </w:p>
        </w:tc>
        <w:tc>
          <w:tcPr>
            <w:tcW w:w="980" w:type="dxa"/>
            <w:tcBorders/>
            <w:shd w:fill="CCEEFF" w:val="clear"/>
            <w:vAlign w:val="center"/>
          </w:tcPr>
          <w:p>
            <w:pPr>
              <w:pStyle w:val="TableContents"/>
              <w:bidi w:val="0"/>
              <w:spacing w:before="0" w:after="283"/>
              <w:jc w:val="right"/>
              <w:rPr/>
            </w:pPr>
            <w:r>
              <w:rPr/>
              <w:t>1,640,709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bookmarkStart w:id="511" w:name="xdx_98A_eus-gaap--ShareBasedCompensation"/>
            <w:bookmarkEnd w:id="511"/>
          </w:p>
        </w:tc>
        <w:tc>
          <w:tcPr>
            <w:tcW w:w="2382" w:type="dxa"/>
            <w:tcBorders/>
            <w:shd w:fill="CCEEFF" w:val="clear"/>
            <w:vAlign w:val="center"/>
          </w:tcPr>
          <w:p>
            <w:pPr>
              <w:pStyle w:val="TableContents"/>
              <w:bidi w:val="0"/>
              <w:spacing w:before="0" w:after="283"/>
              <w:jc w:val="right"/>
              <w:rPr/>
            </w:pPr>
            <w:r>
              <w:rPr/>
              <w:t>1.49</w:t>
            </w:r>
          </w:p>
        </w:tc>
        <w:tc>
          <w:tcPr>
            <w:tcW w:w="78" w:type="dxa"/>
            <w:tcBorders/>
            <w:shd w:fill="CCEEFF" w:val="clear"/>
            <w:vAlign w:val="center"/>
          </w:tcPr>
          <w:p>
            <w:pPr>
              <w:pStyle w:val="TableContents"/>
              <w:bidi w:val="0"/>
              <w:spacing w:before="0" w:after="283"/>
              <w:jc w:val="left"/>
              <w:rPr/>
            </w:pPr>
            <w:r>
              <w:rPr/>
              <w:t> </w:t>
            </w:r>
          </w:p>
        </w:tc>
      </w:tr>
      <w:tr>
        <w:trPr/>
        <w:tc>
          <w:tcPr>
            <w:tcW w:w="2182" w:type="dxa"/>
            <w:tcBorders/>
            <w:shd w:fill="FFFFFF" w:val="clear"/>
            <w:vAlign w:val="center"/>
          </w:tcPr>
          <w:p>
            <w:pPr>
              <w:pStyle w:val="TableContents"/>
              <w:bidi w:val="0"/>
              <w:spacing w:before="0" w:after="283"/>
              <w:jc w:val="both"/>
              <w:rPr/>
            </w:pPr>
            <w:r>
              <w:rPr/>
              <w:t>Forfeited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2" w:name="xdx_98D_eus-gaap--ShareBasedCompensation"/>
            <w:bookmarkEnd w:id="51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(122,768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3" w:name="xdx_987_eus-gaap--ShareBasedCompensation"/>
            <w:bookmarkEnd w:id="513"/>
          </w:p>
        </w:tc>
        <w:tc>
          <w:tcPr>
            <w:tcW w:w="2382" w:type="dxa"/>
            <w:tcBorders>
              <w:bottom w:val="single" w:sz="8" w:space="0" w:color="000000"/>
            </w:tcBorders>
            <w:shd w:fill="FFFFFF" w:val="clear"/>
            <w:tcMar>
              <w:bottom w:w="28" w:type="dxa"/>
            </w:tcMar>
            <w:vAlign w:val="center"/>
          </w:tcPr>
          <w:p>
            <w:pPr>
              <w:pStyle w:val="TableContents"/>
              <w:bidi w:val="0"/>
              <w:spacing w:before="0" w:after="283"/>
              <w:jc w:val="right"/>
              <w:rPr/>
            </w:pPr>
            <w:r>
              <w:rPr/>
              <w:t>1.49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4" w:name="xdx_98D_eus-gaap--ShareBasedCompensation"/>
            <w:bookmarkEnd w:id="51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5" w:name="xdx_984_eus-gaap--ShareBasedCompensation"/>
            <w:bookmarkEnd w:id="515"/>
          </w:p>
        </w:tc>
        <w:tc>
          <w:tcPr>
            <w:tcW w:w="238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182" w:type="dxa"/>
            <w:tcBorders/>
            <w:shd w:fill="CCEEFF" w:val="clear"/>
            <w:vAlign w:val="center"/>
          </w:tcPr>
          <w:p>
            <w:pPr>
              <w:pStyle w:val="TableContents"/>
              <w:bidi w:val="0"/>
              <w:spacing w:before="0" w:after="283"/>
              <w:jc w:val="both"/>
              <w:rPr/>
            </w:pPr>
            <w:r>
              <w:rPr/>
              <w:t>Outstanding at June 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6" w:name="xdx_987_eus-gaap--ShareBasedCompensation"/>
            <w:bookmarkEnd w:id="516"/>
          </w:p>
        </w:tc>
        <w:tc>
          <w:tcPr>
            <w:tcW w:w="980" w:type="dxa"/>
            <w:tcBorders/>
            <w:shd w:fill="CCEEFF" w:val="clear"/>
            <w:vAlign w:val="center"/>
          </w:tcPr>
          <w:p>
            <w:pPr>
              <w:pStyle w:val="TableContents"/>
              <w:bidi w:val="0"/>
              <w:spacing w:before="0" w:after="283"/>
              <w:jc w:val="right"/>
              <w:rPr/>
            </w:pPr>
            <w:r>
              <w:rPr/>
              <w:t>3,217,343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bookmarkStart w:id="517" w:name="xdx_98A_eus-gaap--ShareBasedCompensation"/>
            <w:bookmarkEnd w:id="517"/>
          </w:p>
        </w:tc>
        <w:tc>
          <w:tcPr>
            <w:tcW w:w="2382" w:type="dxa"/>
            <w:tcBorders/>
            <w:shd w:fill="CCEEFF" w:val="clear"/>
            <w:vAlign w:val="center"/>
          </w:tcPr>
          <w:p>
            <w:pPr>
              <w:pStyle w:val="TableContents"/>
              <w:bidi w:val="0"/>
              <w:spacing w:before="0" w:after="283"/>
              <w:jc w:val="right"/>
              <w:rPr/>
            </w:pPr>
            <w:r>
              <w:rPr/>
              <w:t>1.15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8" w:name="xdx_983_eus-gaap--ShareBasedCompensation"/>
            <w:bookmarkEnd w:id="518"/>
          </w:p>
        </w:tc>
        <w:tc>
          <w:tcPr>
            <w:tcW w:w="980" w:type="dxa"/>
            <w:tcBorders/>
            <w:shd w:fill="CCEEFF" w:val="clear"/>
            <w:vAlign w:val="center"/>
          </w:tcPr>
          <w:p>
            <w:pPr>
              <w:pStyle w:val="TableContents"/>
              <w:bidi w:val="0"/>
              <w:spacing w:before="0" w:after="283"/>
              <w:jc w:val="right"/>
              <w:rPr/>
            </w:pPr>
            <w:r>
              <w:rPr/>
              <w:t>1,640,709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jc w:val="left"/>
              <w:rPr/>
            </w:pPr>
            <w:r>
              <w:rPr/>
              <w:t> </w:t>
            </w:r>
            <w:bookmarkStart w:id="519" w:name="xdx_987_eus-gaap--ShareBasedCompensation"/>
            <w:bookmarkEnd w:id="519"/>
          </w:p>
        </w:tc>
        <w:tc>
          <w:tcPr>
            <w:tcW w:w="2382" w:type="dxa"/>
            <w:tcBorders/>
            <w:shd w:fill="CCEEFF" w:val="clear"/>
            <w:vAlign w:val="center"/>
          </w:tcPr>
          <w:p>
            <w:pPr>
              <w:pStyle w:val="TableContents"/>
              <w:bidi w:val="0"/>
              <w:spacing w:before="0" w:after="283"/>
              <w:jc w:val="right"/>
              <w:rPr/>
            </w:pPr>
            <w:r>
              <w:rPr/>
              <w:t>1.49</w:t>
            </w:r>
          </w:p>
        </w:tc>
        <w:tc>
          <w:tcPr>
            <w:tcW w:w="78"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20" w:name="xdx_8A3_zWXW3tPuBuQe"/>
      <w:bookmarkEnd w:id="520"/>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total stock-based compensation cost related to unvested PSUs not yet recognized was $</w:t>
      </w:r>
      <w:bookmarkStart w:id="521" w:name="xdx_90D_eus-gaap--EmployeeServiceShareBa"/>
      <w:bookmarkEnd w:id="521"/>
      <w:r>
        <w:rPr>
          <w:rFonts w:ascii="Times New Roman;Times;Serif" w:hAnsi="Times New Roman;Times;Serif"/>
          <w:b w:val="false"/>
          <w:i w:val="false"/>
          <w:caps w:val="false"/>
          <w:smallCaps w:val="false"/>
          <w:sz w:val="20"/>
          <w:shd w:fill="FFFFFF" w:val="clear"/>
        </w:rPr>
        <w:t>1.7 million as of June 30, 2026, which is expected to be allocated to expenses over a weighted-average period of</w:t>
      </w:r>
      <w:r>
        <w:rPr>
          <w:rFonts w:ascii="Times New Roman;Times;Serif" w:hAnsi="Times New Roman;Times;Serif"/>
          <w:b w:val="false"/>
          <w:i w:val="false"/>
          <w:caps w:val="false"/>
          <w:smallCaps w:val="false"/>
          <w:sz w:val="20"/>
        </w:rPr>
        <w:t xml:space="preserve"> </w:t>
      </w:r>
      <w:bookmarkStart w:id="522" w:name="xdx_902_eus-gaap--SharebasedCompensation"/>
      <w:bookmarkEnd w:id="522"/>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shd w:fill="FFFFFF" w:val="clear"/>
        </w:rPr>
        <w:t>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3" w:name="xdx_80E_ecustom--WarrantsTextBlock_zPOo5"/>
      <w:bookmarkEnd w:id="523"/>
      <w:r>
        <w:rPr>
          <w:rFonts w:ascii="Times New Roman;Times;Serif" w:hAnsi="Times New Roman;Times;Serif"/>
          <w:b/>
          <w:i w:val="false"/>
          <w:caps w:val="false"/>
          <w:smallCaps w:val="false"/>
          <w:sz w:val="20"/>
        </w:rPr>
        <w:t xml:space="preserve">(12) </w:t>
      </w:r>
      <w:bookmarkStart w:id="524" w:name="xdx_827_zYdnXI0yOt0h"/>
      <w:bookmarkEnd w:id="524"/>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25" w:name="xdx_894_ecustom--ScheduleOfWarrantActivi"/>
      <w:bookmarkEnd w:id="525"/>
      <w:r>
        <w:rPr>
          <w:rFonts w:ascii="Times New Roman;Times;Serif" w:hAnsi="Times New Roman;Times;Serif"/>
          <w:b w:val="false"/>
          <w:i w:val="false"/>
          <w:caps w:val="false"/>
          <w:smallCaps w:val="false"/>
          <w:sz w:val="20"/>
        </w:rPr>
        <w:t>Warrant activity was as follows for the six months ended June 30, 2026 and 2025:</w:t>
      </w:r>
    </w:p>
    <w:p>
      <w:pPr>
        <w:pStyle w:val="TextBody"/>
        <w:bidi w:val="0"/>
        <w:spacing w:before="0" w:after="0"/>
        <w:ind w:left="0" w:right="0" w:hanging="0"/>
        <w:jc w:val="both"/>
        <w:rPr>
          <w:caps w:val="false"/>
          <w:smallCaps w:val="false"/>
        </w:rPr>
      </w:pPr>
      <w:r>
        <w:rPr>
          <w:caps w:val="false"/>
          <w:smallCaps w:val="false"/>
        </w:rPr>
        <w:t> </w:t>
      </w:r>
      <w:bookmarkStart w:id="526" w:name="xdx_8B9_zggJ7U6ELMAd"/>
      <w:bookmarkEnd w:id="526"/>
      <w:r>
        <w:rPr>
          <w:rFonts w:ascii="Times New Roman;Times;Serif" w:hAnsi="Times New Roman;Times;Serif"/>
          <w:b w:val="false"/>
          <w:i w:val="false"/>
          <w:caps w:val="false"/>
          <w:smallCaps w:val="false"/>
          <w:sz w:val="20"/>
        </w:rPr>
        <w:t>Schedule of Warrant Activity </w:t>
      </w:r>
    </w:p>
    <w:tbl>
      <w:tblPr>
        <w:tblW w:w="9040" w:type="dxa"/>
        <w:jc w:val="left"/>
        <w:tblInd w:w="0" w:type="dxa"/>
        <w:tblLayout w:type="fixed"/>
        <w:tblCellMar>
          <w:top w:w="0" w:type="dxa"/>
          <w:left w:w="0" w:type="dxa"/>
          <w:bottom w:w="0" w:type="dxa"/>
          <w:right w:w="0" w:type="dxa"/>
        </w:tblCellMar>
      </w:tblPr>
      <w:tblGrid>
        <w:gridCol w:w="2390"/>
        <w:gridCol w:w="60"/>
        <w:gridCol w:w="60"/>
        <w:gridCol w:w="1100"/>
        <w:gridCol w:w="95"/>
        <w:gridCol w:w="60"/>
        <w:gridCol w:w="99"/>
        <w:gridCol w:w="731"/>
        <w:gridCol w:w="60"/>
        <w:gridCol w:w="60"/>
        <w:gridCol w:w="114"/>
        <w:gridCol w:w="836"/>
        <w:gridCol w:w="60"/>
        <w:gridCol w:w="60"/>
        <w:gridCol w:w="60"/>
        <w:gridCol w:w="1100"/>
        <w:gridCol w:w="60"/>
        <w:gridCol w:w="60"/>
        <w:gridCol w:w="99"/>
        <w:gridCol w:w="731"/>
        <w:gridCol w:w="60"/>
        <w:gridCol w:w="60"/>
        <w:gridCol w:w="150"/>
        <w:gridCol w:w="800"/>
        <w:gridCol w:w="75"/>
      </w:tblGrid>
      <w:tr>
        <w:trPr/>
        <w:tc>
          <w:tcPr>
            <w:tcW w:w="23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2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w:t>
              <w:br/>
              <w:t>Term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Exercise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Remaining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w:t>
              <w:br/>
              <w:t>Term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75"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Outstanding at January 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7" w:name="xdx_987_eus-gaap--ShareBasedCompensation"/>
            <w:bookmarkEnd w:id="527"/>
          </w:p>
        </w:tc>
        <w:tc>
          <w:tcPr>
            <w:tcW w:w="1100" w:type="dxa"/>
            <w:tcBorders/>
            <w:shd w:fill="CCEEFF" w:val="clear"/>
            <w:vAlign w:val="center"/>
          </w:tcPr>
          <w:p>
            <w:pPr>
              <w:pStyle w:val="TableContents"/>
              <w:bidi w:val="0"/>
              <w:spacing w:before="0" w:after="283"/>
              <w:jc w:val="right"/>
              <w:rPr/>
            </w:pPr>
            <w:r>
              <w:rPr/>
              <w:t>12,237,470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528" w:name="xdx_982_ecustom--ShareBasedCompensationA"/>
            <w:bookmarkEnd w:id="528"/>
          </w:p>
        </w:tc>
        <w:tc>
          <w:tcPr>
            <w:tcW w:w="731"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9" w:name="xdx_988_eus-gaap--ShareBasedCompensation"/>
            <w:bookmarkEnd w:id="529"/>
          </w:p>
        </w:tc>
        <w:tc>
          <w:tcPr>
            <w:tcW w:w="1100" w:type="dxa"/>
            <w:tcBorders/>
            <w:shd w:fill="CCEEFF" w:val="clear"/>
            <w:vAlign w:val="center"/>
          </w:tcPr>
          <w:p>
            <w:pPr>
              <w:pStyle w:val="TableContents"/>
              <w:bidi w:val="0"/>
              <w:spacing w:before="0" w:after="283"/>
              <w:jc w:val="right"/>
              <w:rPr/>
            </w:pPr>
            <w:r>
              <w:rPr/>
              <w:t>12,237,470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530" w:name="xdx_98C_ecustom--ShareBasedCompensationA"/>
            <w:bookmarkEnd w:id="530"/>
          </w:p>
        </w:tc>
        <w:tc>
          <w:tcPr>
            <w:tcW w:w="731"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531" w:name="xdx_906_ecustom--SharebasedCompensationA"/>
            <w:bookmarkEnd w:id="531"/>
            <w:r>
              <w:rPr/>
              <w:t>1.8</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Cancelled or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2" w:name="xdx_98A_eus-gaap--ShareBasedCompensation"/>
            <w:bookmarkEnd w:id="532"/>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(7,111,112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533" w:name="xdx_98D_ecustom--ShareBasedCompensationA"/>
            <w:bookmarkEnd w:id="533"/>
          </w:p>
        </w:tc>
        <w:tc>
          <w:tcPr>
            <w:tcW w:w="731" w:type="dxa"/>
            <w:tcBorders/>
            <w:shd w:fill="FFFFFF" w:val="clear"/>
            <w:vAlign w:val="center"/>
          </w:tcPr>
          <w:p>
            <w:pPr>
              <w:pStyle w:val="TableContents"/>
              <w:bidi w:val="0"/>
              <w:spacing w:before="0" w:after="283"/>
              <w:jc w:val="right"/>
              <w:rPr/>
            </w:pPr>
            <w:r>
              <w:rPr/>
              <w:t>2.29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34" w:name="xdx_98B_eus-gaap--ShareBasedCompensation"/>
            <w:bookmarkEnd w:id="53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535" w:name="xdx_98F_ecustom--ShareBasedCompensationA"/>
            <w:bookmarkEnd w:id="535"/>
          </w:p>
        </w:tc>
        <w:tc>
          <w:tcPr>
            <w:tcW w:w="73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both"/>
              <w:rPr/>
            </w:pPr>
            <w:r>
              <w:rPr/>
              <w:t>Outstanding at June 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36" w:name="xdx_982_eus-gaap--ShareBasedCompensation"/>
            <w:bookmarkEnd w:id="536"/>
          </w:p>
        </w:tc>
        <w:tc>
          <w:tcPr>
            <w:tcW w:w="1100" w:type="dxa"/>
            <w:tcBorders/>
            <w:shd w:fill="CCEEFF" w:val="clear"/>
            <w:vAlign w:val="center"/>
          </w:tcPr>
          <w:p>
            <w:pPr>
              <w:pStyle w:val="TableContents"/>
              <w:bidi w:val="0"/>
              <w:spacing w:before="0" w:after="283"/>
              <w:jc w:val="right"/>
              <w:rPr/>
            </w:pPr>
            <w:r>
              <w:rPr/>
              <w:t>5,126,358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537" w:name="xdx_989_ecustom--ShareBasedCompensationA"/>
            <w:bookmarkEnd w:id="537"/>
          </w:p>
        </w:tc>
        <w:tc>
          <w:tcPr>
            <w:tcW w:w="731" w:type="dxa"/>
            <w:tcBorders/>
            <w:shd w:fill="CCEEFF" w:val="clear"/>
            <w:vAlign w:val="center"/>
          </w:tcPr>
          <w:p>
            <w:pPr>
              <w:pStyle w:val="TableContents"/>
              <w:bidi w:val="0"/>
              <w:spacing w:before="0" w:after="283"/>
              <w:jc w:val="right"/>
              <w:rPr/>
            </w:pPr>
            <w:r>
              <w:rPr/>
              <w:t>0.48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jc w:val="left"/>
              <w:rPr/>
            </w:pPr>
            <w:r>
              <w:rPr/>
              <w:t> </w:t>
            </w:r>
          </w:p>
        </w:tc>
        <w:tc>
          <w:tcPr>
            <w:tcW w:w="836" w:type="dxa"/>
            <w:tcBorders/>
            <w:shd w:fill="CCEEFF" w:val="clear"/>
            <w:vAlign w:val="center"/>
          </w:tcPr>
          <w:p>
            <w:pPr>
              <w:pStyle w:val="TableContents"/>
              <w:bidi w:val="0"/>
              <w:spacing w:before="0" w:after="283"/>
              <w:jc w:val="right"/>
              <w:rPr/>
            </w:pPr>
            <w:bookmarkStart w:id="538" w:name="xdx_90F_ecustom--SharebasedCompensationA"/>
            <w:bookmarkEnd w:id="538"/>
            <w:r>
              <w:rPr/>
              <w:t>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39" w:name="xdx_987_eus-gaap--ShareBasedCompensation"/>
            <w:bookmarkEnd w:id="539"/>
          </w:p>
        </w:tc>
        <w:tc>
          <w:tcPr>
            <w:tcW w:w="1100" w:type="dxa"/>
            <w:tcBorders/>
            <w:shd w:fill="CCEEFF" w:val="clear"/>
            <w:vAlign w:val="center"/>
          </w:tcPr>
          <w:p>
            <w:pPr>
              <w:pStyle w:val="TableContents"/>
              <w:bidi w:val="0"/>
              <w:spacing w:before="0" w:after="283"/>
              <w:jc w:val="right"/>
              <w:rPr/>
            </w:pPr>
            <w:r>
              <w:rPr/>
              <w:t>12,237,470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bookmarkStart w:id="540" w:name="xdx_986_ecustom--ShareBasedCompensationA"/>
            <w:bookmarkEnd w:id="540"/>
          </w:p>
        </w:tc>
        <w:tc>
          <w:tcPr>
            <w:tcW w:w="731" w:type="dxa"/>
            <w:tcBorders/>
            <w:shd w:fill="CCEEFF" w:val="clear"/>
            <w:vAlign w:val="center"/>
          </w:tcPr>
          <w:p>
            <w:pPr>
              <w:pStyle w:val="TableContents"/>
              <w:bidi w:val="0"/>
              <w:spacing w:before="0" w:after="283"/>
              <w:jc w:val="right"/>
              <w:rPr/>
            </w:pPr>
            <w:r>
              <w:rPr/>
              <w:t>1.53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bookmarkStart w:id="541" w:name="xdx_907_ecustom--SharebasedCompensationA"/>
            <w:bookmarkEnd w:id="541"/>
            <w:r>
              <w:rPr/>
              <w:t>1.3</w:t>
            </w:r>
          </w:p>
        </w:tc>
        <w:tc>
          <w:tcPr>
            <w:tcW w:w="7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both"/>
              <w:rPr/>
            </w:pPr>
            <w:r>
              <w:rPr/>
              <w:t>Exercisable at June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42" w:name="xdx_98E_ecustom--ShareBasedCompensationA"/>
            <w:bookmarkEnd w:id="542"/>
          </w:p>
        </w:tc>
        <w:tc>
          <w:tcPr>
            <w:tcW w:w="1100" w:type="dxa"/>
            <w:tcBorders/>
            <w:shd w:fill="FFFFFF" w:val="clear"/>
            <w:vAlign w:val="center"/>
          </w:tcPr>
          <w:p>
            <w:pPr>
              <w:pStyle w:val="TableContents"/>
              <w:bidi w:val="0"/>
              <w:spacing w:before="0" w:after="283"/>
              <w:jc w:val="right"/>
              <w:rPr/>
            </w:pPr>
            <w:r>
              <w:rPr/>
              <w:t>5,126,358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543" w:name="xdx_988_ecustom--ShareBasedCompensationA"/>
            <w:bookmarkEnd w:id="543"/>
          </w:p>
        </w:tc>
        <w:tc>
          <w:tcPr>
            <w:tcW w:w="731" w:type="dxa"/>
            <w:tcBorders/>
            <w:shd w:fill="FFFFFF" w:val="clear"/>
            <w:vAlign w:val="center"/>
          </w:tcPr>
          <w:p>
            <w:pPr>
              <w:pStyle w:val="TableContents"/>
              <w:bidi w:val="0"/>
              <w:spacing w:before="0" w:after="283"/>
              <w:jc w:val="right"/>
              <w:rPr/>
            </w:pPr>
            <w:r>
              <w:rPr/>
              <w:t>0.48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jc w:val="left"/>
              <w:rPr/>
            </w:pPr>
            <w:r>
              <w:rPr/>
              <w:t> </w:t>
            </w:r>
          </w:p>
        </w:tc>
        <w:tc>
          <w:tcPr>
            <w:tcW w:w="836" w:type="dxa"/>
            <w:tcBorders/>
            <w:shd w:fill="FFFFFF" w:val="clear"/>
            <w:vAlign w:val="center"/>
          </w:tcPr>
          <w:p>
            <w:pPr>
              <w:pStyle w:val="TableContents"/>
              <w:bidi w:val="0"/>
              <w:spacing w:before="0" w:after="283"/>
              <w:jc w:val="right"/>
              <w:rPr/>
            </w:pPr>
            <w:bookmarkStart w:id="544" w:name="xdx_905_ecustom--SharebasedCompensationA"/>
            <w:bookmarkEnd w:id="544"/>
            <w:r>
              <w:rPr/>
              <w:t>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45" w:name="xdx_987_ecustom--ShareBasedCompensationA"/>
            <w:bookmarkEnd w:id="545"/>
          </w:p>
        </w:tc>
        <w:tc>
          <w:tcPr>
            <w:tcW w:w="1100" w:type="dxa"/>
            <w:tcBorders/>
            <w:shd w:fill="FFFFFF" w:val="clear"/>
            <w:vAlign w:val="center"/>
          </w:tcPr>
          <w:p>
            <w:pPr>
              <w:pStyle w:val="TableContents"/>
              <w:bidi w:val="0"/>
              <w:spacing w:before="0" w:after="283"/>
              <w:jc w:val="right"/>
              <w:rPr/>
            </w:pPr>
            <w:r>
              <w:rPr/>
              <w:t>12,237,470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bookmarkStart w:id="546" w:name="xdx_984_ecustom--ShareBasedCompensationA"/>
            <w:bookmarkEnd w:id="546"/>
          </w:p>
        </w:tc>
        <w:tc>
          <w:tcPr>
            <w:tcW w:w="731" w:type="dxa"/>
            <w:tcBorders/>
            <w:shd w:fill="FFFFFF" w:val="clear"/>
            <w:vAlign w:val="center"/>
          </w:tcPr>
          <w:p>
            <w:pPr>
              <w:pStyle w:val="TableContents"/>
              <w:bidi w:val="0"/>
              <w:spacing w:before="0" w:after="283"/>
              <w:jc w:val="right"/>
              <w:rPr/>
            </w:pPr>
            <w:r>
              <w:rPr/>
              <w:t>1.53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bookmarkStart w:id="547" w:name="xdx_905_ecustom--SharebasedCompensationA"/>
            <w:bookmarkEnd w:id="547"/>
            <w:r>
              <w:rPr/>
              <w:t>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48" w:name="xdx_8A1_z8KEZrXNTv5h"/>
      <w:bookmarkEnd w:id="548"/>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9" w:name="xdx_80B_eus-gaap--CommitmentsAndContinge"/>
      <w:bookmarkEnd w:id="549"/>
      <w:r>
        <w:rPr>
          <w:rFonts w:ascii="Times New Roman;Times;Serif" w:hAnsi="Times New Roman;Times;Serif"/>
          <w:b/>
          <w:i w:val="false"/>
          <w:caps w:val="false"/>
          <w:smallCaps w:val="false"/>
          <w:sz w:val="20"/>
        </w:rPr>
        <w:t xml:space="preserve">(13) </w:t>
      </w:r>
      <w:bookmarkStart w:id="550" w:name="xdx_825_zXQuUFWRoQyf"/>
      <w:bookmarkEnd w:id="550"/>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subject to potential liabilities under government regulations and various claims and legal actions that are pending but we believe are immaterial at this time or may be asserted in the future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matters arise in the ordinary course and conduct of our business and may include, for example, commercial, product liability, intellectual property, and employment matters. We intend to continue to defend the Company vigorously in such matters and when warranted, take legal action against others. Furthermore, we regularly assess contingencies to determine the degree of probability and range of possible loss for potential accrual in our financial statements. An estimated loss contingency is accrued in our financial statements if it is probable that a liability has been incurred and the amount of the loss can be reasonably estimated. Based on our assessment, we have adequately accrued an amount for contingent liabilities currently in existence. We do not accrue amounts for liabilities that we do not believe are probable or that we consider immaterial to our overall financial position. Litigation is inherently unpredictable, and unfavorable resolutions could occur. As a result, assessing contingencies is highly subjective and requires judgment about future events. The amount of ultimate loss may exceed the Company’s current accruals, and it is possible that its cash flows or results of operations could be materially affected in any particular period by the unfavorable resolution of one or more of these contingencies.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Arrangements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indemnification arrangements generally include limited warranties and certain provisions for indemnifying customers against liabilities if our products or services infringe a third-party’s intellectual property rights. To date, we have not incurred any material costs as a result of such warranties or indemnification provisions and have not accrued any liabilities related to such obligations in the accompanying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agreed to indemnify our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1" w:name="xdx_80B_eus-gaap--IncomeTaxDisclosureTex"/>
      <w:bookmarkEnd w:id="551"/>
      <w:r>
        <w:rPr>
          <w:rFonts w:ascii="Times New Roman;Times;Serif" w:hAnsi="Times New Roman;Times;Serif"/>
          <w:b/>
          <w:i w:val="false"/>
          <w:caps w:val="false"/>
          <w:smallCaps w:val="false"/>
          <w:sz w:val="20"/>
        </w:rPr>
        <w:t xml:space="preserve">(14) </w:t>
      </w:r>
      <w:bookmarkStart w:id="552" w:name="xdx_823_z2wIY2tkqswa"/>
      <w:bookmarkEnd w:id="552"/>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53" w:name="xdx_892_eus-gaap--ScheduleOfEffectiveInc"/>
      <w:bookmarkEnd w:id="553"/>
      <w:r>
        <w:rPr>
          <w:rFonts w:ascii="Times New Roman;Times;Serif" w:hAnsi="Times New Roman;Times;Serif"/>
          <w:b w:val="false"/>
          <w:i w:val="false"/>
          <w:caps w:val="false"/>
          <w:smallCaps w:val="false"/>
          <w:sz w:val="20"/>
        </w:rPr>
        <w:t>Information on the Company’s income taxes for the periods reported is as follows: </w:t>
      </w:r>
    </w:p>
    <w:p>
      <w:pPr>
        <w:pStyle w:val="TextBody"/>
        <w:bidi w:val="0"/>
        <w:spacing w:before="0" w:after="0"/>
        <w:ind w:left="0" w:right="0" w:hanging="0"/>
        <w:jc w:val="both"/>
        <w:rPr>
          <w:caps w:val="false"/>
          <w:smallCaps w:val="false"/>
        </w:rPr>
      </w:pPr>
      <w:r>
        <w:rPr>
          <w:caps w:val="false"/>
          <w:smallCaps w:val="false"/>
        </w:rPr>
        <w:t> </w:t>
      </w:r>
      <w:bookmarkStart w:id="554" w:name="xdx_8BC_zJZ0G4bkZ9O"/>
      <w:bookmarkEnd w:id="554"/>
      <w:r>
        <w:rPr>
          <w:rFonts w:ascii="Times New Roman;Times;Serif" w:hAnsi="Times New Roman;Times;Serif"/>
          <w:b w:val="false"/>
          <w:i w:val="false"/>
          <w:caps w:val="false"/>
          <w:smallCaps w:val="false"/>
          <w:sz w:val="20"/>
        </w:rPr>
        <w:t>Schedule of Income Taxes </w:t>
      </w:r>
    </w:p>
    <w:tbl>
      <w:tblPr>
        <w:tblW w:w="10167" w:type="dxa"/>
        <w:jc w:val="left"/>
        <w:tblInd w:w="0" w:type="dxa"/>
        <w:tblLayout w:type="fixed"/>
        <w:tblCellMar>
          <w:top w:w="0" w:type="dxa"/>
          <w:left w:w="0" w:type="dxa"/>
          <w:bottom w:w="0" w:type="dxa"/>
          <w:right w:w="0" w:type="dxa"/>
        </w:tblCellMar>
      </w:tblPr>
      <w:tblGrid>
        <w:gridCol w:w="5945"/>
        <w:gridCol w:w="60"/>
        <w:gridCol w:w="143"/>
        <w:gridCol w:w="649"/>
        <w:gridCol w:w="219"/>
        <w:gridCol w:w="61"/>
        <w:gridCol w:w="143"/>
        <w:gridCol w:w="572"/>
        <w:gridCol w:w="215"/>
        <w:gridCol w:w="60"/>
        <w:gridCol w:w="140"/>
        <w:gridCol w:w="755"/>
        <w:gridCol w:w="215"/>
        <w:gridCol w:w="60"/>
        <w:gridCol w:w="140"/>
        <w:gridCol w:w="560"/>
        <w:gridCol w:w="230"/>
      </w:tblGrid>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55" w:name="xdx_496_20260401__20260630_zECl6JhWfx08"/>
            <w:bookmarkEnd w:id="555"/>
          </w:p>
        </w:tc>
        <w:tc>
          <w:tcPr>
            <w:tcW w:w="7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bookmarkStart w:id="556" w:name="xdx_49A_20250401__20250630_zMzbuM5uZU87"/>
            <w:bookmarkEnd w:id="556"/>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7" w:name="xdx_492_20260101__20260630_zP7Az5yqIpSa"/>
            <w:bookmarkEnd w:id="557"/>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8" w:name="xdx_497_20250101__20250630_z2jseoSGUWka"/>
            <w:bookmarkEnd w:id="558"/>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787"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7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30" w:type="dxa"/>
            <w:tcBorders/>
            <w:vAlign w:val="center"/>
          </w:tcPr>
          <w:p>
            <w:pPr>
              <w:pStyle w:val="TableContents"/>
              <w:bidi w:val="0"/>
              <w:spacing w:before="0" w:after="283"/>
              <w:jc w:val="left"/>
              <w:rPr/>
            </w:pPr>
            <w:r>
              <w:rPr/>
              <w:t> </w:t>
            </w:r>
          </w:p>
        </w:tc>
      </w:tr>
      <w:tr>
        <w:trPr/>
        <w:tc>
          <w:tcPr>
            <w:tcW w:w="59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7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9"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bookmarkStart w:id="559" w:name="xdx_40D_eus-gaap--IncomeTaxExpenseBenefi"/>
            <w:bookmarkEnd w:id="559"/>
          </w:p>
        </w:tc>
      </w:tr>
      <w:tr>
        <w:trPr/>
        <w:tc>
          <w:tcPr>
            <w:tcW w:w="5945" w:type="dxa"/>
            <w:tcBorders/>
            <w:shd w:fill="CCEEFF" w:val="clear"/>
            <w:vAlign w:val="center"/>
          </w:tcPr>
          <w:p>
            <w:pPr>
              <w:pStyle w:val="TableContents"/>
              <w:bidi w:val="0"/>
              <w:spacing w:before="0" w:after="283"/>
              <w:jc w:val="left"/>
              <w:rPr/>
            </w:pPr>
            <w:r>
              <w:rPr/>
              <w:t>Income tax expense from continuing operations</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649" w:type="dxa"/>
            <w:tcBorders/>
            <w:shd w:fill="CCEEFF" w:val="clear"/>
            <w:vAlign w:val="center"/>
          </w:tcPr>
          <w:p>
            <w:pPr>
              <w:pStyle w:val="TableContents"/>
              <w:bidi w:val="0"/>
              <w:spacing w:before="0" w:after="283"/>
              <w:jc w:val="right"/>
              <w:rPr/>
            </w:pPr>
            <w:r>
              <w:rPr/>
              <w:t>73</w:t>
            </w:r>
          </w:p>
        </w:tc>
        <w:tc>
          <w:tcPr>
            <w:tcW w:w="219"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w:t>
            </w:r>
          </w:p>
        </w:tc>
        <w:tc>
          <w:tcPr>
            <w:tcW w:w="572" w:type="dxa"/>
            <w:tcBorders/>
            <w:shd w:fill="CCEEFF" w:val="clear"/>
            <w:vAlign w:val="center"/>
          </w:tcPr>
          <w:p>
            <w:pPr>
              <w:pStyle w:val="TableContents"/>
              <w:bidi w:val="0"/>
              <w:spacing w:before="0" w:after="283"/>
              <w:jc w:val="right"/>
              <w:rPr/>
            </w:pPr>
            <w:r>
              <w:rPr/>
              <w:t>255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230</w:t>
            </w:r>
          </w:p>
        </w:tc>
        <w:tc>
          <w:tcPr>
            <w:tcW w:w="230" w:type="dxa"/>
            <w:tcBorders/>
            <w:shd w:fill="CCEEFF" w:val="clear"/>
            <w:vAlign w:val="center"/>
          </w:tcPr>
          <w:p>
            <w:pPr>
              <w:pStyle w:val="TableContents"/>
              <w:bidi w:val="0"/>
              <w:spacing w:before="0" w:after="283"/>
              <w:jc w:val="left"/>
              <w:rPr/>
            </w:pPr>
            <w:r>
              <w:rPr/>
              <w:t> </w:t>
            </w:r>
            <w:bookmarkStart w:id="560" w:name="xdx_403_eus-gaap--IncomeLossFromContinui"/>
            <w:bookmarkEnd w:id="560"/>
          </w:p>
        </w:tc>
      </w:tr>
      <w:tr>
        <w:trPr/>
        <w:tc>
          <w:tcPr>
            <w:tcW w:w="5945" w:type="dxa"/>
            <w:tcBorders/>
            <w:shd w:fill="FFFFFF" w:val="clear"/>
            <w:vAlign w:val="center"/>
          </w:tcPr>
          <w:p>
            <w:pPr>
              <w:pStyle w:val="TableContents"/>
              <w:bidi w:val="0"/>
              <w:spacing w:before="0" w:after="283"/>
              <w:jc w:val="left"/>
              <w:rPr/>
            </w:pPr>
            <w:r>
              <w:rPr/>
              <w:t>(Loss) income from continuing operations before income taxes</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pPr>
            <w:r>
              <w:rPr/>
              <w:t>(9,340</w:t>
            </w:r>
          </w:p>
        </w:tc>
        <w:tc>
          <w:tcPr>
            <w:tcW w:w="219"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3"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72" w:type="dxa"/>
            <w:tcBorders>
              <w:bottom w:val="single" w:sz="8" w:space="0" w:color="000000"/>
            </w:tcBorders>
            <w:shd w:fill="FFFFFF" w:val="clear"/>
            <w:tcMar>
              <w:bottom w:w="28" w:type="dxa"/>
            </w:tcMar>
            <w:vAlign w:val="center"/>
          </w:tcPr>
          <w:p>
            <w:pPr>
              <w:pStyle w:val="TableContents"/>
              <w:bidi w:val="0"/>
              <w:spacing w:before="0" w:after="283"/>
              <w:jc w:val="right"/>
              <w:rPr/>
            </w:pPr>
            <w:r>
              <w:rPr/>
              <w:t>3,805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(12,402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3,838</w:t>
            </w:r>
          </w:p>
        </w:tc>
        <w:tc>
          <w:tcPr>
            <w:tcW w:w="230"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283"/>
              <w:jc w:val="left"/>
              <w:rPr/>
            </w:pPr>
            <w:r>
              <w:rPr/>
              <w:t>Effective income tax rate</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bookmarkStart w:id="561" w:name="xdx_90D_eus-gaap--EffectiveIncomeTaxRate"/>
            <w:bookmarkEnd w:id="561"/>
            <w:r>
              <w:rPr/>
              <w:t>-0.8</w:t>
            </w:r>
          </w:p>
        </w:tc>
        <w:tc>
          <w:tcPr>
            <w:tcW w:w="219" w:type="dxa"/>
            <w:tcBorders/>
            <w:shd w:fill="CCEEFF" w:val="clear"/>
            <w:vAlign w:val="center"/>
          </w:tcPr>
          <w:p>
            <w:pPr>
              <w:pStyle w:val="TableContents"/>
              <w:bidi w:val="0"/>
              <w:spacing w:before="0" w:after="283"/>
              <w:jc w:val="left"/>
              <w:rPr/>
            </w:pPr>
            <w:r>
              <w:rPr/>
              <w:t>%</w:t>
            </w:r>
          </w:p>
        </w:tc>
        <w:tc>
          <w:tcPr>
            <w:tcW w:w="61"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572" w:type="dxa"/>
            <w:tcBorders/>
            <w:shd w:fill="CCEEFF" w:val="clear"/>
            <w:vAlign w:val="center"/>
          </w:tcPr>
          <w:p>
            <w:pPr>
              <w:pStyle w:val="TableContents"/>
              <w:bidi w:val="0"/>
              <w:spacing w:before="0" w:after="283"/>
              <w:jc w:val="right"/>
              <w:rPr/>
            </w:pPr>
            <w:bookmarkStart w:id="562" w:name="xdx_90F_eus-gaap--EffectiveIncomeTaxRate"/>
            <w:bookmarkEnd w:id="562"/>
            <w:r>
              <w:rPr/>
              <w:t>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bookmarkStart w:id="563" w:name="xdx_908_eus-gaap--EffectiveIncomeTaxRate"/>
            <w:bookmarkEnd w:id="563"/>
            <w:r>
              <w:rPr/>
              <w:t>-0.8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bookmarkStart w:id="564" w:name="xdx_901_eus-gaap--EffectiveIncomeTaxRate"/>
            <w:bookmarkEnd w:id="564"/>
            <w:r>
              <w:rPr/>
              <w:t>6.0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1"/>
        <w:jc w:val="center"/>
        <w:rPr>
          <w:caps w:val="false"/>
          <w:smallCaps w:val="false"/>
        </w:rPr>
      </w:pPr>
      <w:bookmarkStart w:id="565" w:name="xdx_8A3_zJm87pfk89t5"/>
      <w:bookmarkEnd w:id="565"/>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tax rate for the three and six months ended June 30, 2026 differs from the statutory rate due to a valuation allowance against deferred tax assets, offset by the impact of cash state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effective tax rate for the three and six months ended June 30, 2025 differs from the statutory rate due to a valuation allowance against deferred tax assets, offset by the impact of cash state and foreign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is not currently under examination by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6" w:name="xdx_80A_eus-gaap--EarningsPerShareTextBl"/>
      <w:bookmarkEnd w:id="566"/>
      <w:r>
        <w:rPr>
          <w:rFonts w:ascii="Times New Roman;Times;Serif" w:hAnsi="Times New Roman;Times;Serif"/>
          <w:b/>
          <w:i w:val="false"/>
          <w:caps w:val="false"/>
          <w:smallCaps w:val="false"/>
          <w:sz w:val="20"/>
        </w:rPr>
        <w:t xml:space="preserve">(15) </w:t>
      </w:r>
      <w:bookmarkStart w:id="567" w:name="xdx_821_z64L4J3Lv28i"/>
      <w:bookmarkEnd w:id="567"/>
      <w:r>
        <w:rPr>
          <w:rFonts w:ascii="Times New Roman;Times;Serif" w:hAnsi="Times New Roman;Times;Serif"/>
          <w:b/>
          <w:i w:val="false"/>
          <w:caps w:val="false"/>
          <w:smallCaps w:val="false"/>
          <w:sz w:val="20"/>
        </w:rPr>
        <w:t>Net Income (Loss)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Basic net (loss) income per share is computed by dividing net (loss) income by the weighted average number of shares of common stock outstanding. Shares issued during the period and shares reacquired during the period are weighted for the portion of the period that they were outstanding. Diluted net (loss) income per share is computed in a manner consistent with that of basic earnings per share while giving effect to all potentially dilutive shares of common stock outstanding during the period, which include the assumed exercise of stock options and warrants using the treasury stock method. Diluted net (loss) income per share was the same as basic net (loss) income per share for the three and six months ended June 30, 2026, as shares issuable upon the exercise of stock options and warrants were anti-dilutive as a result of the net losses incurred for the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bookmarkStart w:id="568" w:name="xdx_89F_eus-gaap--ScheduleOfEarningsPerS"/>
      <w:bookmarkEnd w:id="568"/>
      <w:r>
        <w:rPr>
          <w:rFonts w:ascii="Times New Roman;Times;Serif" w:hAnsi="Times New Roman;Times;Serif"/>
          <w:b w:val="false"/>
          <w:i w:val="false"/>
          <w:caps w:val="false"/>
          <w:smallCaps w:val="false"/>
          <w:sz w:val="20"/>
          <w:shd w:fill="FFFFFF" w:val="clear"/>
        </w:rPr>
        <w:t>The table below sets forth the computation of basic and diluted (loss) earnings per share (in thousands, except per share data):</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69" w:name="xdx_8BC_zJJJ5RImzLI6"/>
      <w:bookmarkEnd w:id="569"/>
      <w:r>
        <w:rPr>
          <w:rFonts w:ascii="Times New Roman;Times;Serif" w:hAnsi="Times New Roman;Times;Serif"/>
          <w:b w:val="false"/>
          <w:i w:val="false"/>
          <w:caps w:val="false"/>
          <w:smallCaps w:val="false"/>
          <w:sz w:val="20"/>
          <w:shd w:fill="FFFFFF" w:val="clear"/>
        </w:rPr>
        <w:t>Schedule of Basic and Diluted Earnings Per Share</w:t>
      </w:r>
      <w:r>
        <w:rPr>
          <w:rFonts w:ascii="Times New Roman;Times;Serif" w:hAnsi="Times New Roman;Times;Serif"/>
          <w:b w:val="false"/>
          <w:i w:val="false"/>
          <w:caps w:val="false"/>
          <w:smallCaps w:val="false"/>
          <w:sz w:val="20"/>
        </w:rPr>
        <w:t> </w:t>
      </w:r>
    </w:p>
    <w:tbl>
      <w:tblPr>
        <w:tblW w:w="10205" w:type="dxa"/>
        <w:jc w:val="left"/>
        <w:tblInd w:w="0" w:type="dxa"/>
        <w:tblLayout w:type="fixed"/>
        <w:tblCellMar>
          <w:top w:w="0" w:type="dxa"/>
          <w:left w:w="0" w:type="dxa"/>
          <w:bottom w:w="0" w:type="dxa"/>
          <w:right w:w="0" w:type="dxa"/>
        </w:tblCellMar>
      </w:tblPr>
      <w:tblGrid>
        <w:gridCol w:w="4200"/>
        <w:gridCol w:w="60"/>
        <w:gridCol w:w="140"/>
        <w:gridCol w:w="1220"/>
        <w:gridCol w:w="95"/>
        <w:gridCol w:w="60"/>
        <w:gridCol w:w="140"/>
        <w:gridCol w:w="1220"/>
        <w:gridCol w:w="60"/>
        <w:gridCol w:w="60"/>
        <w:gridCol w:w="140"/>
        <w:gridCol w:w="1220"/>
        <w:gridCol w:w="95"/>
        <w:gridCol w:w="60"/>
        <w:gridCol w:w="140"/>
        <w:gridCol w:w="1220"/>
        <w:gridCol w:w="75"/>
      </w:tblGrid>
      <w:tr>
        <w:trPr/>
        <w:tc>
          <w:tcPr>
            <w:tcW w:w="4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570" w:name="xdx_490_20260401__20260630_zTXbhJG58pJ"/>
            <w:bookmarkEnd w:id="570"/>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1" w:name="xdx_49E_20250401__20250630_zeiQEK2OUBof"/>
            <w:bookmarkEnd w:id="571"/>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2" w:name="xdx_49E_20260101__20260630_zlDgxgEwARjg"/>
            <w:bookmarkEnd w:id="572"/>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3" w:name="xdx_499_20250101__20250630_z3qSKON6nIde"/>
            <w:bookmarkEnd w:id="573"/>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75" w:type="dxa"/>
            <w:tcBorders/>
            <w:vAlign w:val="center"/>
          </w:tcPr>
          <w:p>
            <w:pPr>
              <w:pStyle w:val="TableContents"/>
              <w:bidi w:val="0"/>
              <w:spacing w:before="0" w:after="283"/>
              <w:jc w:val="left"/>
              <w:rPr/>
            </w:pPr>
            <w:r>
              <w:rPr/>
              <w:t> </w:t>
            </w:r>
          </w:p>
        </w:tc>
      </w:tr>
      <w:tr>
        <w:trPr/>
        <w:tc>
          <w:tcPr>
            <w:tcW w:w="420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200" w:type="dxa"/>
            <w:tcBorders/>
            <w:shd w:fill="CCEEFF" w:val="clear"/>
            <w:vAlign w:val="center"/>
          </w:tcPr>
          <w:p>
            <w:pPr>
              <w:pStyle w:val="TableContents"/>
              <w:bidi w:val="0"/>
              <w:spacing w:before="0" w:after="283"/>
              <w:jc w:val="left"/>
              <w:rPr>
                <w:b/>
              </w:rPr>
            </w:pPr>
            <w:r>
              <w:rPr>
                <w:b/>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74" w:name="xdx_40C_eus-gaap--NetIncomeLoss_pn3n3_z8"/>
            <w:bookmarkEnd w:id="574"/>
          </w:p>
        </w:tc>
      </w:tr>
      <w:tr>
        <w:trPr/>
        <w:tc>
          <w:tcPr>
            <w:tcW w:w="4200"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(9,413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3,550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(12,502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3,608</w:t>
            </w:r>
          </w:p>
        </w:tc>
        <w:tc>
          <w:tcPr>
            <w:tcW w:w="75" w:type="dxa"/>
            <w:tcBorders/>
            <w:shd w:fill="FFFFFF" w:val="clear"/>
            <w:vAlign w:val="center"/>
          </w:tcPr>
          <w:p>
            <w:pPr>
              <w:pStyle w:val="TableContents"/>
              <w:bidi w:val="0"/>
              <w:spacing w:before="0" w:after="283"/>
              <w:jc w:val="left"/>
              <w:rPr/>
            </w:pPr>
            <w:r>
              <w:rPr/>
              <w:t> </w:t>
            </w:r>
          </w:p>
        </w:tc>
      </w:tr>
      <w:tr>
        <w:trPr/>
        <w:tc>
          <w:tcPr>
            <w:tcW w:w="4200" w:type="dxa"/>
            <w:tcBorders/>
            <w:shd w:fill="CCEEFF" w:val="clear"/>
            <w:vAlign w:val="center"/>
          </w:tcPr>
          <w:p>
            <w:pPr>
              <w:pStyle w:val="TableContents"/>
              <w:bidi w:val="0"/>
              <w:spacing w:before="0" w:after="283"/>
              <w:jc w:val="left"/>
              <w:rPr>
                <w:b/>
              </w:rPr>
            </w:pPr>
            <w:r>
              <w:rPr>
                <w:b/>
              </w:rPr>
              <w:t>Denominator: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75" w:name="xdx_400_eus-gaap--WeightedAverageNumberO"/>
            <w:bookmarkEnd w:id="575"/>
          </w:p>
        </w:tc>
      </w:tr>
      <w:tr>
        <w:trPr/>
        <w:tc>
          <w:tcPr>
            <w:tcW w:w="4200" w:type="dxa"/>
            <w:tcBorders/>
            <w:shd w:fill="FFFFFF" w:val="clear"/>
            <w:vAlign w:val="center"/>
          </w:tcPr>
          <w:p>
            <w:pPr>
              <w:pStyle w:val="TableContents"/>
              <w:bidi w:val="0"/>
              <w:spacing w:before="0" w:after="283"/>
              <w:jc w:val="left"/>
              <w:rPr/>
            </w:pPr>
            <w:r>
              <w:rPr/>
              <w:t>Basic –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140,258,667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139,310,589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140,159,255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139,190,378</w:t>
            </w:r>
          </w:p>
        </w:tc>
        <w:tc>
          <w:tcPr>
            <w:tcW w:w="75" w:type="dxa"/>
            <w:tcBorders/>
            <w:shd w:fill="FFFFFF" w:val="clear"/>
            <w:vAlign w:val="center"/>
          </w:tcPr>
          <w:p>
            <w:pPr>
              <w:pStyle w:val="TableContents"/>
              <w:bidi w:val="0"/>
              <w:spacing w:before="0" w:after="283"/>
              <w:jc w:val="left"/>
              <w:rPr/>
            </w:pPr>
            <w:r>
              <w:rPr/>
              <w:t> </w:t>
            </w:r>
          </w:p>
        </w:tc>
      </w:tr>
      <w:tr>
        <w:trPr/>
        <w:tc>
          <w:tcPr>
            <w:tcW w:w="4200" w:type="dxa"/>
            <w:tcBorders/>
            <w:shd w:fill="CCEEFF" w:val="clear"/>
            <w:vAlign w:val="center"/>
          </w:tcPr>
          <w:p>
            <w:pPr>
              <w:pStyle w:val="TableContents"/>
              <w:bidi w:val="0"/>
              <w:spacing w:before="0" w:after="283"/>
              <w:jc w:val="left"/>
              <w:rPr/>
            </w:pPr>
            <w:r>
              <w:rPr/>
              <w:t>Effect of dilutive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76" w:name="xdx_40C_eus-gaap--WeightedAverageNumberO"/>
            <w:bookmarkEnd w:id="576"/>
          </w:p>
        </w:tc>
      </w:tr>
      <w:tr>
        <w:trPr/>
        <w:tc>
          <w:tcPr>
            <w:tcW w:w="4200" w:type="dxa"/>
            <w:tcBorders/>
            <w:shd w:fill="FFFFFF" w:val="clear"/>
            <w:vAlign w:val="center"/>
          </w:tcPr>
          <w:p>
            <w:pPr>
              <w:pStyle w:val="TableContents"/>
              <w:bidi w:val="0"/>
              <w:spacing w:before="0" w:after="283"/>
              <w:jc w:val="left"/>
              <w:rPr/>
            </w:pPr>
            <w:r>
              <w:rPr/>
              <w:t>Employee restricted stock units and deferred stock units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4,011,541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3,896,933</w:t>
            </w:r>
          </w:p>
        </w:tc>
        <w:tc>
          <w:tcPr>
            <w:tcW w:w="75" w:type="dxa"/>
            <w:tcBorders/>
            <w:shd w:fill="FFFFFF" w:val="clear"/>
            <w:vAlign w:val="center"/>
          </w:tcPr>
          <w:p>
            <w:pPr>
              <w:pStyle w:val="TableContents"/>
              <w:bidi w:val="0"/>
              <w:spacing w:before="0" w:after="283"/>
              <w:jc w:val="left"/>
              <w:rPr/>
            </w:pPr>
            <w:r>
              <w:rPr/>
              <w:t> </w:t>
            </w:r>
            <w:bookmarkStart w:id="577" w:name="xdx_404_eus-gaap--IncrementalCommonShare"/>
            <w:bookmarkEnd w:id="577"/>
          </w:p>
        </w:tc>
      </w:tr>
      <w:tr>
        <w:trPr/>
        <w:tc>
          <w:tcPr>
            <w:tcW w:w="4200"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5,252,112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5,252,112</w:t>
            </w:r>
          </w:p>
        </w:tc>
        <w:tc>
          <w:tcPr>
            <w:tcW w:w="75" w:type="dxa"/>
            <w:tcBorders/>
            <w:shd w:fill="CCEEFF" w:val="clear"/>
            <w:vAlign w:val="center"/>
          </w:tcPr>
          <w:p>
            <w:pPr>
              <w:pStyle w:val="TableContents"/>
              <w:bidi w:val="0"/>
              <w:spacing w:before="0" w:after="283"/>
              <w:jc w:val="left"/>
              <w:rPr/>
            </w:pPr>
            <w:r>
              <w:rPr/>
              <w:t> </w:t>
            </w:r>
            <w:bookmarkStart w:id="578" w:name="xdx_40A_eus-gaap--WeightedAverageNumberO"/>
            <w:bookmarkEnd w:id="578"/>
          </w:p>
        </w:tc>
      </w:tr>
      <w:tr>
        <w:trPr/>
        <w:tc>
          <w:tcPr>
            <w:tcW w:w="4200" w:type="dxa"/>
            <w:tcBorders/>
            <w:shd w:fill="FFFFFF" w:val="clear"/>
            <w:vAlign w:val="center"/>
          </w:tcPr>
          <w:p>
            <w:pPr>
              <w:pStyle w:val="TableContents"/>
              <w:bidi w:val="0"/>
              <w:spacing w:before="0" w:after="283"/>
              <w:jc w:val="left"/>
              <w:rPr/>
            </w:pPr>
            <w:r>
              <w:rPr/>
              <w:t>Diluted –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140,258,667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148,574,242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140,159,255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148,339,423</w:t>
            </w:r>
          </w:p>
        </w:tc>
        <w:tc>
          <w:tcPr>
            <w:tcW w:w="75" w:type="dxa"/>
            <w:tcBorders/>
            <w:shd w:fill="FFFFFF" w:val="clear"/>
            <w:vAlign w:val="center"/>
          </w:tcPr>
          <w:p>
            <w:pPr>
              <w:pStyle w:val="TableContents"/>
              <w:bidi w:val="0"/>
              <w:spacing w:before="0" w:after="283"/>
              <w:jc w:val="left"/>
              <w:rPr/>
            </w:pPr>
            <w:r>
              <w:rPr/>
              <w:t> </w:t>
            </w:r>
            <w:bookmarkStart w:id="579" w:name="xdx_40F_eus-gaap--EarningsPerShareBasic_"/>
            <w:bookmarkEnd w:id="579"/>
          </w:p>
        </w:tc>
      </w:tr>
      <w:tr>
        <w:trPr/>
        <w:tc>
          <w:tcPr>
            <w:tcW w:w="4200" w:type="dxa"/>
            <w:tcBorders/>
            <w:shd w:fill="CCEEFF" w:val="clear"/>
            <w:vAlign w:val="center"/>
          </w:tcPr>
          <w:p>
            <w:pPr>
              <w:pStyle w:val="TableContents"/>
              <w:bidi w:val="0"/>
              <w:spacing w:before="0" w:after="283"/>
              <w:jc w:val="left"/>
              <w:rPr/>
            </w:pPr>
            <w:r>
              <w:rPr/>
              <w:t>Basic (loss) earnings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0.03</w:t>
            </w:r>
          </w:p>
        </w:tc>
        <w:tc>
          <w:tcPr>
            <w:tcW w:w="75" w:type="dxa"/>
            <w:tcBorders/>
            <w:shd w:fill="CCEEFF" w:val="clear"/>
            <w:vAlign w:val="center"/>
          </w:tcPr>
          <w:p>
            <w:pPr>
              <w:pStyle w:val="TableContents"/>
              <w:bidi w:val="0"/>
              <w:spacing w:before="0" w:after="283"/>
              <w:jc w:val="left"/>
              <w:rPr/>
            </w:pPr>
            <w:r>
              <w:rPr/>
              <w:t> </w:t>
            </w:r>
            <w:bookmarkStart w:id="580" w:name="xdx_40E_eus-gaap--EarningsPerShareDilute"/>
            <w:bookmarkEnd w:id="580"/>
          </w:p>
        </w:tc>
      </w:tr>
      <w:tr>
        <w:trPr/>
        <w:tc>
          <w:tcPr>
            <w:tcW w:w="4200" w:type="dxa"/>
            <w:tcBorders/>
            <w:shd w:fill="FFFFFF" w:val="clear"/>
            <w:vAlign w:val="center"/>
          </w:tcPr>
          <w:p>
            <w:pPr>
              <w:pStyle w:val="TableContents"/>
              <w:bidi w:val="0"/>
              <w:spacing w:before="0" w:after="283"/>
              <w:jc w:val="left"/>
              <w:rPr/>
            </w:pPr>
            <w:r>
              <w:rPr/>
              <w:t>Diluted (loss) earnings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0.02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81" w:name="xdx_8A8_z1ZNkpQb9YGj"/>
      <w:bookmarkEnd w:id="58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For the three months ended June 30, 2026 and 2025, an aggregate of </w:t>
      </w:r>
      <w:bookmarkStart w:id="582" w:name="xdx_908_eus-gaap--AntidilutiveSecurities"/>
      <w:bookmarkEnd w:id="582"/>
      <w:r>
        <w:rPr>
          <w:rFonts w:ascii="Times New Roman;Times;Serif" w:hAnsi="Times New Roman;Times;Serif"/>
          <w:b w:val="false"/>
          <w:i w:val="false"/>
          <w:caps w:val="false"/>
          <w:smallCaps w:val="false"/>
          <w:sz w:val="20"/>
          <w:shd w:fill="FFFFFF" w:val="clear"/>
        </w:rPr>
        <w:t xml:space="preserve">19,200,659 and </w:t>
      </w:r>
      <w:bookmarkStart w:id="583" w:name="xdx_905_eus-gaap--AntidilutiveSecurities"/>
      <w:bookmarkEnd w:id="583"/>
      <w:r>
        <w:rPr>
          <w:rFonts w:ascii="Times New Roman;Times;Serif" w:hAnsi="Times New Roman;Times;Serif"/>
          <w:b w:val="false"/>
          <w:i w:val="false"/>
          <w:caps w:val="false"/>
          <w:smallCaps w:val="false"/>
          <w:sz w:val="20"/>
          <w:shd w:fill="FFFFFF" w:val="clear"/>
        </w:rPr>
        <w:t xml:space="preserve">13,410,148 shares, respectively, underlying outstanding stock options, restricted stock units, deferred stock units, performance stock units and warrants were excluded for the diluted (loss) earnings per share calculation as they were anti-dilutive. For the six months ended June 30, 2026 and 2025, an aggregate of </w:t>
      </w:r>
      <w:bookmarkStart w:id="584" w:name="xdx_90C_eus-gaap--AntidilutiveSecurities"/>
      <w:bookmarkEnd w:id="584"/>
      <w:r>
        <w:rPr>
          <w:rFonts w:ascii="Times New Roman;Times;Serif" w:hAnsi="Times New Roman;Times;Serif"/>
          <w:b w:val="false"/>
          <w:i w:val="false"/>
          <w:caps w:val="false"/>
          <w:smallCaps w:val="false"/>
          <w:sz w:val="20"/>
          <w:shd w:fill="FFFFFF" w:val="clear"/>
        </w:rPr>
        <w:t xml:space="preserve">19,200,659 and </w:t>
      </w:r>
      <w:bookmarkStart w:id="585" w:name="xdx_90A_eus-gaap--AntidilutiveSecurities"/>
      <w:bookmarkEnd w:id="585"/>
      <w:r>
        <w:rPr>
          <w:rFonts w:ascii="Times New Roman;Times;Serif" w:hAnsi="Times New Roman;Times;Serif"/>
          <w:b w:val="false"/>
          <w:i w:val="false"/>
          <w:caps w:val="false"/>
          <w:smallCaps w:val="false"/>
          <w:sz w:val="20"/>
          <w:shd w:fill="FFFFFF" w:val="clear"/>
        </w:rPr>
        <w:t>13,524,756 shares, respectively, underlying outstanding stock options, restricted stock units, deferred stock units, performance stock units and warrants were excluded for the diluted (loss) earnings per share calculation as they were anti-dilutive.</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6" w:name="xdx_80C_eus-gaap--CashFlowSupplementalDi"/>
      <w:bookmarkEnd w:id="586"/>
      <w:r>
        <w:rPr>
          <w:rFonts w:ascii="Times New Roman;Times;Serif" w:hAnsi="Times New Roman;Times;Serif"/>
          <w:b/>
          <w:i w:val="false"/>
          <w:caps w:val="false"/>
          <w:smallCaps w:val="false"/>
          <w:sz w:val="20"/>
        </w:rPr>
        <w:t xml:space="preserve">(16) </w:t>
      </w:r>
      <w:bookmarkStart w:id="587" w:name="xdx_825_z1n9UFaQx1x3"/>
      <w:bookmarkEnd w:id="587"/>
      <w:r>
        <w:rPr>
          <w:rFonts w:ascii="Times New Roman;Times;Serif" w:hAnsi="Times New Roman;Times;Serif"/>
          <w:b/>
          <w:i w:val="false"/>
          <w:caps w:val="false"/>
          <w:smallCaps w:val="false"/>
          <w:sz w:val="20"/>
        </w:rPr>
        <w:t>Supplemental Disclosure of Cash Flow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588" w:name="xdx_897_eus-gaap--ScheduleOfCashFlowSupp"/>
      <w:bookmarkEnd w:id="588"/>
      <w:r>
        <w:rPr>
          <w:rFonts w:ascii="Times New Roman;Times;Serif" w:hAnsi="Times New Roman;Times;Serif"/>
          <w:b w:val="false"/>
          <w:i w:val="false"/>
          <w:caps w:val="false"/>
          <w:smallCaps w:val="false"/>
          <w:sz w:val="20"/>
        </w:rPr>
        <w:t>Supplemental cash flow information is as follows (in thousands):</w:t>
      </w:r>
    </w:p>
    <w:p>
      <w:pPr>
        <w:pStyle w:val="TextBody"/>
        <w:bidi w:val="0"/>
        <w:spacing w:before="0" w:after="0"/>
        <w:ind w:left="0" w:right="0" w:hanging="0"/>
        <w:jc w:val="both"/>
        <w:rPr>
          <w:caps w:val="false"/>
          <w:smallCaps w:val="false"/>
        </w:rPr>
      </w:pPr>
      <w:r>
        <w:rPr>
          <w:caps w:val="false"/>
          <w:smallCaps w:val="false"/>
        </w:rPr>
        <w:t> </w:t>
      </w:r>
      <w:bookmarkStart w:id="589" w:name="xdx_8B2_zSjB1zoPP0Nl"/>
      <w:bookmarkEnd w:id="589"/>
      <w:r>
        <w:rPr>
          <w:rFonts w:ascii="Times New Roman;Times;Serif" w:hAnsi="Times New Roman;Times;Serif"/>
          <w:b w:val="false"/>
          <w:i w:val="false"/>
          <w:caps w:val="false"/>
          <w:smallCaps w:val="false"/>
          <w:sz w:val="20"/>
        </w:rPr>
        <w:t>Schedule of Supplemental Cash Flow Information </w:t>
      </w:r>
    </w:p>
    <w:tbl>
      <w:tblPr>
        <w:tblW w:w="6516" w:type="dxa"/>
        <w:jc w:val="left"/>
        <w:tblInd w:w="0" w:type="dxa"/>
        <w:tblLayout w:type="fixed"/>
        <w:tblCellMar>
          <w:top w:w="0" w:type="dxa"/>
          <w:left w:w="0" w:type="dxa"/>
          <w:bottom w:w="0" w:type="dxa"/>
          <w:right w:w="0" w:type="dxa"/>
        </w:tblCellMar>
      </w:tblPr>
      <w:tblGrid>
        <w:gridCol w:w="4475"/>
        <w:gridCol w:w="60"/>
        <w:gridCol w:w="175"/>
        <w:gridCol w:w="703"/>
        <w:gridCol w:w="75"/>
        <w:gridCol w:w="75"/>
        <w:gridCol w:w="175"/>
        <w:gridCol w:w="703"/>
        <w:gridCol w:w="75"/>
      </w:tblGrid>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0" w:name="xdx_495_20260101__20260630_zMWc5BzCFPBf"/>
            <w:bookmarkEnd w:id="590"/>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591" w:name="xdx_495_20250101__20250630_zfSkmqLBRFx5"/>
            <w:bookmarkEnd w:id="591"/>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vAlign w:val="center"/>
          </w:tcPr>
          <w:p>
            <w:pPr>
              <w:pStyle w:val="TableContents"/>
              <w:bidi w:val="0"/>
              <w:spacing w:before="0" w:after="283"/>
              <w:jc w:val="center"/>
              <w:rPr>
                <w:b/>
              </w:rPr>
            </w:pPr>
            <w:r>
              <w:rPr>
                <w:b/>
              </w:rPr>
              <w:t>Six Months Ended</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June 30,</w:t>
            </w:r>
          </w:p>
        </w:tc>
        <w:tc>
          <w:tcPr>
            <w:tcW w:w="75" w:type="dxa"/>
            <w:tcBorders/>
            <w:vAlign w:val="center"/>
          </w:tcPr>
          <w:p>
            <w:pPr>
              <w:pStyle w:val="TableContents"/>
              <w:bidi w:val="0"/>
              <w:spacing w:before="0" w:after="283"/>
              <w:jc w:val="left"/>
              <w:rPr/>
            </w:pPr>
            <w:r>
              <w:rPr/>
              <w:t> </w:t>
            </w:r>
          </w:p>
        </w:tc>
      </w:tr>
      <w:tr>
        <w:trPr/>
        <w:tc>
          <w:tcPr>
            <w:tcW w:w="4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283"/>
              <w:jc w:val="left"/>
              <w:rPr>
                <w:i/>
              </w:rPr>
            </w:pPr>
            <w:r>
              <w:rPr>
                <w:i/>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92" w:name="xdx_400_eus-gaap--InterestPaidNet_pn3n3_"/>
            <w:bookmarkEnd w:id="592"/>
          </w:p>
        </w:tc>
      </w:tr>
      <w:tr>
        <w:trPr/>
        <w:tc>
          <w:tcPr>
            <w:tcW w:w="4475"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703" w:type="dxa"/>
            <w:tcBorders/>
            <w:shd w:fill="FFFFFF" w:val="clear"/>
            <w:vAlign w:val="center"/>
          </w:tcPr>
          <w:p>
            <w:pPr>
              <w:pStyle w:val="TableContents"/>
              <w:bidi w:val="0"/>
              <w:spacing w:before="0" w:after="283"/>
              <w:jc w:val="right"/>
              <w:rPr/>
            </w:pPr>
            <w:r>
              <w:rPr/>
              <w:t>890</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703" w:type="dxa"/>
            <w:tcBorders/>
            <w:shd w:fill="FFFFFF" w:val="clear"/>
            <w:vAlign w:val="center"/>
          </w:tcPr>
          <w:p>
            <w:pPr>
              <w:pStyle w:val="TableContents"/>
              <w:bidi w:val="0"/>
              <w:spacing w:before="0" w:after="283"/>
              <w:jc w:val="right"/>
              <w:rPr/>
            </w:pPr>
            <w:r>
              <w:rPr/>
              <w:t>1,760</w:t>
            </w:r>
          </w:p>
        </w:tc>
        <w:tc>
          <w:tcPr>
            <w:tcW w:w="75" w:type="dxa"/>
            <w:tcBorders/>
            <w:shd w:fill="FFFFFF" w:val="clear"/>
            <w:vAlign w:val="center"/>
          </w:tcPr>
          <w:p>
            <w:pPr>
              <w:pStyle w:val="TableContents"/>
              <w:bidi w:val="0"/>
              <w:spacing w:before="0" w:after="283"/>
              <w:jc w:val="left"/>
              <w:rPr/>
            </w:pPr>
            <w:r>
              <w:rPr/>
              <w:t> </w:t>
            </w:r>
            <w:bookmarkStart w:id="593" w:name="xdx_405_eus-gaap--IncomeTaxesPaidNet_pn3"/>
            <w:bookmarkEnd w:id="593"/>
          </w:p>
        </w:tc>
      </w:tr>
      <w:tr>
        <w:trPr/>
        <w:tc>
          <w:tcPr>
            <w:tcW w:w="4475"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2,607</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3" w:type="dxa"/>
            <w:tcBorders/>
            <w:shd w:fill="CCEEFF" w:val="clear"/>
            <w:vAlign w:val="center"/>
          </w:tcPr>
          <w:p>
            <w:pPr>
              <w:pStyle w:val="TableContents"/>
              <w:bidi w:val="0"/>
              <w:spacing w:before="0" w:after="283"/>
              <w:jc w:val="right"/>
              <w:rPr/>
            </w:pPr>
            <w:r>
              <w:rPr/>
              <w:t>52</w:t>
            </w:r>
          </w:p>
        </w:tc>
        <w:tc>
          <w:tcPr>
            <w:tcW w:w="75"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283"/>
              <w:jc w:val="left"/>
              <w:rPr>
                <w:i/>
              </w:rPr>
            </w:pPr>
            <w:r>
              <w:rPr>
                <w:i/>
              </w:rPr>
              <w:t>Non-cash activities: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94" w:name="xdx_409_ecustom--OperatingLeaseRightOfUs"/>
            <w:bookmarkEnd w:id="594"/>
          </w:p>
        </w:tc>
      </w:tr>
      <w:tr>
        <w:trPr/>
        <w:tc>
          <w:tcPr>
            <w:tcW w:w="4475" w:type="dxa"/>
            <w:tcBorders/>
            <w:shd w:fill="CCEEFF" w:val="clear"/>
            <w:vAlign w:val="center"/>
          </w:tcPr>
          <w:p>
            <w:pPr>
              <w:pStyle w:val="TableContents"/>
              <w:bidi w:val="0"/>
              <w:spacing w:before="0" w:after="283"/>
              <w:jc w:val="left"/>
              <w:rPr/>
            </w:pPr>
            <w:r>
              <w:rPr/>
              <w:t>Increase in right of use assets and lease liability</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3" w:type="dxa"/>
            <w:tcBorders/>
            <w:shd w:fill="CCEEFF" w:val="clear"/>
            <w:vAlign w:val="center"/>
          </w:tcPr>
          <w:p>
            <w:pPr>
              <w:pStyle w:val="TableContents"/>
              <w:bidi w:val="0"/>
              <w:spacing w:before="0" w:after="283"/>
              <w:jc w:val="right"/>
              <w:rPr/>
            </w:pPr>
            <w:r>
              <w:rPr/>
              <w:t>2,107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bookmarkStart w:id="595" w:name="xdx_8AA_z0mi3ECtfvCg"/>
      <w:bookmarkEnd w:id="59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96" w:name="xdx_805_eus-gaap--SegmentReportingDisclo"/>
      <w:bookmarkEnd w:id="596"/>
      <w:r>
        <w:rPr>
          <w:rFonts w:ascii="Times New Roman;Times;Serif" w:hAnsi="Times New Roman;Times;Serif"/>
          <w:b/>
          <w:i w:val="false"/>
          <w:caps w:val="false"/>
          <w:smallCaps w:val="false"/>
          <w:sz w:val="20"/>
        </w:rPr>
        <w:t xml:space="preserve">(17) </w:t>
      </w:r>
      <w:bookmarkStart w:id="597" w:name="xdx_82C_zKjFxB3OzMNi"/>
      <w:bookmarkEnd w:id="597"/>
      <w:r>
        <w:rPr>
          <w:rFonts w:ascii="Times New Roman;Times;Serif" w:hAnsi="Times New Roman;Times;Serif"/>
          <w:b/>
          <w:i w:val="false"/>
          <w:caps w:val="false"/>
          <w:smallCaps w:val="false"/>
          <w:sz w:val="20"/>
        </w:rPr>
        <w:t>Segment and Geographic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598" w:name="xdx_903_eus-gaap--NumberOfOperatingSegme"/>
      <w:bookmarkStart w:id="599" w:name="xdx_903_eus-gaap--NumberOfReportableSegm"/>
      <w:bookmarkEnd w:id="598"/>
      <w:bookmarkEnd w:id="599"/>
      <w:r>
        <w:rPr>
          <w:rFonts w:ascii="Times New Roman;Times;Serif" w:hAnsi="Times New Roman;Times;Serif"/>
          <w:b w:val="false"/>
          <w:i w:val="false"/>
          <w:caps w:val="false"/>
          <w:smallCaps w:val="false"/>
          <w:sz w:val="20"/>
        </w:rPr>
        <w:t>one reportable and operating segment based upon the Company’s organization structure and the way in which the operations and investments are managed and evaluated by the chief operating decision maker (“CODM”), who is the Company’s Chief Executive Officer. The CODM uses consolidated net (loss) income as the primary measure of segment profit or loss to monitor performance and allocate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balance sheet as total assets. The CODM does not review segment assets at a level other than that presented in the Company’s consolidated balance sheets.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600" w:name="xdx_895_eus-gaap--ScheduleOfSegmentRepor"/>
      <w:bookmarkEnd w:id="600"/>
      <w:r>
        <w:rPr>
          <w:rFonts w:ascii="Times New Roman;Times;Serif" w:hAnsi="Times New Roman;Times;Serif"/>
          <w:b w:val="false"/>
          <w:i w:val="false"/>
          <w:caps w:val="false"/>
          <w:smallCaps w:val="false"/>
          <w:sz w:val="20"/>
        </w:rPr>
        <w:t>The table below provides the calculation of consolidated net (loss) income, which is the performance measure that is most consistent with GAAP, and the significant operating expenses included in this performance measure (in thousands): </w:t>
      </w:r>
    </w:p>
    <w:p>
      <w:pPr>
        <w:pStyle w:val="TextBody"/>
        <w:bidi w:val="0"/>
        <w:spacing w:before="0" w:after="0"/>
        <w:ind w:left="0" w:right="0" w:hanging="0"/>
        <w:jc w:val="both"/>
        <w:rPr>
          <w:caps w:val="false"/>
          <w:smallCaps w:val="false"/>
        </w:rPr>
      </w:pPr>
      <w:r>
        <w:rPr>
          <w:caps w:val="false"/>
          <w:smallCaps w:val="false"/>
        </w:rPr>
        <w:t> </w:t>
      </w:r>
      <w:bookmarkStart w:id="601" w:name="xdx_8B6_zGt7GEioRUYk"/>
      <w:bookmarkEnd w:id="601"/>
      <w:r>
        <w:rPr>
          <w:rFonts w:ascii="Times New Roman;Times;Serif" w:hAnsi="Times New Roman;Times;Serif"/>
          <w:b w:val="false"/>
          <w:i w:val="false"/>
          <w:caps w:val="false"/>
          <w:smallCaps w:val="false"/>
          <w:sz w:val="20"/>
        </w:rPr>
        <w:t>Schedule of Calculation of Consolidated Net (Loss) Income </w:t>
      </w:r>
    </w:p>
    <w:tbl>
      <w:tblPr>
        <w:tblW w:w="8660" w:type="dxa"/>
        <w:jc w:val="left"/>
        <w:tblInd w:w="0" w:type="dxa"/>
        <w:tblLayout w:type="fixed"/>
        <w:tblCellMar>
          <w:top w:w="0" w:type="dxa"/>
          <w:left w:w="0" w:type="dxa"/>
          <w:bottom w:w="0" w:type="dxa"/>
          <w:right w:w="0" w:type="dxa"/>
        </w:tblCellMar>
      </w:tblPr>
      <w:tblGrid>
        <w:gridCol w:w="4190"/>
        <w:gridCol w:w="60"/>
        <w:gridCol w:w="140"/>
        <w:gridCol w:w="680"/>
        <w:gridCol w:w="215"/>
        <w:gridCol w:w="60"/>
        <w:gridCol w:w="140"/>
        <w:gridCol w:w="680"/>
        <w:gridCol w:w="215"/>
        <w:gridCol w:w="60"/>
        <w:gridCol w:w="140"/>
        <w:gridCol w:w="755"/>
        <w:gridCol w:w="215"/>
        <w:gridCol w:w="60"/>
        <w:gridCol w:w="140"/>
        <w:gridCol w:w="680"/>
        <w:gridCol w:w="230"/>
      </w:tblGrid>
      <w:tr>
        <w:trPr/>
        <w:tc>
          <w:tcPr>
            <w:tcW w:w="4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02" w:name="xdx_498_20260401__20260630_zpy2nVIVzgde"/>
            <w:bookmarkEnd w:id="602"/>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3" w:name="xdx_49D_20250401__20250630_zYwjOgZs9tv6"/>
            <w:bookmarkEnd w:id="603"/>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4" w:name="xdx_49D_20260101__20260630_z3qfGPd4xXOf"/>
            <w:bookmarkEnd w:id="604"/>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05" w:name="xdx_49F_20250101__20250630_zHXqeOcJ5yff"/>
            <w:bookmarkEnd w:id="605"/>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91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90"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230" w:type="dxa"/>
            <w:tcBorders/>
            <w:vAlign w:val="center"/>
          </w:tcPr>
          <w:p>
            <w:pPr>
              <w:pStyle w:val="TableContents"/>
              <w:bidi w:val="0"/>
              <w:spacing w:before="0" w:after="283"/>
              <w:jc w:val="left"/>
              <w:rPr/>
            </w:pPr>
            <w:r>
              <w:rPr/>
              <w:t> </w:t>
            </w:r>
          </w:p>
        </w:tc>
      </w:tr>
      <w:tr>
        <w:trPr/>
        <w:tc>
          <w:tcPr>
            <w:tcW w:w="41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bookmarkStart w:id="606" w:name="xdx_406_eus-gaap--RevenueFromContractWit"/>
            <w:bookmarkEnd w:id="606"/>
          </w:p>
        </w:tc>
      </w:tr>
      <w:tr>
        <w:trPr/>
        <w:tc>
          <w:tcPr>
            <w:tcW w:w="4190" w:type="dxa"/>
            <w:tcBorders/>
            <w:shd w:fill="CCEEFF" w:val="clear"/>
            <w:vAlign w:val="center"/>
          </w:tcPr>
          <w:p>
            <w:pPr>
              <w:pStyle w:val="TableContents"/>
              <w:bidi w:val="0"/>
              <w:spacing w:before="0" w:after="283"/>
              <w:jc w:val="left"/>
              <w:rPr>
                <w:b/>
              </w:rPr>
            </w:pPr>
            <w:r>
              <w:rPr>
                <w:b/>
              </w:rPr>
              <w:t>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23,031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35,411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43,915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68,315</w:t>
            </w:r>
          </w:p>
        </w:tc>
        <w:tc>
          <w:tcPr>
            <w:tcW w:w="230" w:type="dxa"/>
            <w:tcBorders/>
            <w:shd w:fill="CCEEFF" w:val="clear"/>
            <w:vAlign w:val="center"/>
          </w:tcPr>
          <w:p>
            <w:pPr>
              <w:pStyle w:val="TableContents"/>
              <w:bidi w:val="0"/>
              <w:spacing w:before="0" w:after="283"/>
              <w:jc w:val="left"/>
              <w:rPr/>
            </w:pPr>
            <w:r>
              <w:rPr/>
              <w:t> </w:t>
            </w:r>
            <w:bookmarkStart w:id="607" w:name="xdx_40F_eus-gaap--CostOfGoodsAndServices"/>
            <w:bookmarkEnd w:id="607"/>
          </w:p>
        </w:tc>
      </w:tr>
      <w:tr>
        <w:trPr/>
        <w:tc>
          <w:tcPr>
            <w:tcW w:w="4190" w:type="dxa"/>
            <w:tcBorders/>
            <w:shd w:fill="FFFFFF" w:val="clear"/>
            <w:vAlign w:val="center"/>
          </w:tcPr>
          <w:p>
            <w:pPr>
              <w:pStyle w:val="TableContents"/>
              <w:bidi w:val="0"/>
              <w:spacing w:before="0" w:after="283"/>
              <w:jc w:val="left"/>
              <w:rPr/>
            </w:pPr>
            <w:r>
              <w:rPr/>
              <w:t>Less cost of sales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9,701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11,127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18,614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23,788</w:t>
            </w:r>
          </w:p>
        </w:tc>
        <w:tc>
          <w:tcPr>
            <w:tcW w:w="230" w:type="dxa"/>
            <w:tcBorders/>
            <w:shd w:fill="FFFFFF" w:val="clear"/>
            <w:vAlign w:val="center"/>
          </w:tcPr>
          <w:p>
            <w:pPr>
              <w:pStyle w:val="TableContents"/>
              <w:bidi w:val="0"/>
              <w:spacing w:before="0" w:after="283"/>
              <w:jc w:val="left"/>
              <w:rPr/>
            </w:pPr>
            <w:r>
              <w:rPr/>
              <w:t> </w:t>
            </w:r>
            <w:bookmarkStart w:id="608" w:name="xdx_403_eus-gaap--GrossProfit_iT_pn3n3_m"/>
            <w:bookmarkEnd w:id="608"/>
          </w:p>
        </w:tc>
      </w:tr>
      <w:tr>
        <w:trPr/>
        <w:tc>
          <w:tcPr>
            <w:tcW w:w="41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13,330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24,284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25,301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44,527</w:t>
            </w:r>
          </w:p>
        </w:tc>
        <w:tc>
          <w:tcPr>
            <w:tcW w:w="230" w:type="dxa"/>
            <w:tcBorders/>
            <w:shd w:fill="CCEEFF" w:val="clear"/>
            <w:vAlign w:val="center"/>
          </w:tcPr>
          <w:p>
            <w:pPr>
              <w:pStyle w:val="TableContents"/>
              <w:bidi w:val="0"/>
              <w:spacing w:before="0" w:after="283"/>
              <w:jc w:val="left"/>
              <w:rPr/>
            </w:pPr>
            <w:r>
              <w:rPr/>
              <w:t> </w:t>
            </w:r>
          </w:p>
        </w:tc>
      </w:tr>
      <w:tr>
        <w:trPr/>
        <w:tc>
          <w:tcPr>
            <w:tcW w:w="4190" w:type="dxa"/>
            <w:tcBorders/>
            <w:shd w:fill="FFFFFF" w:val="clear"/>
            <w:vAlign w:val="center"/>
          </w:tcPr>
          <w:p>
            <w:pPr>
              <w:pStyle w:val="TableContents"/>
              <w:bidi w:val="0"/>
              <w:spacing w:before="0" w:after="283"/>
              <w:jc w:val="left"/>
              <w:rPr>
                <w:b/>
              </w:rPr>
            </w:pPr>
            <w:r>
              <w:rPr>
                <w:b/>
              </w:rPr>
              <w:t>Gross Margin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609" w:name="xdx_904_ecustom--PercentageOfGrossMargin"/>
            <w:bookmarkEnd w:id="609"/>
            <w:r>
              <w:rPr/>
              <w:t>57.9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610" w:name="xdx_909_ecustom--PercentageOfGrossMargin"/>
            <w:bookmarkEnd w:id="610"/>
            <w:r>
              <w:rPr/>
              <w:t>68.6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bookmarkStart w:id="611" w:name="xdx_90A_ecustom--PercentageOfGrossMargin"/>
            <w:bookmarkEnd w:id="611"/>
            <w:r>
              <w:rPr/>
              <w:t>57.6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bookmarkStart w:id="612" w:name="xdx_90A_ecustom--PercentageOfGrossMargin"/>
            <w:bookmarkEnd w:id="612"/>
            <w:r>
              <w:rPr/>
              <w:t>65.2</w:t>
            </w:r>
          </w:p>
        </w:tc>
        <w:tc>
          <w:tcPr>
            <w:tcW w:w="230" w:type="dxa"/>
            <w:tcBorders/>
            <w:shd w:fill="FFFFFF" w:val="clear"/>
            <w:vAlign w:val="center"/>
          </w:tcPr>
          <w:p>
            <w:pPr>
              <w:pStyle w:val="TableContents"/>
              <w:bidi w:val="0"/>
              <w:spacing w:before="0" w:after="283"/>
              <w:jc w:val="left"/>
              <w:rPr/>
            </w:pPr>
            <w:r>
              <w:rPr/>
              <w:t>%</w:t>
            </w:r>
          </w:p>
        </w:tc>
      </w:tr>
      <w:tr>
        <w:trPr/>
        <w:tc>
          <w:tcPr>
            <w:tcW w:w="4190" w:type="dxa"/>
            <w:tcBorders/>
            <w:shd w:fill="CCEEFF" w:val="clear"/>
            <w:vAlign w:val="center"/>
          </w:tcPr>
          <w:p>
            <w:pPr>
              <w:pStyle w:val="TableContents"/>
              <w:bidi w:val="0"/>
              <w:spacing w:before="0" w:after="283"/>
              <w:jc w:val="left"/>
              <w:rPr/>
            </w:pPr>
            <w:r>
              <w:rPr/>
              <w:t>Less: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jc w:val="left"/>
              <w:rPr/>
            </w:pPr>
            <w:r>
              <w:rPr/>
              <w:t> </w:t>
            </w:r>
            <w:bookmarkStart w:id="613" w:name="xdx_407_eus-gaap--GeneralAndAdministrati"/>
            <w:bookmarkEnd w:id="613"/>
          </w:p>
        </w:tc>
      </w:tr>
      <w:tr>
        <w:trPr/>
        <w:tc>
          <w:tcPr>
            <w:tcW w:w="4190"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6,436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7,478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12,709</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15,011</w:t>
            </w:r>
          </w:p>
        </w:tc>
        <w:tc>
          <w:tcPr>
            <w:tcW w:w="230" w:type="dxa"/>
            <w:tcBorders/>
            <w:shd w:fill="FFFFFF" w:val="clear"/>
            <w:vAlign w:val="center"/>
          </w:tcPr>
          <w:p>
            <w:pPr>
              <w:pStyle w:val="TableContents"/>
              <w:bidi w:val="0"/>
              <w:spacing w:before="0" w:after="283"/>
              <w:jc w:val="left"/>
              <w:rPr/>
            </w:pPr>
            <w:r>
              <w:rPr/>
              <w:t> </w:t>
            </w:r>
            <w:bookmarkStart w:id="614" w:name="xdx_400_eus-gaap--SellingAndMarketingExp"/>
            <w:bookmarkEnd w:id="614"/>
          </w:p>
        </w:tc>
      </w:tr>
      <w:tr>
        <w:trPr/>
        <w:tc>
          <w:tcPr>
            <w:tcW w:w="4190"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10,368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11,616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18,554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22,820</w:t>
            </w:r>
          </w:p>
        </w:tc>
        <w:tc>
          <w:tcPr>
            <w:tcW w:w="230" w:type="dxa"/>
            <w:tcBorders/>
            <w:shd w:fill="CCEEFF" w:val="clear"/>
            <w:vAlign w:val="center"/>
          </w:tcPr>
          <w:p>
            <w:pPr>
              <w:pStyle w:val="TableContents"/>
              <w:bidi w:val="0"/>
              <w:spacing w:before="0" w:after="283"/>
              <w:jc w:val="left"/>
              <w:rPr/>
            </w:pPr>
            <w:r>
              <w:rPr/>
              <w:t> </w:t>
            </w:r>
            <w:bookmarkStart w:id="615" w:name="xdx_40E_eus-gaap--ResearchAndDevelopment"/>
            <w:bookmarkEnd w:id="615"/>
          </w:p>
        </w:tc>
      </w:tr>
      <w:tr>
        <w:trPr/>
        <w:tc>
          <w:tcPr>
            <w:tcW w:w="419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566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1,009</w:t>
            </w:r>
          </w:p>
        </w:tc>
        <w:tc>
          <w:tcPr>
            <w:tcW w:w="230" w:type="dxa"/>
            <w:tcBorders/>
            <w:shd w:fill="FFFFFF" w:val="clear"/>
            <w:vAlign w:val="center"/>
          </w:tcPr>
          <w:p>
            <w:pPr>
              <w:pStyle w:val="TableContents"/>
              <w:bidi w:val="0"/>
              <w:spacing w:before="0" w:after="283"/>
              <w:jc w:val="left"/>
              <w:rPr/>
            </w:pPr>
            <w:r>
              <w:rPr/>
              <w:t> </w:t>
            </w:r>
            <w:bookmarkStart w:id="616" w:name="xdx_405_ecustom--WriteoffOfDistributionA"/>
            <w:bookmarkEnd w:id="616"/>
          </w:p>
        </w:tc>
      </w:tr>
      <w:tr>
        <w:trPr/>
        <w:tc>
          <w:tcPr>
            <w:tcW w:w="4190" w:type="dxa"/>
            <w:tcBorders/>
            <w:shd w:fill="CCEEFF" w:val="clear"/>
            <w:vAlign w:val="center"/>
          </w:tcPr>
          <w:p>
            <w:pPr>
              <w:pStyle w:val="TableContents"/>
              <w:bidi w:val="0"/>
              <w:spacing w:before="0" w:after="283"/>
              <w:jc w:val="left"/>
              <w:rPr/>
            </w:pPr>
            <w:r>
              <w:rPr/>
              <w:t>Write-off of distribution agreement deposit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5,000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bookmarkStart w:id="617" w:name="xdx_40D_eus-gaap--InterestExpense_pn3n3_"/>
            <w:bookmarkEnd w:id="617"/>
          </w:p>
        </w:tc>
      </w:tr>
      <w:tr>
        <w:trPr/>
        <w:tc>
          <w:tcPr>
            <w:tcW w:w="4190"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542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1,141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2,049</w:t>
            </w:r>
          </w:p>
        </w:tc>
        <w:tc>
          <w:tcPr>
            <w:tcW w:w="230" w:type="dxa"/>
            <w:tcBorders/>
            <w:shd w:fill="FFFFFF" w:val="clear"/>
            <w:vAlign w:val="center"/>
          </w:tcPr>
          <w:p>
            <w:pPr>
              <w:pStyle w:val="TableContents"/>
              <w:bidi w:val="0"/>
              <w:spacing w:before="0" w:after="283"/>
              <w:jc w:val="left"/>
              <w:rPr/>
            </w:pPr>
            <w:r>
              <w:rPr/>
              <w:t> </w:t>
            </w:r>
            <w:bookmarkStart w:id="618" w:name="xdx_404_eus-gaap--InvestmentIncomeIntere"/>
            <w:bookmarkEnd w:id="618"/>
          </w:p>
        </w:tc>
      </w:tr>
      <w:tr>
        <w:trPr/>
        <w:tc>
          <w:tcPr>
            <w:tcW w:w="4190"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bookmarkStart w:id="619" w:name="xdx_40D_eus-gaap--ForeignCurrencyTransac"/>
            <w:bookmarkEnd w:id="619"/>
          </w:p>
        </w:tc>
      </w:tr>
      <w:tr>
        <w:trPr/>
        <w:tc>
          <w:tcPr>
            <w:tcW w:w="4190" w:type="dxa"/>
            <w:tcBorders/>
            <w:shd w:fill="FFFFFF" w:val="clear"/>
            <w:vAlign w:val="center"/>
          </w:tcPr>
          <w:p>
            <w:pPr>
              <w:pStyle w:val="TableContents"/>
              <w:bidi w:val="0"/>
              <w:spacing w:before="0" w:after="283"/>
              <w:jc w:val="left"/>
              <w:rPr/>
            </w:pPr>
            <w:r>
              <w:rPr/>
              <w:t>Unrealized foreign currency translation gain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(202</w:t>
            </w:r>
          </w:p>
        </w:tc>
        <w:tc>
          <w:tcPr>
            <w:tcW w:w="230" w:type="dxa"/>
            <w:tcBorders/>
            <w:shd w:fill="FFFFFF" w:val="clear"/>
            <w:vAlign w:val="center"/>
          </w:tcPr>
          <w:p>
            <w:pPr>
              <w:pStyle w:val="TableContents"/>
              <w:bidi w:val="0"/>
              <w:spacing w:before="0" w:after="283"/>
              <w:jc w:val="left"/>
              <w:rPr/>
            </w:pPr>
            <w:r>
              <w:rPr/>
              <w:t>)</w:t>
            </w:r>
            <w:bookmarkStart w:id="620" w:name="xdx_408_eus-gaap--OtherNonoperatingIncom"/>
            <w:bookmarkEnd w:id="620"/>
          </w:p>
        </w:tc>
      </w:tr>
      <w:tr>
        <w:trPr/>
        <w:tc>
          <w:tcPr>
            <w:tcW w:w="4190"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(589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w:t>
            </w:r>
          </w:p>
        </w:tc>
        <w:tc>
          <w:tcPr>
            <w:tcW w:w="230" w:type="dxa"/>
            <w:tcBorders/>
            <w:shd w:fill="CCEEFF" w:val="clear"/>
            <w:vAlign w:val="center"/>
          </w:tcPr>
          <w:p>
            <w:pPr>
              <w:pStyle w:val="TableContents"/>
              <w:bidi w:val="0"/>
              <w:spacing w:before="0" w:after="283"/>
              <w:jc w:val="left"/>
              <w:rPr/>
            </w:pPr>
            <w:r>
              <w:rPr/>
              <w:t> </w:t>
            </w:r>
            <w:bookmarkStart w:id="621" w:name="xdx_401_eus-gaap--IncomeTaxExpenseBenefi"/>
            <w:bookmarkEnd w:id="621"/>
          </w:p>
        </w:tc>
      </w:tr>
      <w:tr>
        <w:trPr/>
        <w:tc>
          <w:tcPr>
            <w:tcW w:w="4190" w:type="dxa"/>
            <w:tcBorders/>
            <w:shd w:fill="FFFFFF" w:val="clear"/>
            <w:vAlign w:val="center"/>
          </w:tcPr>
          <w:p>
            <w:pPr>
              <w:pStyle w:val="TableContents"/>
              <w:bidi w:val="0"/>
              <w:spacing w:before="0" w:after="283"/>
              <w:jc w:val="left"/>
              <w:rPr/>
            </w:pPr>
            <w:r>
              <w:rPr/>
              <w:t>Provision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73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255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230</w:t>
            </w:r>
          </w:p>
        </w:tc>
        <w:tc>
          <w:tcPr>
            <w:tcW w:w="230" w:type="dxa"/>
            <w:tcBorders/>
            <w:shd w:fill="FFFFFF" w:val="clear"/>
            <w:vAlign w:val="center"/>
          </w:tcPr>
          <w:p>
            <w:pPr>
              <w:pStyle w:val="TableContents"/>
              <w:bidi w:val="0"/>
              <w:spacing w:before="0" w:after="283"/>
              <w:jc w:val="left"/>
              <w:rPr/>
            </w:pPr>
            <w:r>
              <w:rPr/>
              <w:t> </w:t>
            </w:r>
            <w:bookmarkStart w:id="622" w:name="xdx_401_eus-gaap--NetIncomeLoss_iT_pn3n3"/>
            <w:bookmarkEnd w:id="622"/>
          </w:p>
        </w:tc>
      </w:tr>
      <w:tr>
        <w:trPr/>
        <w:tc>
          <w:tcPr>
            <w:tcW w:w="4190" w:type="dxa"/>
            <w:tcBorders/>
            <w:shd w:fill="CCEEFF" w:val="clear"/>
            <w:vAlign w:val="center"/>
          </w:tcPr>
          <w:p>
            <w:pPr>
              <w:pStyle w:val="TableContents"/>
              <w:bidi w:val="0"/>
              <w:spacing w:before="0" w:after="283"/>
              <w:jc w:val="left"/>
              <w:rPr>
                <w:b/>
              </w:rPr>
            </w:pPr>
            <w:r>
              <w:rPr>
                <w:b/>
              </w:rPr>
              <w:t>Net (Loss) Income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(9,413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3,550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(12,502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3,608</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23" w:name="xdx_8A0_zT9DoqU66moc"/>
      <w:bookmarkEnd w:id="623"/>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attributes revenues to geographic areas based on the location of the customer. Total revenue by major geographic area is as follows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4" w:name="xdx_8B4_zUuTpLff1954"/>
      <w:bookmarkStart w:id="625" w:name="xdx_89B_eus-gaap--ScheduleOfRevenuesFrom"/>
      <w:bookmarkEnd w:id="624"/>
      <w:bookmarkEnd w:id="625"/>
      <w:r>
        <w:rPr>
          <w:rFonts w:ascii="Times New Roman;Times;Serif" w:hAnsi="Times New Roman;Times;Serif"/>
          <w:b w:val="false"/>
          <w:i w:val="false"/>
          <w:caps w:val="false"/>
          <w:smallCaps w:val="false"/>
          <w:sz w:val="20"/>
        </w:rPr>
        <w:t>Schedule of Revenues by Geographic Region </w:t>
      </w:r>
    </w:p>
    <w:tbl>
      <w:tblPr>
        <w:tblW w:w="7981" w:type="dxa"/>
        <w:jc w:val="left"/>
        <w:tblInd w:w="0" w:type="dxa"/>
        <w:tblLayout w:type="fixed"/>
        <w:tblCellMar>
          <w:top w:w="0" w:type="dxa"/>
          <w:left w:w="0" w:type="dxa"/>
          <w:bottom w:w="0" w:type="dxa"/>
          <w:right w:w="0" w:type="dxa"/>
        </w:tblCellMar>
      </w:tblPr>
      <w:tblGrid>
        <w:gridCol w:w="1340"/>
        <w:gridCol w:w="60"/>
        <w:gridCol w:w="240"/>
        <w:gridCol w:w="1174"/>
        <w:gridCol w:w="60"/>
        <w:gridCol w:w="60"/>
        <w:gridCol w:w="204"/>
        <w:gridCol w:w="1300"/>
        <w:gridCol w:w="215"/>
        <w:gridCol w:w="60"/>
        <w:gridCol w:w="240"/>
        <w:gridCol w:w="1174"/>
        <w:gridCol w:w="60"/>
        <w:gridCol w:w="60"/>
        <w:gridCol w:w="204"/>
        <w:gridCol w:w="1300"/>
        <w:gridCol w:w="23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Percentage of</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Percentage of</w:t>
            </w:r>
          </w:p>
        </w:tc>
        <w:tc>
          <w:tcPr>
            <w:tcW w:w="23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Revenue</w:t>
            </w:r>
          </w:p>
        </w:tc>
        <w:tc>
          <w:tcPr>
            <w:tcW w:w="23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626" w:name="xdx_980_eus-gaap--RevenueFromContractWit"/>
            <w:bookmarkEnd w:id="626"/>
          </w:p>
        </w:tc>
        <w:tc>
          <w:tcPr>
            <w:tcW w:w="1174" w:type="dxa"/>
            <w:tcBorders/>
            <w:shd w:fill="CCEEFF" w:val="clear"/>
            <w:vAlign w:val="center"/>
          </w:tcPr>
          <w:p>
            <w:pPr>
              <w:pStyle w:val="TableContents"/>
              <w:bidi w:val="0"/>
              <w:spacing w:before="0" w:after="283"/>
              <w:jc w:val="right"/>
              <w:rPr/>
            </w:pPr>
            <w:r>
              <w:rPr/>
              <w:t>22,462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bookmarkStart w:id="627" w:name="xdx_90B_eus-gaap--ConcentrationRiskPerce"/>
            <w:bookmarkEnd w:id="627"/>
            <w:r>
              <w:rPr/>
              <w:t>98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628" w:name="xdx_98B_eus-gaap--RevenueFromContractWit"/>
            <w:bookmarkEnd w:id="628"/>
          </w:p>
        </w:tc>
        <w:tc>
          <w:tcPr>
            <w:tcW w:w="1174" w:type="dxa"/>
            <w:tcBorders/>
            <w:shd w:fill="CCEEFF" w:val="clear"/>
            <w:vAlign w:val="center"/>
          </w:tcPr>
          <w:p>
            <w:pPr>
              <w:pStyle w:val="TableContents"/>
              <w:bidi w:val="0"/>
              <w:spacing w:before="0" w:after="283"/>
              <w:jc w:val="right"/>
              <w:rPr/>
            </w:pPr>
            <w:r>
              <w:rPr/>
              <w:t>32,133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bookmarkStart w:id="629" w:name="xdx_901_eus-gaap--ConcentrationRiskPerce"/>
            <w:bookmarkEnd w:id="629"/>
            <w:r>
              <w:rPr/>
              <w:t>91</w:t>
            </w:r>
          </w:p>
        </w:tc>
        <w:tc>
          <w:tcPr>
            <w:tcW w:w="23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Rest of world</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0" w:name="xdx_98E_eus-gaap--RevenueFromContractWit"/>
            <w:bookmarkEnd w:id="630"/>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569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31" w:name="xdx_90D_eus-gaap--ConcentrationRiskPerce"/>
            <w:bookmarkEnd w:id="631"/>
            <w:r>
              <w:rPr/>
              <w:t>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2" w:name="xdx_988_eus-gaap--RevenueFromContractWit"/>
            <w:bookmarkEnd w:id="632"/>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3,278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33" w:name="xdx_90A_eus-gaap--ConcentrationRiskPerce"/>
            <w:bookmarkEnd w:id="633"/>
            <w:r>
              <w:rPr/>
              <w:t>9</w:t>
            </w:r>
          </w:p>
        </w:tc>
        <w:tc>
          <w:tcPr>
            <w:tcW w:w="23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34" w:name="xdx_987_eus-gaap--RevenueFromContractWit"/>
            <w:bookmarkEnd w:id="634"/>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23,031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35" w:name="xdx_90F_eus-gaap--ConcentrationRiskPerce"/>
            <w:bookmarkEnd w:id="635"/>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36" w:name="xdx_986_eus-gaap--RevenueFromContractWit"/>
            <w:bookmarkEnd w:id="636"/>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35,411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37" w:name="xdx_905_eus-gaap--ConcentrationRiskPerce"/>
            <w:bookmarkEnd w:id="637"/>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981" w:type="dxa"/>
        <w:jc w:val="left"/>
        <w:tblInd w:w="0" w:type="dxa"/>
        <w:tblLayout w:type="fixed"/>
        <w:tblCellMar>
          <w:top w:w="0" w:type="dxa"/>
          <w:left w:w="0" w:type="dxa"/>
          <w:bottom w:w="0" w:type="dxa"/>
          <w:right w:w="0" w:type="dxa"/>
        </w:tblCellMar>
      </w:tblPr>
      <w:tblGrid>
        <w:gridCol w:w="1340"/>
        <w:gridCol w:w="60"/>
        <w:gridCol w:w="240"/>
        <w:gridCol w:w="1174"/>
        <w:gridCol w:w="60"/>
        <w:gridCol w:w="60"/>
        <w:gridCol w:w="204"/>
        <w:gridCol w:w="1300"/>
        <w:gridCol w:w="215"/>
        <w:gridCol w:w="60"/>
        <w:gridCol w:w="241"/>
        <w:gridCol w:w="1173"/>
        <w:gridCol w:w="60"/>
        <w:gridCol w:w="60"/>
        <w:gridCol w:w="204"/>
        <w:gridCol w:w="1300"/>
        <w:gridCol w:w="230"/>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Percentage of</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Six Months</w:t>
              <w:br/>
              <w:t>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Percentage of</w:t>
            </w:r>
          </w:p>
        </w:tc>
        <w:tc>
          <w:tcPr>
            <w:tcW w:w="23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Revenue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Revenue</w:t>
            </w:r>
          </w:p>
        </w:tc>
        <w:tc>
          <w:tcPr>
            <w:tcW w:w="23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bookmarkStart w:id="638" w:name="xdx_981_eus-gaap--RevenueFromContractWit"/>
            <w:bookmarkEnd w:id="638"/>
          </w:p>
        </w:tc>
        <w:tc>
          <w:tcPr>
            <w:tcW w:w="1174" w:type="dxa"/>
            <w:tcBorders/>
            <w:shd w:fill="CCEEFF" w:val="clear"/>
            <w:vAlign w:val="center"/>
          </w:tcPr>
          <w:p>
            <w:pPr>
              <w:pStyle w:val="TableContents"/>
              <w:bidi w:val="0"/>
              <w:spacing w:before="0" w:after="283"/>
              <w:jc w:val="right"/>
              <w:rPr/>
            </w:pPr>
            <w:r>
              <w:rPr/>
              <w:t>43,169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bookmarkStart w:id="639" w:name="xdx_90F_eus-gaap--ConcentrationRiskPerce"/>
            <w:bookmarkEnd w:id="639"/>
            <w:r>
              <w:rPr/>
              <w:t>98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bookmarkStart w:id="640" w:name="xdx_989_eus-gaap--RevenueFromContractWit"/>
            <w:bookmarkEnd w:id="640"/>
          </w:p>
        </w:tc>
        <w:tc>
          <w:tcPr>
            <w:tcW w:w="1173" w:type="dxa"/>
            <w:tcBorders/>
            <w:shd w:fill="CCEEFF" w:val="clear"/>
            <w:vAlign w:val="center"/>
          </w:tcPr>
          <w:p>
            <w:pPr>
              <w:pStyle w:val="TableContents"/>
              <w:bidi w:val="0"/>
              <w:spacing w:before="0" w:after="283"/>
              <w:jc w:val="right"/>
              <w:rPr/>
            </w:pPr>
            <w:r>
              <w:rPr/>
              <w:t>62,250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300" w:type="dxa"/>
            <w:tcBorders/>
            <w:shd w:fill="CCEEFF" w:val="clear"/>
            <w:vAlign w:val="center"/>
          </w:tcPr>
          <w:p>
            <w:pPr>
              <w:pStyle w:val="TableContents"/>
              <w:bidi w:val="0"/>
              <w:spacing w:before="0" w:after="283"/>
              <w:jc w:val="right"/>
              <w:rPr/>
            </w:pPr>
            <w:bookmarkStart w:id="641" w:name="xdx_90C_eus-gaap--ConcentrationRiskPerce"/>
            <w:bookmarkEnd w:id="641"/>
            <w:r>
              <w:rPr/>
              <w:t>91</w:t>
            </w:r>
          </w:p>
        </w:tc>
        <w:tc>
          <w:tcPr>
            <w:tcW w:w="23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Rest of world</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42" w:name="xdx_98C_eus-gaap--RevenueFromContractWit"/>
            <w:bookmarkEnd w:id="642"/>
          </w:p>
        </w:tc>
        <w:tc>
          <w:tcPr>
            <w:tcW w:w="1174" w:type="dxa"/>
            <w:tcBorders>
              <w:bottom w:val="single" w:sz="8" w:space="0" w:color="000000"/>
            </w:tcBorders>
            <w:shd w:fill="FFFFFF" w:val="clear"/>
            <w:tcMar>
              <w:bottom w:w="28" w:type="dxa"/>
            </w:tcMar>
            <w:vAlign w:val="center"/>
          </w:tcPr>
          <w:p>
            <w:pPr>
              <w:pStyle w:val="TableContents"/>
              <w:bidi w:val="0"/>
              <w:spacing w:before="0" w:after="283"/>
              <w:jc w:val="right"/>
              <w:rPr/>
            </w:pPr>
            <w:r>
              <w:rPr/>
              <w:t>746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43" w:name="xdx_90E_eus-gaap--ConcentrationRiskPerce"/>
            <w:bookmarkEnd w:id="643"/>
            <w:r>
              <w:rPr/>
              <w:t>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44" w:name="xdx_981_eus-gaap--RevenueFromContractWit"/>
            <w:bookmarkEnd w:id="644"/>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6,065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645" w:name="xdx_90D_eus-gaap--ConcentrationRiskPerce"/>
            <w:bookmarkEnd w:id="645"/>
            <w:r>
              <w:rPr/>
              <w:t>9</w:t>
            </w:r>
          </w:p>
        </w:tc>
        <w:tc>
          <w:tcPr>
            <w:tcW w:w="23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46" w:name="xdx_983_eus-gaap--RevenueFromContractWit"/>
            <w:bookmarkEnd w:id="646"/>
          </w:p>
        </w:tc>
        <w:tc>
          <w:tcPr>
            <w:tcW w:w="1174" w:type="dxa"/>
            <w:tcBorders>
              <w:bottom w:val="double" w:sz="6" w:space="0" w:color="000000"/>
            </w:tcBorders>
            <w:shd w:fill="CCEEFF" w:val="clear"/>
            <w:tcMar>
              <w:bottom w:w="28" w:type="dxa"/>
            </w:tcMar>
            <w:vAlign w:val="center"/>
          </w:tcPr>
          <w:p>
            <w:pPr>
              <w:pStyle w:val="TableContents"/>
              <w:bidi w:val="0"/>
              <w:spacing w:before="0" w:after="283"/>
              <w:jc w:val="right"/>
              <w:rPr/>
            </w:pPr>
            <w:r>
              <w:rPr/>
              <w:t>43,915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47" w:name="xdx_900_eus-gaap--ConcentrationRiskPerce"/>
            <w:bookmarkEnd w:id="647"/>
            <w:r>
              <w:rPr/>
              <w:t>100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48" w:name="xdx_98B_eus-gaap--RevenueFromContractWit"/>
            <w:bookmarkEnd w:id="648"/>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68,315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49" w:name="xdx_90D_eus-gaap--ConcentrationRiskPerce"/>
            <w:bookmarkEnd w:id="649"/>
            <w:r>
              <w:rPr/>
              <w:t>100</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650" w:name="xdx_8A8_z5OxfGsY9MZ7"/>
      <w:bookmarkEnd w:id="650"/>
      <w:r>
        <w:rPr>
          <w:caps w:val="false"/>
          <w:smallCaps w:val="false"/>
        </w:rPr>
        <w:t> </w:t>
      </w:r>
    </w:p>
    <w:p>
      <w:pPr>
        <w:pStyle w:val="TextBody"/>
        <w:bidi w:val="0"/>
        <w:spacing w:before="0" w:after="0"/>
        <w:ind w:left="0" w:right="0" w:hanging="0"/>
        <w:jc w:val="both"/>
        <w:rPr>
          <w:caps w:val="false"/>
          <w:smallCaps w:val="false"/>
        </w:rPr>
      </w:pPr>
      <w:bookmarkStart w:id="651" w:name="xdx_811_zBwjdzg5nWV5"/>
      <w:bookmarkEnd w:id="651"/>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3"/>
        <w:gridCol w:w="9462"/>
      </w:tblGrid>
      <w:tr>
        <w:trPr/>
        <w:tc>
          <w:tcPr>
            <w:tcW w:w="743"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2.</w:t>
            </w:r>
          </w:p>
        </w:tc>
        <w:tc>
          <w:tcPr>
            <w:tcW w:w="9462"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652" w:name="DA_004"/>
            <w:bookmarkEnd w:id="652"/>
            <w:r>
              <w:rPr>
                <w:rFonts w:ascii="Times New Roman;Times;Serif" w:hAnsi="Times New Roman;Times;Serif"/>
                <w:b/>
                <w:i w:val="false"/>
                <w:caps w:val="false"/>
                <w:smallCaps w:val="false"/>
                <w:sz w:val="20"/>
              </w:rPr>
              <w:t>MANAGEMENT’S DISCUSSION AND ANALYSIS OF FINANCIAL CONDITION AND RESULTS OF OPERATIONS</w:t>
            </w:r>
          </w:p>
        </w:tc>
      </w:tr>
    </w:tbl>
    <w:p>
      <w:pPr>
        <w:pStyle w:val="TextBody"/>
        <w:bidi w:val="0"/>
        <w:spacing w:before="0" w:after="0"/>
        <w:ind w:left="1440" w:right="0" w:hanging="144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Management’s Discussion and Analysis provides material historical and prospective disclosures intended to enable investors and other users to assess our financial condition and results of operations. The following discussion should be read in conjunction with our condensed consolidated financial statements and accompanying notes included in this Quarterly Report on Form 10-Q and the audited consolidated financial statements and accompanying notes thereto and Management’s Discussion and Analysis of Financial Condition and Results of Operations included in our Annual Report on Form 10-K for the fiscal year ended December 31, 2025. In addition to historical financial information, the following discussion and analysis contains forward-looking statements that involve risks, uncertainties, and assumptions. Some of the numbers included herein have been rounded for the convenience of presentation. Our actual results may differ materially from those anticipated in these forward-looking statements as a result of many factors, including those discussed above in “Cautionary Statement Regarding Forward-Looking Statements” and elsewhere in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manufacture and market regenerative medicine products and medical devices for domestic and international markets. Our products serve the specialized needs of orthopedic and neurological surgeons, as well as trauma, foot and ankle, sports medicine, and wound care surgeons including orthobiologics for the promotion of bone healing, amniotic tissue and collagen for both surgical repair and chronic wound care, and implants and instrumentation for the treatment of spinal disease. We promote our products primarily in the United States through a direct sales force, independent distributors and stocking agents.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extensive sales channel of direct and independent commissioned agents and stocking distributors in the United States representing some or all of our products. We also maintain a national accounts program to enable our agents to gain access to integrated delivery network hospitals and through group purchasing organizations. We have biologics contracts with major GPOs, as well as extensive access to IDNs across the United States for both biologics and spine hardware systems. While our focus is the United States market, we promote and sell our products internationally through stocking distribution partners in Europe, Canada, Mexico, South America, and certain Pacific region countries. We have recently made and intend to continue to make measured investments in the expansion of our commercial team to support our new products and maximize the reach of our broad portfolio of orthobiologics solutions. In April 2026, we hired approximately 20 sales personnel in connection with our exclusive distribution arrangement with Dilon Technologies, Inc. (“Dilon”).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December 1, 2025, we completed the sale of certain non-core assets relating to our Coflex and CoFix products and our international hardware business to Companion Spine, LLC (“Companion Spine”) for an aggregate purchase price of $21.4 million (the “Coflex/CoFix and Paradigm Divestitures”). Of the $10.7 million of proceeds received (including $0.3 million of interest accrued on the note receivable balance) during the first quarter of 2026, $2.8 million was used to repay a portion of our term debt. To assist in the transition of this business to Companion Spine, we agreed to provide certain transition services to Companion Spine for a limited period of time. In 2025, we recognized $20.3 million in revenue from sales of our Coflex and CoFix products and international hardware products prior to the Coflex/CoFix and Paradigm Divestitures. As anticipated, the loss of this revenue has adversely affected and will continue to adversely affect our 2026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previously disclosed, we recognized $18.7 million in license revenue in 2025 that we indicated likely will not repeat in 2026 due primarily to changes in the reimbursement environment for our SimpliMax™ product effective January 1, 2026. As previously disclosed, this loss in license revenue has also adversely affected and will continue to adversely affect a portion of our product revenue in 2026. Specifically, we experienced $5.0 million and $8.6 million decreases in license revenue during the three and six months ended June 30, 2026, respectively, and $2.9 million and $4.9 million decreases in product revenue related primarily to skin substitute products during the three and six months ended June 30, 2026, respectively, in each case as compared to the respective prior year period. The loss of this license and product revenue will continue to adversely impact our revenues and other operating results, including our gross margins, during the remainder of 2026 as compared to 2025.</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we announced that we entered into a Distribution Agreement (the “Distribution Agreement”) with Dilon Technologies, Inc. pursuant to which we obtained the exclusive rights to import, market, distribute and sell the HEMOBLAST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Bellows product in the United States. The HEMOBLAST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Bellows product is an FDA-approved powder-based, topical, surgical hemostatic agent used to control bleeding during surgical procedures. In connection with the agreement, we hired approximately 20 Dilon sales personnel to assist in selling product in the United States. Under the Distribution Agreement, Dilon will continue to manufacture the HEMOBLAST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Bellows product at its facility in France and supply it to us at a specified transfer price, which price is subject to adjustment in certain circumstances. The Distribution Agreement does not contain any minimum purchase requirements. We rely on Dilon, as the sole manufacturer, to produce the product for us and in sufficient quantities and at an appropriate transfer price. There are no other suppliers of the HEMOBLAST® Bellows product. Accordingly, this arrangement involves risk since we do not control the manufacturing process and Dilon is responsible for all manufacturing decisions, as well as compliance with all applicable rules and regulations in connection therewith. We believe we will have a sufficient supply of the HEMOBLAST® Bellows product to support our anticipated sales through the end of third quarter 2026. We are uncertain that supply will be available to us thereafter. If Dilon is unable to manufacture and supply us the HEMOBLAST® Bellows product in sufficient quantities or at all, then we will be unable to sell the product and recognize revenue in connection therewith, as discussed later in this report under the heading “Part II. Other Information – Item 1A.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Distribution Agreement, we paid Dilon a $5.0 million exclusivity fee upon execution of the agreement. The fee is fully refundable to us in certain circumstances. Given the refundable nature of the payment, we initially recognized the $5.0 million as a deposit asset on our consolidated balance sheet. However, based on an assessment of facts and circumstances, including the uncertainty surrounding recovery of the payment and management’s expectation that repayment was not probable despite contractual repayment provisions, we recognized a $5.0 million charge to operating expenses during the second quarter of 2026, which adversely affected our operating results for the second quarter of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Three and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for the three and six months ended June 30, 2026 was $23.0 million and $43.9 million, respectively, which represent decreases of 35% and 36%, respectively, compared to $35.4 million and $68.3 million for the three and six months ended June 30, 2025, respectively. These decreases are attributed primarily to: (i) $5.6 million and $11.0 million of revenues associated with the Coflex/CoFix and Paradigm Divestitures recognized during the three and six months ended June 30, 2025, respectively; (ii) $5.0 million and $8.6 million of licensing revenue recognized during the three and six months ended June 30, 2025, respectively; and (iii) decreases in orthobiologics sales during the current year periods compared to the prior year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Cost of Sales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 consists primarily of manufacturing cost, product purchase costs, and depreciation of surgical instruments. Cost of sales also includes reserves for estimated excess inventory and inventory on consignment that may be missing and not returned. Cost of sales decreased by $1.4 million to $9.7 million for the three months ended June 30, 2026 from $11.1 million for the three months ended June 30, 2025. Cost of sales decreased by $5.2 million to $18.6 million for the six months ended June 30, 2026 from $23.8 million for the six months ended June 30, 2025. The decrease associated with the three-month comparison was due primarily to the non-recurrence of costs of sales in the current year period associated with the Coflex/CoFix and Paradigm Divestitures in the prior year period. The decrease associated with the six-month comparison was due primarily to the non-recurrence of costs of sales in the current year period associated with the Coflex/CoFix and Paradigm Divestitures and decreases in orthobiologics sales during the current 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as a percentage of revenue, decreased to 57.9% for the three months ended June 30, 2026 compared to 68.6% for the same period in 2025 and decreased to 57.6% for the six months ended June 30, 2026 compared to 65.2% for the same period in 2025. Of the decrease for the three-month comparison, 450 basis points related to the reduction in license revenue and 390 basis points resulted from reduced production efficiencies and increased charges for excess and obsolete inventory. Of the decrease for the six-month comparison, 450 basis points related to the reduction in license revenue and 230 basis points resulted from reduced production efficiencies.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 costs for corporate employees, cash-based and stock-based compensation related costs, amortization, and corporate expenses for legal, accounting and other professional fees, as well as occupancy costs. General and administrative expenses decreased 14%, or $1.0 million, to $6.4 million for the three months ended June 30, 2026, compared to $7.5 million for the same period in 2025. General and administrative expenses decreased 15%, or $2.3 million, to $12.7 million for the six months ended June 30, 2026, compared to $15.0 million for the same period in 2025. Of these decreases, $1.4 million and $3.0 million for the three-month and six-month periods are due to the Coflex/CoFix and Paradigm Divestitures. The decrease for the three-month comparison was partially offset by $0.1 million in additional stock-based compensation expense incurred in the current year period. The decrease for the six-month comparison was partially offset by $0.2 million of additional computer and software costs and $0.2 million in additional accounting and consulting fees incurred in the current year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sales commissions; personnel costs for sales and marketing employees; costs for trade shows, sales conventions and meetings; travel expenses; advertising; and other sales and marketing related costs. Sales and marketing expenses decreased 11%, or $1.2 million, to $10.4 million for the three months ended June 30, 2026, compared to $11.6 million for the same period in 2025. Sales and marketing expenses decreased 19%, or $4.2 million, to $18.6 million for the six months ended June 30, 2026, compared to $22.8 million for the same period in 2025. Of these decreases, $2.4 million and $4.9 million for the three-month and six-month periods are due to the Coflex/CoFix and Paradigm Divestitures. The remaining increase for the three-month comparison is primarily due to increased compensation expenses of $1.2 million related to increased headcount; an increase in independent agent commission expense of $0.3 million resulting from revenue mix; and a $0.3 million increase in travel-related expenses, partially offset by a $0.9 million reduction in consulting fees. The remaining increase for the six-month comparison is primarily due to increased compensation expenses of $1.4 million related to increased sales personnel headcount and $0.4 million increase in travel-related expenses, partially offset by a $1.5 million reduction in consulting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internal costs for the development of new technologies. Research and development expenses increased 23%, or $0.1 million, to $0.7 million for the three months ended June 30, 2026, compared to $0.6 million for the same period in 2025. Research and development expenses increased 12%, or $0.1 million, to $1.1 million for the six months ended June 30, 2026, compared to $1.0 million for the same period in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Write-off of Distribution Agreement Deposit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three and six months ended June 30, 2026 include expense of $5.0 million for the exclusivity fee we paid Dilon upon execution of the Distribution Agreement, which although refundable in certain circumstances, we do not expect to collect.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decreased 46%, or $0.5 million, to $0.5 million for the three months ended June 30, 2026, compared to $1.0 million for the same period in 2025. Interest expense decreased 44%, or $0.9 million, to $1.1 million for the six months ended June 30, 2026, compared to $2.0 million for the same period in 2025. These decreases resulted primarily from reduced borrowings under our revolving line of credit and repayments totaling $0.9 million and $3.8 million on our term loan during the three and six months ended June 30, 2026,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recognized $0.3 million and $0.6 million, respectively, of other income for the three and six months ended June 30, 2026 primarily related to certain transition services provided to Companion Spine. We expect such other income to continue for approximately one month through the remaining term of the transition services agreement with Companion Spine.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for Income Taxes – Current and Deferred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income tax expense for the three and six months ended June 30, 2026 compared to the three and six months ended June 30, 2025 was primarily due to a decrease in cash state taxes attributable to tax year 2026 as compared to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Working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financed our operations primarily through operating cash flows, private placements of equity securities and convertible debt, debt facilities, common stock rights offerings, and other debt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working capital as of June 30, 2026 and December 31, 2025 (in thousands):</w:t>
      </w:r>
    </w:p>
    <w:p>
      <w:pPr>
        <w:pStyle w:val="TextBody"/>
        <w:bidi w:val="0"/>
        <w:spacing w:before="0" w:after="0"/>
        <w:ind w:left="0" w:right="0" w:firstLine="720"/>
        <w:jc w:val="both"/>
        <w:rPr>
          <w:caps w:val="false"/>
          <w:smallCaps w:val="false"/>
        </w:rPr>
      </w:pPr>
      <w:r>
        <w:rPr>
          <w:caps w:val="false"/>
          <w:smallCaps w:val="false"/>
        </w:rPr>
        <w:t> </w:t>
      </w:r>
    </w:p>
    <w:tbl>
      <w:tblPr>
        <w:tblW w:w="7603" w:type="dxa"/>
        <w:jc w:val="left"/>
        <w:tblInd w:w="0" w:type="dxa"/>
        <w:tblLayout w:type="fixed"/>
        <w:tblCellMar>
          <w:top w:w="0" w:type="dxa"/>
          <w:left w:w="0" w:type="dxa"/>
          <w:bottom w:w="0" w:type="dxa"/>
          <w:right w:w="0" w:type="dxa"/>
        </w:tblCellMar>
      </w:tblPr>
      <w:tblGrid>
        <w:gridCol w:w="3980"/>
        <w:gridCol w:w="60"/>
        <w:gridCol w:w="241"/>
        <w:gridCol w:w="1173"/>
        <w:gridCol w:w="60"/>
        <w:gridCol w:w="60"/>
        <w:gridCol w:w="333"/>
        <w:gridCol w:w="1621"/>
        <w:gridCol w:w="75"/>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75" w:type="dxa"/>
            <w:tcBorders/>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10,217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w:t>
            </w:r>
          </w:p>
        </w:tc>
        <w:tc>
          <w:tcPr>
            <w:tcW w:w="1621" w:type="dxa"/>
            <w:tcBorders/>
            <w:shd w:fill="CCEEFF" w:val="clear"/>
            <w:vAlign w:val="center"/>
          </w:tcPr>
          <w:p>
            <w:pPr>
              <w:pStyle w:val="TableContents"/>
              <w:bidi w:val="0"/>
              <w:spacing w:before="0" w:after="283"/>
              <w:jc w:val="right"/>
              <w:rPr/>
            </w:pPr>
            <w:r>
              <w:rPr/>
              <w:t>17,328</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19,416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17,803</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33,287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30,263</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Note receivable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10,462</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64,777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78,245</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6,154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3,844</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7,481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10,626</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Current portion of long-term debt</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3,720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3,500</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Line of credit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11,985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10,857</w:t>
            </w:r>
          </w:p>
        </w:tc>
        <w:tc>
          <w:tcPr>
            <w:tcW w:w="75"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29,963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3" w:type="dxa"/>
            <w:tcBorders/>
            <w:shd w:fill="FFFFFF" w:val="clear"/>
            <w:vAlign w:val="center"/>
          </w:tcPr>
          <w:p>
            <w:pPr>
              <w:pStyle w:val="TableContents"/>
              <w:bidi w:val="0"/>
              <w:spacing w:before="0" w:after="283"/>
              <w:jc w:val="left"/>
              <w:rPr/>
            </w:pPr>
            <w:r>
              <w:rPr/>
              <w:t> </w:t>
            </w:r>
          </w:p>
        </w:tc>
        <w:tc>
          <w:tcPr>
            <w:tcW w:w="1621" w:type="dxa"/>
            <w:tcBorders/>
            <w:shd w:fill="FFFFFF" w:val="clear"/>
            <w:vAlign w:val="center"/>
          </w:tcPr>
          <w:p>
            <w:pPr>
              <w:pStyle w:val="TableContents"/>
              <w:bidi w:val="0"/>
              <w:spacing w:before="0" w:after="283"/>
              <w:jc w:val="right"/>
              <w:rPr/>
            </w:pPr>
            <w:r>
              <w:rPr/>
              <w:t>29,484</w:t>
            </w:r>
          </w:p>
        </w:tc>
        <w:tc>
          <w:tcPr>
            <w:tcW w:w="75" w:type="dxa"/>
            <w:tcBorders/>
            <w:shd w:fill="FFFFFF" w:val="cle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283"/>
              <w:jc w:val="left"/>
              <w:rPr/>
            </w:pPr>
            <w:r>
              <w:rPr/>
              <w:t>Net working capital</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34,814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3" w:type="dxa"/>
            <w:tcBorders/>
            <w:shd w:fill="CCEEFF" w:val="clear"/>
            <w:vAlign w:val="center"/>
          </w:tcPr>
          <w:p>
            <w:pPr>
              <w:pStyle w:val="TableContents"/>
              <w:bidi w:val="0"/>
              <w:spacing w:before="0" w:after="283"/>
              <w:jc w:val="left"/>
              <w:rPr/>
            </w:pPr>
            <w:r>
              <w:rPr/>
              <w:t> </w:t>
            </w:r>
          </w:p>
        </w:tc>
        <w:tc>
          <w:tcPr>
            <w:tcW w:w="1621" w:type="dxa"/>
            <w:tcBorders/>
            <w:shd w:fill="CCEEFF" w:val="clear"/>
            <w:vAlign w:val="center"/>
          </w:tcPr>
          <w:p>
            <w:pPr>
              <w:pStyle w:val="TableContents"/>
              <w:bidi w:val="0"/>
              <w:spacing w:before="0" w:after="283"/>
              <w:jc w:val="right"/>
              <w:rPr/>
            </w:pPr>
            <w:r>
              <w:rPr/>
              <w:t>48,761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working capital decreased by $13.9 million as of June 30, 2026 as compared to December 31, 2025, we used cash received from the Coflex/CoFix and Paradigm Divestitures and the repayment by Companion Spine of the note receivable that existed as of December 31, 2025 in connection therewith to repay some of our long-term debt, resulting in our long-term debt, less the current portion and plus premium and less issuance costs, being $7.3 million as of June 30, 2026, compared to $11.0 million as of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second quarter of 2026, we used $5.0 million of cash to pay the exclusivity fee to Dilon under the Distribution Agreement. While this fee is subject to repayment by Dilon under certain circumstances, including upon termination of the Distribution Agreement for any reason, we recorded a $5.0 million charge to operating expenses during the second quarter of 2026. This charge is based on an assessment of facts and circumstances, including the uncertainty surrounding recovery of the payment and management’s expectation that repayment was not probable despite the contractual repayment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for the first six months of 2026 was $9.4 million compared to net cash provided by operating activities of $2.6 million for the first six months of 2025. This change relates primarily to the net loss in the first six months of 2026 compared to net income in the comparable prior year period, exclusive of the $5.0 million Dilon distribution expense associated with the Distribution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Net cash provided by investing activities for the first six months of 2026 was $5.0 million compared to net cash used in investing activities of $1.5 million for the first six months of 2025. </w:t>
      </w:r>
      <w:r>
        <w:rPr>
          <w:rFonts w:ascii="Times New Roman;Times;Serif" w:hAnsi="Times New Roman;Times;Serif"/>
          <w:b w:val="false"/>
          <w:i w:val="false"/>
          <w:caps w:val="false"/>
          <w:smallCaps w:val="false"/>
          <w:sz w:val="20"/>
        </w:rPr>
        <w:t>This change relates primarily to $10.4 million of cash received from Companion Spine in connection with the Coflex/Cofix and Paradigm Divestitures in the current year period, partially offset by $5.0 million paid to Dilon in connection with the Distribution Agreement in the current year period.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for the first six months of 2026 was $2.7 million compared to $0.3 million for the first six months of 2025. This increase relates primarily to $3.8 million of increased repayments on the term loan during the current year period compared to the prior year period, partially offset by $1.2 million of reduced borrowings under our revolving credit facility, net of repayments.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 Loan and Revolving Credit Facilities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Xtant, as guarantor, and certain of our subsidiaries, as borrowers (collectively, the “Borrowers”), are parties to a term loan credit agreement (the “Term Credit Agreement”) and revolving loan credit agreement (the “Revolving Credit Agreement” and together with the Term Loan Credit Agreement, the “Loan Agreements”) with MidCap Financial Trust and MidCap Funding IV Trust, respectively and each in its respective capacity as agent, and lenders from time to time party thereto. As of June 30, 2026, $10.2 million was outstanding under the term loan facility under the Term Credit Agreement (the “Term Facility”), reduced from $14.0 million as of December 31, 2025. This reduction was due to the final purchase price payment of $2.8 million by Companion Spine to us during the current year period in connection with the sale of certain assets relating to our Coflex and CoFix products and international hardware business to Companion Spine and $0.9 million of principal repayments under the Term Loan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Revolving Credit Agreement provides for a secured revolving credit facility (the “Revolving Facility,” and, together with the secured term credit facility under the Term Credit Agreement, the “Facilities”) under which the Borrowers may borrow up to $17.0 million at any one time, the availability of which is determined based on a borrowing base equal to percentages of certain accounts receivable and inventory of the Borrowers in accordance with a formula set forth in the Revolving Credit Agreement. All borrowings under the Revolving Facility are subject to the satisfaction of customary conditions, including the absence of default, the accuracy of representations and warranties in all material respects, and the delivery of an updated borrowing base certificate.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Facilities have a maturity date of March 1, 2029. Each of the Borrowers, and Xtant, as guarantor, are jointly and severally liable for all of the obligations under the Facilities on the terms set forth in the Credit Agreements. The Borrowers’ obligations, and Xtant’s obligations as a guarantor, under the Credit Agreements are secured by first-priority liens on substantially all of their assets, including, without limitation, all inventory, equipment, accounts, intellectual property and other assets of Xtant and the Borrowers. As of June 30, 2026, we had $12.0 million outstanding and $0.7 million of availability under the Revolving Credit Facility.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loans and other obligations pursuant to the Credit Agreements bear interest at a per annum rate equal to the sum of the SOFR Interest Rate, as such term is defined in the Credit Agreements, plus the applicable margin of 6.50% in the case of the Term Credit Agreement, and an applicable margin of 4.50% in the case of the Revolving Credit Agreement, subject in each case to a floor of 2.50%. As of June 30, 2026, the effective rate of the Term Credit Agreement, inclusive of amortization of debt issuance costs and accretion of the final payment, was 14.74%, and the effective rate of the Revolving Credit Agreement was 8.23%.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Agreements contain affirmative and negative covenants customarily applicable to senior secured credit facilities, including covenants that, among other things, limit or restrict the ability of the Borrowers, subject to negotiated exceptions, to incur additional indebtedness and additional liens on their assets, engage in mergers or acquisitions or dispose of assets, pay dividends or make other distributions, voluntarily prepay other indebtedness, enter into transactions with affiliated persons, make investments, undergo a change in control and change the nature of their businesses. In addition, the Credit Agreements require us to maintain net product revenue at or above certain minimum levels and to maintain a certain minimum liquidity level, in each case as specified in the Credit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10, 2026, we entered into Amendment No. 5 to Amended and Restated Credit, Security and Guaranty Agreement (Term Loan) with MidCap Financial Trust and Amendment No. 5 to Amended and Restated Credit, Security and Guaranty Agreement (Revolving Loan) with MidCap Funding IV Trust pursuant to which we eliminated the requirement to comply with the minimum net revenue covenant for second quarter of 2026, adjusted the amortization of the term loan to increase quarterly principal payments by $0.15 million in the fourth quarter of 2026 and increase quarterly principal payments by $0.3 million thereafter until the outstanding principal balance of the term loan has been paid in full, and revised the minimum net revenue covenant to minimum net revenue amounts. As of June 30, 2026, our credit agreements included a minimum net revenue covenant, however, pursuant to the Amendment No. 5s executed in August 2026, we were not required to comply with the minimum net revenue covenant for the quarter ended June 30, 2026. Under the covenant terms in effect prior to the Amendment No. 5s, we would not have been in compliance with the minimum net revenue requirement for that quarter.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$10.2 million of cash and cash equivalents as of June 30, 2026, together with our anticipated operating cash flows and amounts available under the Facilities, will be sufficient to meet our anticipated cash requirements through at least August 2027. However, we may require or seek additional capital to fund our future operations and business strategy prior to August 2027. Accordingly, there is no assurance that we will not need or seek additional financing prior to such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raise additional financing even before we need it if market conditions for raising additional capital are favorable. We may seek to raise additional financing through various sources, such as equity and debt financings, debt restructurings or refinancings or through strategic transactions, dispositions, collaborations or license agreements. We can give no assurances that we will be able to secure additional sources of funds to support our operations, or if such funds are available to us, that such additional financing will be sufficient to meet our needs or on terms acceptable to us. This is particularly true if economic and market conditions deteriorate or our business, financial performance or prospects deteriorate.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we raise additional capital through the sale of equity or convertible debt securities or the restructuring or refinancing of our debt, the interests of our current stockholders may be diluted, and the terms may include discounted equity purchase prices, warrant coverage, liquidation or other preferences or rights that would adversely affect the rights of our current stockholders. If we issue common stock, we may do so at purchase prices that represent a discount to our trading price and/or we may issue warrants to the purchasers, which could further dilute our current stockholders. If we issue preferred stock, it could adversely affect the rights of our stockholders or reduce the value of our common stock. In particular, specific rights or preferences granted to future holders of preferred stock may include voting rights, preferences as to dividends and liquidation, conversion and redemption rights, sinking fund provisions, and restrictions on our ability to merge with or sell our assets to a third party. Additional debt financing, if available, may involve agreements that include covenants limiting or restricting our ability to take specific actions, such as incurring additional debt, making capital expenditures or declaring dividends. Prior to raising additional equity or debt financing, we may be required to obtain the consent of MidCap Financial Trust and MidCap Funding IV Trust under our Credit Agreements, and no assurance can be provided that they would provide such consent, which could limit our ability to raise additional financing and the terms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our financial condition and results of operations is based on our financial statements, which have been prepared in accordance with U.S. GAAP. There have been no changes in our critical accounting estimates for the six months ended June 30, 2026 as compared to the critical accounting estimates described in our Annual Report on Form 10-K for the fiscal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5"/>
        <w:gridCol w:w="6980"/>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3.</w:t>
            </w:r>
          </w:p>
        </w:tc>
        <w:tc>
          <w:tcPr>
            <w:tcW w:w="6980" w:type="dxa"/>
            <w:tcBorders/>
            <w:vAlign w:val="center"/>
          </w:tcPr>
          <w:p>
            <w:pPr>
              <w:pStyle w:val="TableContents"/>
              <w:bidi w:val="0"/>
              <w:spacing w:before="0" w:after="283"/>
              <w:jc w:val="both"/>
              <w:rPr>
                <w:rFonts w:ascii="Times New Roman;Times;Serif" w:hAnsi="Times New Roman;Times;Serif"/>
                <w:b/>
                <w:i w:val="false"/>
                <w:caps/>
                <w:sz w:val="20"/>
              </w:rPr>
            </w:pPr>
            <w:bookmarkStart w:id="653" w:name="DA_005"/>
            <w:bookmarkEnd w:id="653"/>
            <w:r>
              <w:rPr>
                <w:rFonts w:ascii="Times New Roman;Times;Serif" w:hAnsi="Times New Roman;Times;Serif"/>
                <w:b/>
                <w:i w:val="false"/>
                <w:caps/>
                <w:sz w:val="20"/>
              </w:rPr>
              <w:t>QUANTITATIVE AND QUALITATIVE DISCLOSURES ABOUT MARKET RISK</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bidi w:val="0"/>
        <w:spacing w:before="0" w:after="0"/>
        <w:ind w:left="0" w:right="0" w:firstLine="72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5"/>
        <w:gridCol w:w="2930"/>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4.</w:t>
            </w:r>
          </w:p>
        </w:tc>
        <w:tc>
          <w:tcPr>
            <w:tcW w:w="2930" w:type="dxa"/>
            <w:tcBorders/>
            <w:vAlign w:val="center"/>
          </w:tcPr>
          <w:p>
            <w:pPr>
              <w:pStyle w:val="TableContents"/>
              <w:bidi w:val="0"/>
              <w:spacing w:before="0" w:after="283"/>
              <w:jc w:val="left"/>
              <w:rPr>
                <w:rFonts w:ascii="Times New Roman;Times;Serif" w:hAnsi="Times New Roman;Times;Serif"/>
                <w:b/>
                <w:i w:val="false"/>
                <w:caps/>
                <w:sz w:val="20"/>
              </w:rPr>
            </w:pPr>
            <w:bookmarkStart w:id="654" w:name="DA_006"/>
            <w:bookmarkEnd w:id="654"/>
            <w:r>
              <w:rPr>
                <w:rFonts w:ascii="Times New Roman;Times;Serif" w:hAnsi="Times New Roman;Times;Serif"/>
                <w:b/>
                <w:i w:val="false"/>
                <w:caps/>
                <w:sz w:val="20"/>
              </w:rPr>
              <w:t>controls and procedures</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on Effectiveness of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Effectiveness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with the participation of our principal executive officer and principal financial officer, evaluated the effectiveness of our disclosure controls and procedures (as defined in Rule 13a-15(e) under the Securities Exchange Act of 1934, as amended (the “Exchange Act”)) as of June 30, 2026. Based upon that evaluation, and as a result of the material weakness in our internal control over financial reporting discussed below, our principal executive officer and principal financial officer concluded that as of June 30, 2026, our disclosure controls and procedures were not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Previously Reported Material Weakness in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described in our Annual Report on Form 10-K for the fiscal year ended December 31, 2025, in connection with the audit of our consolidated financial statements for the fiscal year ended December 31, 2025, we identified certain control deficiencies in the design and implementation of our internal control over financial reporting, which constituted a material weakness.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 specifically, our controls surrounding our evaluation of inventory net realizable value were insufficient and did not operate at an appropriate level of precision. Our review and evaluation of inventory failed to identify specific items not assessed for net realizable value under our existing control, which constitutes a material weakness as of December 31, 2025. This material weakness, if not remediated, could result in a material misstatement in our annual or interim consolidated financial statements that would not be prevented or detected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under the oversight of the Audit Committee of the Board of Directors, is continuing to implement measures designed to improve our internal control over financial reporting to remediate the identified material weakness. The remediation actions we are taking, and expect to take, include evaluating inventory balances outside of the scope of our current process for estimating net realizable value to determine if there are other inventory items that need to be assessed for a specific reserve.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management continues to evaluate and work to remediate the material weakness, we may determine to take additional measures to address the material weakness. However, we cannot provide assurance that the measures we have taken to date, or that we may take in the future, will be sufficient to remediate the material weakness or avoid potential future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remediation steps described above, there were no changes in our internal control over financial reporting (as defined in Rules 13a-15(f) and 15d-15(f) under the Exchange Act) during the three months ended June 30, 2026, that have materially affected, or are reasonably likely to materially affect, our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3010" w:type="dxa"/>
        <w:jc w:val="left"/>
        <w:tblInd w:w="0" w:type="dxa"/>
        <w:tblLayout w:type="fixed"/>
        <w:tblCellMar>
          <w:top w:w="0" w:type="dxa"/>
          <w:left w:w="0" w:type="dxa"/>
          <w:bottom w:w="0" w:type="dxa"/>
          <w:right w:w="0" w:type="dxa"/>
        </w:tblCellMar>
      </w:tblPr>
      <w:tblGrid>
        <w:gridCol w:w="800"/>
        <w:gridCol w:w="2210"/>
      </w:tblGrid>
      <w:tr>
        <w:trPr/>
        <w:tc>
          <w:tcPr>
            <w:tcW w:w="8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tc>
        <w:tc>
          <w:tcPr>
            <w:tcW w:w="221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bookmarkStart w:id="655" w:name="DA_007"/>
            <w:bookmarkEnd w:id="655"/>
            <w:r>
              <w:rPr>
                <w:rFonts w:ascii="Times New Roman;Times;Serif" w:hAnsi="Times New Roman;Times;Serif"/>
                <w:b/>
                <w:i w:val="false"/>
                <w:caps w:val="false"/>
                <w:smallCaps w:val="false"/>
                <w:sz w:val="20"/>
              </w:rPr>
              <w:t>OTHER INFORMATION</w:t>
            </w:r>
          </w:p>
        </w:tc>
      </w:tr>
      <w:tr>
        <w:trPr/>
        <w:tc>
          <w:tcPr>
            <w:tcW w:w="800" w:type="dxa"/>
            <w:tcBorders/>
            <w:vAlign w:val="center"/>
          </w:tcPr>
          <w:p>
            <w:pPr>
              <w:pStyle w:val="TableContents"/>
              <w:bidi w:val="0"/>
              <w:spacing w:before="0" w:after="283"/>
              <w:jc w:val="left"/>
              <w:rPr>
                <w:caps w:val="false"/>
                <w:smallCaps w:val="false"/>
              </w:rPr>
            </w:pPr>
            <w:r>
              <w:rPr>
                <w:caps w:val="false"/>
                <w:smallCaps w:val="false"/>
              </w:rPr>
              <w:t> </w:t>
            </w:r>
          </w:p>
        </w:tc>
        <w:tc>
          <w:tcPr>
            <w:tcW w:w="22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0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1.</w:t>
            </w:r>
          </w:p>
        </w:tc>
        <w:tc>
          <w:tcPr>
            <w:tcW w:w="2210" w:type="dxa"/>
            <w:tcBorders/>
            <w:vAlign w:val="center"/>
          </w:tcPr>
          <w:p>
            <w:pPr>
              <w:pStyle w:val="TableContents"/>
              <w:bidi w:val="0"/>
              <w:spacing w:before="0" w:after="283"/>
              <w:jc w:val="left"/>
              <w:rPr>
                <w:rFonts w:ascii="Times New Roman;Times;Serif" w:hAnsi="Times New Roman;Times;Serif"/>
                <w:b/>
                <w:i w:val="false"/>
                <w:caps/>
                <w:sz w:val="20"/>
              </w:rPr>
            </w:pPr>
            <w:bookmarkStart w:id="656" w:name="DA_008"/>
            <w:bookmarkEnd w:id="656"/>
            <w:r>
              <w:rPr>
                <w:rFonts w:ascii="Times New Roman;Times;Serif" w:hAnsi="Times New Roman;Times;Serif"/>
                <w:b/>
                <w:i w:val="false"/>
                <w:caps/>
                <w:sz w:val="20"/>
              </w:rPr>
              <w:t>legal proceedings</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legal proceedings are discussed in Note 13, “</w:t>
      </w:r>
      <w:r>
        <w:rPr>
          <w:rFonts w:ascii="Times New Roman;Times;Serif" w:hAnsi="Times New Roman;Times;Serif"/>
          <w:b w:val="false"/>
          <w:i/>
          <w:caps w:val="false"/>
          <w:smallCaps w:val="false"/>
          <w:sz w:val="20"/>
        </w:rPr>
        <w:t>Commitments and Contingencies,</w:t>
      </w:r>
      <w:r>
        <w:rPr>
          <w:rFonts w:ascii="Times New Roman;Times;Serif" w:hAnsi="Times New Roman;Times;Serif"/>
          <w:b w:val="false"/>
          <w:i w:val="false"/>
          <w:caps w:val="false"/>
          <w:smallCaps w:val="false"/>
          <w:sz w:val="20"/>
        </w:rPr>
        <w:t>” in the notes to our condensed consolidated financial statements in this Form 10-Q.</w:t>
      </w:r>
    </w:p>
    <w:p>
      <w:pPr>
        <w:pStyle w:val="TextBody"/>
        <w:bidi w:val="0"/>
        <w:spacing w:before="0" w:after="0"/>
        <w:ind w:left="0" w:right="0" w:firstLine="72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890"/>
        <w:gridCol w:w="1460"/>
      </w:tblGrid>
      <w:tr>
        <w:trPr/>
        <w:tc>
          <w:tcPr>
            <w:tcW w:w="890"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1a.</w:t>
            </w:r>
          </w:p>
        </w:tc>
        <w:tc>
          <w:tcPr>
            <w:tcW w:w="1460" w:type="dxa"/>
            <w:tcBorders/>
            <w:vAlign w:val="center"/>
          </w:tcPr>
          <w:p>
            <w:pPr>
              <w:pStyle w:val="TableContents"/>
              <w:bidi w:val="0"/>
              <w:spacing w:before="0" w:after="283"/>
              <w:jc w:val="left"/>
              <w:rPr>
                <w:rFonts w:ascii="Times New Roman;Times;Serif" w:hAnsi="Times New Roman;Times;Serif"/>
                <w:b/>
                <w:i w:val="false"/>
                <w:caps/>
                <w:sz w:val="20"/>
              </w:rPr>
            </w:pPr>
            <w:bookmarkStart w:id="657" w:name="DA_009"/>
            <w:bookmarkEnd w:id="657"/>
            <w:r>
              <w:rPr>
                <w:rFonts w:ascii="Times New Roman;Times;Serif" w:hAnsi="Times New Roman;Times;Serif"/>
                <w:b/>
                <w:i w:val="false"/>
                <w:caps/>
                <w:sz w:val="20"/>
              </w:rPr>
              <w:t>risk factors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as a smaller reporting company, we are not required to provide the information required by this Item 1A, we hereby disclose the following new risk factor: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April 2026, we entered into a Distribution Agreement with Dilon Technologies, Inc. and hired sales personnel in connection therewith, which will result in increased sales and marketing costs and involves other risks, which could adversely affect our business, operating results, and financial condition.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we entered into a Distribution Agreement with Dilon Technologies, Inc. pursuant to which we obtained the exclusive rights to import, market, distribute and sell the HEMOBLAST® Bellows product in the United States, and Dilon agreed to transition its existing U.S. customer base for the product to us. In connection with the agreement, we hired approximately 20 Dilon sales personnel to assist in selling the HEMOBLAST® Bellows product in the United States. While the agreement expands our portfolio and bolsters our commercial capabilities through the integration of Dilon’s former U.S. sales team, we cannot assure that we will successfully sell the HEMOBLAST® Bellows product or integrate it with our portfolio. In addition, while we believe we can leverage new cross-selling opportunities between the HEMOBLAST® Bellows product and our existing products, we cannot assure that we will be effective in doing so or otherwise realize the anticipated benefits of this distribution arrangement. We expect our sales and marketing expenses to increase substantially compared to prior periods as a result of the additional sales personnel. While we anticipate that additional revenue from HEMOBLAST® Bellows sales, cross-selling opportunities, and utilizing Dilon’s former U.S. sales team to sell our other products will eventually offset these additional expenses, we cannot assure that they will or that the transition to us of Dilon’s existing U.S. customer base will be successful.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Distribution Agreement, Dilon will continue to manufacture the HEMOBLAST® Bellows product at its facility in France and supply it to us at a specified transfer price, which price is subject to adjustment in certain circumstances. We rely on Dilon as the sole manufacturer to produce the product in sufficient quantities and at an appropriate transfer price; there are no alternative suppliers. This arrangement involves risk because we do not control the manufacturing process and Dilon is responsible for all manufacturing decisions and related regulatory compliance. We believe we will have sufficient supply of the HEMOBLAST® Bellows product to support our anticipated sales through the end of third quarter 2026, we are uncertain that supply will be available thereafter. If Dilon is unable to manufacture and supply the product in sufficient quantities or at all, we will be unable to sell it or recognize related revenue. In addition, because the product is manufactured in France, we are subject to risks associated with international operations, including supply chain disruptions, foreign currency exchange fluctuations, and additional regulatory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paid Dilon a $5.0 million exclusivity fee upon execution of the Distribution Agreement. This fee is subject to repayment by Dilon under certain circumstances, including upon termination of the Distribution Agreement for any reason. Because either party may terminate the Distribution Agreement upon certain specified events, we cannot assure that the agreement will remain in effect, and any such termination would result in the loss of our distribution rights for the product. In addition, given the refundable nature of the$5.0 million exclusivity payment, we initially recognized the payment as a deposit asset on our consolidated balance sheet. However, based on an assessment of facts and circumstances, including the uncertainty surrounding recovery of the payment and management’s expectation that repayment was not probable despite contractual repayment provisions, we recognized a $5.0 million charge to operating expenses during the second quarter of 2026, which adversely affected our operating results for that period. Although Dilon currently has the right to terminate the Distribution Agreement upon 30 days’ notice, it has not done so through the date of this report. If the Distribution Agreement terminates, we would need to reassign or terminate the sales personnel we hired to sell the HEMOBLAST® Bellows product.</w:t>
      </w:r>
    </w:p>
    <w:p>
      <w:pPr>
        <w:pStyle w:val="TextBody"/>
        <w:bidi w:val="0"/>
        <w:spacing w:before="0" w:after="0"/>
        <w:ind w:left="0" w:right="0" w:firstLine="720"/>
        <w:jc w:val="both"/>
        <w:rPr>
          <w:caps w:val="false"/>
          <w:smallCaps w:val="false"/>
        </w:rPr>
      </w:pPr>
      <w:r>
        <w:rPr>
          <w:caps w:val="false"/>
          <w:smallCaps w:val="false"/>
        </w:rPr>
        <w:t> </w:t>
      </w:r>
    </w:p>
    <w:tbl>
      <w:tblPr>
        <w:tblW w:w="7615" w:type="dxa"/>
        <w:jc w:val="left"/>
        <w:tblInd w:w="0" w:type="dxa"/>
        <w:tblLayout w:type="fixed"/>
        <w:tblCellMar>
          <w:top w:w="0" w:type="dxa"/>
          <w:left w:w="0" w:type="dxa"/>
          <w:bottom w:w="0" w:type="dxa"/>
          <w:right w:w="0" w:type="dxa"/>
        </w:tblCellMar>
      </w:tblPr>
      <w:tblGrid>
        <w:gridCol w:w="755"/>
        <w:gridCol w:w="6860"/>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2.</w:t>
            </w:r>
          </w:p>
        </w:tc>
        <w:tc>
          <w:tcPr>
            <w:tcW w:w="6860" w:type="dxa"/>
            <w:tcBorders/>
            <w:vAlign w:val="center"/>
          </w:tcPr>
          <w:p>
            <w:pPr>
              <w:pStyle w:val="TableContents"/>
              <w:bidi w:val="0"/>
              <w:spacing w:before="0" w:after="283"/>
              <w:jc w:val="left"/>
              <w:rPr>
                <w:rFonts w:ascii="Times New Roman;Times;Serif" w:hAnsi="Times New Roman;Times;Serif"/>
                <w:b/>
                <w:i w:val="false"/>
                <w:caps/>
                <w:sz w:val="20"/>
              </w:rPr>
            </w:pPr>
            <w:bookmarkStart w:id="658" w:name="DA_010"/>
            <w:bookmarkEnd w:id="658"/>
            <w:r>
              <w:rPr>
                <w:rFonts w:ascii="Times New Roman;Times;Serif" w:hAnsi="Times New Roman;Times;Serif"/>
                <w:b/>
                <w:i w:val="false"/>
                <w:caps/>
                <w:sz w:val="20"/>
              </w:rPr>
              <w:t>UNREGISTERED SALES OF EQUITY SECURITIES AND USE OF PROCEEDS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4405" w:type="dxa"/>
        <w:jc w:val="left"/>
        <w:tblInd w:w="0" w:type="dxa"/>
        <w:tblLayout w:type="fixed"/>
        <w:tblCellMar>
          <w:top w:w="0" w:type="dxa"/>
          <w:left w:w="0" w:type="dxa"/>
          <w:bottom w:w="0" w:type="dxa"/>
          <w:right w:w="0" w:type="dxa"/>
        </w:tblCellMar>
      </w:tblPr>
      <w:tblGrid>
        <w:gridCol w:w="755"/>
        <w:gridCol w:w="3650"/>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3.</w:t>
            </w:r>
          </w:p>
        </w:tc>
        <w:tc>
          <w:tcPr>
            <w:tcW w:w="3650" w:type="dxa"/>
            <w:tcBorders/>
            <w:vAlign w:val="center"/>
          </w:tcPr>
          <w:p>
            <w:pPr>
              <w:pStyle w:val="TableContents"/>
              <w:bidi w:val="0"/>
              <w:spacing w:before="0" w:after="283"/>
              <w:jc w:val="left"/>
              <w:rPr>
                <w:rFonts w:ascii="Times New Roman;Times;Serif" w:hAnsi="Times New Roman;Times;Serif"/>
                <w:b/>
                <w:i w:val="false"/>
                <w:caps/>
                <w:sz w:val="20"/>
              </w:rPr>
            </w:pPr>
            <w:bookmarkStart w:id="659" w:name="DA_011"/>
            <w:bookmarkEnd w:id="659"/>
            <w:r>
              <w:rPr>
                <w:rFonts w:ascii="Times New Roman;Times;Serif" w:hAnsi="Times New Roman;Times;Serif"/>
                <w:b/>
                <w:i w:val="false"/>
                <w:caps/>
                <w:sz w:val="20"/>
              </w:rPr>
              <w:t>DEFAULTS UPON SENIOR SECURITIES</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565" w:type="dxa"/>
        <w:jc w:val="left"/>
        <w:tblInd w:w="0" w:type="dxa"/>
        <w:tblLayout w:type="fixed"/>
        <w:tblCellMar>
          <w:top w:w="0" w:type="dxa"/>
          <w:left w:w="0" w:type="dxa"/>
          <w:bottom w:w="0" w:type="dxa"/>
          <w:right w:w="0" w:type="dxa"/>
        </w:tblCellMar>
      </w:tblPr>
      <w:tblGrid>
        <w:gridCol w:w="755"/>
        <w:gridCol w:w="2810"/>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4.</w:t>
            </w:r>
          </w:p>
        </w:tc>
        <w:tc>
          <w:tcPr>
            <w:tcW w:w="2810" w:type="dxa"/>
            <w:tcBorders/>
            <w:vAlign w:val="center"/>
          </w:tcPr>
          <w:p>
            <w:pPr>
              <w:pStyle w:val="TableContents"/>
              <w:bidi w:val="0"/>
              <w:spacing w:before="0" w:after="283"/>
              <w:jc w:val="left"/>
              <w:rPr>
                <w:rFonts w:ascii="Times New Roman;Times;Serif" w:hAnsi="Times New Roman;Times;Serif"/>
                <w:b/>
                <w:i w:val="false"/>
                <w:caps/>
                <w:sz w:val="20"/>
              </w:rPr>
            </w:pPr>
            <w:bookmarkStart w:id="660" w:name="DA_012"/>
            <w:bookmarkEnd w:id="660"/>
            <w:r>
              <w:rPr>
                <w:rFonts w:ascii="Times New Roman;Times;Serif" w:hAnsi="Times New Roman;Times;Serif"/>
                <w:b/>
                <w:i w:val="false"/>
                <w:caps/>
                <w:sz w:val="20"/>
              </w:rPr>
              <w:t>MINE SAFETY DISCLOSURES </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5"/>
        <w:gridCol w:w="2210"/>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5.</w:t>
            </w:r>
          </w:p>
        </w:tc>
        <w:tc>
          <w:tcPr>
            <w:tcW w:w="2210" w:type="dxa"/>
            <w:tcBorders/>
            <w:vAlign w:val="center"/>
          </w:tcPr>
          <w:p>
            <w:pPr>
              <w:pStyle w:val="TableContents"/>
              <w:bidi w:val="0"/>
              <w:spacing w:before="0" w:after="283"/>
              <w:jc w:val="left"/>
              <w:rPr>
                <w:rFonts w:ascii="Times New Roman;Times;Serif" w:hAnsi="Times New Roman;Times;Serif"/>
                <w:b/>
                <w:i w:val="false"/>
                <w:caps/>
                <w:sz w:val="20"/>
              </w:rPr>
            </w:pPr>
            <w:bookmarkStart w:id="661" w:name="DA_013"/>
            <w:bookmarkEnd w:id="661"/>
            <w:r>
              <w:rPr>
                <w:rFonts w:ascii="Times New Roman;Times;Serif" w:hAnsi="Times New Roman;Times;Serif"/>
                <w:b/>
                <w:i w:val="false"/>
                <w:caps/>
                <w:sz w:val="20"/>
              </w:rPr>
              <w:t>OTHER INFORMATION</w:t>
            </w:r>
          </w:p>
        </w:tc>
      </w:tr>
    </w:tbl>
    <w:p>
      <w:pPr>
        <w:pStyle w:val="TextBody"/>
        <w:bidi w:val="0"/>
        <w:spacing w:before="0" w:after="0"/>
        <w:ind w:left="0" w:right="0" w:hanging="0"/>
        <w:jc w:val="both"/>
        <w:rPr>
          <w:caps/>
        </w:rPr>
      </w:pPr>
      <w:r>
        <w:rPr>
          <w:caps/>
        </w:rPr>
        <w:t> </w:t>
      </w:r>
    </w:p>
    <w:p>
      <w:pPr>
        <w:pStyle w:val="TextBody"/>
        <w:bidi w:val="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Credit Agreement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2026, Xtant Medical Holdings, Inc., as guarantor, and its subsidiaries, Xtant Medical, Inc., Bacterin International, Inc., X-spine Systems, Inc. and Surgalign SPV, Inc., as borrowers (collectively, the “Borrowers”), entered into (i) Amendment No. 5 (the “Term Loan Amendment”) to Amended and Restated Credit, Security and Guaranty Agreement (Term Loan) (the “Term Credit Agreement”) with MidCap Financial Trust, in its capacity as agent (the “Agent”), and a lender and the additional lenders from time to time party thereto and (ii) Amendment No. 5 (the “Revolving Loan Amendment” and collectively, with the Term Loan Amendment, the “Amendments”) to Amended and Restated Credit, Security and Guaranty Agreement (Revolving Loan) (the “Revolving Credit Agreement” and, together with the Term Credit Agreement, the “Credit Agreements”), with MidCap Funding IV Trust, in its capacity as agent, and the lenders from time to time party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Amendments eliminated the requirement to comply with the minimum net revenue covenant for second quarter of 2026, adjusted the amortization of the term loan to increase quarterly principal payments by $0.15 million in the fourth quarter of 2026 and increased quarterly principal payments by $0.3 million thereafter until the outstanding principal balance of the Term Loan has been paid in full, and revised the minimum net revenue covenant to new minimum net revenue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Amendments is only a summary of their material terms and do not purport to be complete and is qualified in their entirety by reference to the full text of the Term Loan Amendment and the Revolving Loan Amendment, which are filed as Exhibit 10.1 and 10.2, respectively, to this Quarterly Report on Form 10-Q:and incorporated herein by reference.</w:t>
      </w:r>
    </w:p>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10b5-1 Plan and Non-Rule 10b5-1 Trading Arrangement Adoptions, Terminations, and Modifications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three months ended June 30, 2026, none of our directors or “officers” (as defined in Rule 16a-1(f) under the Exchange Act) </w:t>
      </w:r>
      <w:bookmarkStart w:id="662" w:name="xdx_90A_eecd--NonRule10b51ArrAdoptedFlag"/>
      <w:bookmarkStart w:id="663" w:name="xdx_90C_eecd--Rule10b51ArrAdoptedFlag_db"/>
      <w:bookmarkEnd w:id="662"/>
      <w:bookmarkEnd w:id="663"/>
      <w:r>
        <w:rPr>
          <w:rFonts w:ascii="Times New Roman;Times;Serif" w:hAnsi="Times New Roman;Times;Serif"/>
          <w:b w:val="false"/>
          <w:i w:val="false"/>
          <w:caps w:val="false"/>
          <w:smallCaps w:val="false"/>
          <w:sz w:val="20"/>
        </w:rPr>
        <w:t xml:space="preserve">adopted or </w:t>
      </w:r>
      <w:bookmarkStart w:id="664" w:name="xdx_90E_eecd--NonRule10b51ArrTrmntdFlag_"/>
      <w:bookmarkStart w:id="665" w:name="xdx_909_eecd--Rule10b51ArrTrmntdFlag_dbF"/>
      <w:bookmarkEnd w:id="664"/>
      <w:bookmarkEnd w:id="665"/>
      <w:r>
        <w:rPr>
          <w:rFonts w:ascii="Times New Roman;Times;Serif" w:hAnsi="Times New Roman;Times;Serif"/>
          <w:b w:val="false"/>
          <w:i w:val="false"/>
          <w:caps w:val="false"/>
          <w:smallCaps w:val="false"/>
          <w:sz w:val="20"/>
        </w:rPr>
        <w:t>terminated a “Rule 10b5-1 trading arrangement” or “non-Rule 10b5-1 trading arrangement,” as each term is defined in Item 408 of SEC Regulation S-K.</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735" w:type="dxa"/>
        <w:jc w:val="left"/>
        <w:tblInd w:w="0" w:type="dxa"/>
        <w:tblLayout w:type="fixed"/>
        <w:tblCellMar>
          <w:top w:w="0" w:type="dxa"/>
          <w:left w:w="0" w:type="dxa"/>
          <w:bottom w:w="0" w:type="dxa"/>
          <w:right w:w="0" w:type="dxa"/>
        </w:tblCellMar>
      </w:tblPr>
      <w:tblGrid>
        <w:gridCol w:w="755"/>
        <w:gridCol w:w="980"/>
      </w:tblGrid>
      <w:tr>
        <w:trPr/>
        <w:tc>
          <w:tcPr>
            <w:tcW w:w="755" w:type="dxa"/>
            <w:tcBorders/>
            <w:vAlign w:val="center"/>
          </w:tcPr>
          <w:p>
            <w:pPr>
              <w:pStyle w:val="TableContents"/>
              <w:bidi w:val="0"/>
              <w:spacing w:before="0" w:after="283"/>
              <w:jc w:val="left"/>
              <w:rPr>
                <w:rFonts w:ascii="Times New Roman;Times;Serif" w:hAnsi="Times New Roman;Times;Serif"/>
                <w:b/>
                <w:i w:val="false"/>
                <w:caps/>
                <w:sz w:val="20"/>
              </w:rPr>
            </w:pPr>
            <w:r>
              <w:rPr>
                <w:rFonts w:ascii="Times New Roman;Times;Serif" w:hAnsi="Times New Roman;Times;Serif"/>
                <w:b/>
                <w:i w:val="false"/>
                <w:caps/>
                <w:sz w:val="20"/>
              </w:rPr>
              <w:t>item 6.</w:t>
            </w:r>
          </w:p>
        </w:tc>
        <w:tc>
          <w:tcPr>
            <w:tcW w:w="980" w:type="dxa"/>
            <w:tcBorders/>
            <w:vAlign w:val="center"/>
          </w:tcPr>
          <w:p>
            <w:pPr>
              <w:pStyle w:val="TableContents"/>
              <w:bidi w:val="0"/>
              <w:spacing w:before="0" w:after="283"/>
              <w:jc w:val="left"/>
              <w:rPr>
                <w:rFonts w:ascii="Times New Roman;Times;Serif" w:hAnsi="Times New Roman;Times;Serif"/>
                <w:b/>
                <w:i w:val="false"/>
                <w:caps/>
                <w:sz w:val="20"/>
              </w:rPr>
            </w:pPr>
            <w:bookmarkStart w:id="666" w:name="DA_014"/>
            <w:bookmarkEnd w:id="666"/>
            <w:r>
              <w:rPr>
                <w:rFonts w:ascii="Times New Roman;Times;Serif" w:hAnsi="Times New Roman;Times;Serif"/>
                <w:b/>
                <w:i w:val="false"/>
                <w:caps/>
                <w:sz w:val="20"/>
              </w:rPr>
              <w:t>EXHIBITS</w:t>
            </w:r>
          </w:p>
        </w:tc>
      </w:tr>
    </w:tbl>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being filed or furnished with this Quarterly Report on Form 10-Q:</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9"/>
        <w:gridCol w:w="60"/>
        <w:gridCol w:w="9416"/>
      </w:tblGrid>
      <w:tr>
        <w:trPr/>
        <w:tc>
          <w:tcPr>
            <w:tcW w:w="729"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Asset Purchase Agreement, dated July 7, 2025, among Xtant Medical Holdings, Inc., Surgalign SPV, Inc., and Companion Spine, LLC, or its Affiliate designee (filed as Exhibit 2.1 to the Registrant’s Current Report on Form 8-K filed with the SEC on July 8, 2025 (SEC File No. 001-34951) and incorporated by reference herein)</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Amendment to Asset Purchase Agreement, dated as November 30, 2025, between Xtant Medical Holdings, Inc., Surgalign SPV, Inc., and Companion Spine, LLC or its Affiliate designee (filed as Exhibit 2.3 to the Registrant’s Current Report on Form 8-K filed with the SEC on December 3, 2025 (SEC File No. 001-34951) and incorporated by reference herein)</w:t>
              </w:r>
            </w:hyperlink>
          </w:p>
        </w:tc>
      </w:tr>
      <w:tr>
        <w:trPr/>
        <w:tc>
          <w:tcPr>
            <w:tcW w:w="72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Equity Purchase Agreement, dated July 7, 2025, among Xtant Medical Holdings, Inc., Paradigm Spine GmbH, and Companion Spine, LLC (filed as Exhibit 2.2 to the Registrant’s Current Report on Form 8-K filed with the SEC on July 8, 2025 (SEC File No. 001-34951) and incorporated by reference herein)</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Amendment to and Assignment of Equity Purchase Agreement, dated November 30, 2025, among Xtant Medical Holdings, Inc., Paradigm Spine GmbH, Companion Spine, LLC and Companion Spine France SAS (filed as Exhibit 2.4 to the Registrant’s Current Report on Form 8-K filed with the SEC on December 3, 2025 (SEC File No. 001-34951) and incorporated by reference herein)</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Second Amendment to Equity Purchase Agreement, dated January 14, 2026, between Xtant Medical Holdings, Inc. and Companion Spine France SAS (filed as Exhibit 2.5 to the Registrant’s Quarterly Report on Form 10-Q for the quarterly period ended March 31, 2026 (SEC File No. 001-34951) and incorporated by reference herein)</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Restated Certificate of Incorporation of Xtant Medical Holdings, Inc. (filed as Exhibit 3.1 to the Registrant’s Quarterly Report on Form 10-Q for the quarterly period ended September 30, 2023 (SEC File No. 001-34951) and incorporated by reference herein).</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Third Amended and Restated Bylaws of Xtant Medical Holdings, Inc. (Effective as of June 1, 2023) (filed as Exhibit 3.1 to the Registrant’s Current Report on Form 8-K filed with the SEC on May 19, 2023 (SEC File No. 001-34951) and incorporated by reference herein).</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Amendment No. 5 to Amended and Restated Credit, Security and Guaranty Agreement (Term Loan), dated as of August 10, 2026, among Xtant Medical, Inc., Bacterin International, Inc., X-spine Systems, Inc., Surgalign SPV, Inc., and any additional borrower that hereafter becomes party thereto, Xtant Medical Holdings, Inc., as a guarantor, MidCap Financial Trust, as agent, and the other financial institutions or other entities from time to time parties thereto (filed herewith)</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Amendment No. 5 to Amended and Restated Credit, Security and Guaranty Agreement (Revolving Loan), dated as of August 10, 2026, among Xtant Medical, Inc., Bacterin International, Inc., X-spine Systems, Inc., Surgalign SPV, Inc., and any additional borrower that hereafter becomes party thereto, Xtant Medical Holdings, Inc., as a guarantor, MidCap Funding IV Trust, as agent, and the other financial institutions or other entities from time to time parties thereto (filed herewith)</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Chief Executive Officer pursuant to Exchange Act Rules 13a-14(a)/15d-14(a), as adopted pursuant to Section 302 of the Sarbanes-Oxley Act of 2002 (filed herewith).</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w:anchor="ex31-2.htm">
              <w:r>
                <w:rPr>
                  <w:rStyle w:val="InternetLink"/>
                  <w:rFonts w:ascii="Times New Roman;Times;Serif" w:hAnsi="Times New Roman;Times;Serif"/>
                  <w:b w:val="false"/>
                  <w:i w:val="false"/>
                  <w:caps w:val="false"/>
                  <w:smallCaps w:val="false"/>
                  <w:sz w:val="20"/>
                </w:rPr>
                <w:t>Certification of Chief Financial Officer pursuant to Exchange Act Rules 13a-14(a)/15d-14(a), as adopted pursuant to Section 302 of the Sarbanes-Oxley Act of 2002 (filed herewith).</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Chief Executive Officer pursuant to 18 U.S.C. Section 1350, as adopted pursuant to Section 906 of the Sarbanes-Oxley Act of 2002 (furnished herewith).</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pPr>
            <w:hyperlink w:anchor="ex32-2.htm">
              <w:r>
                <w:rPr>
                  <w:rStyle w:val="InternetLink"/>
                  <w:rFonts w:ascii="Times New Roman;Times;Serif" w:hAnsi="Times New Roman;Times;Serif"/>
                  <w:b w:val="false"/>
                  <w:i w:val="false"/>
                  <w:caps w:val="false"/>
                  <w:smallCaps w:val="false"/>
                  <w:sz w:val="20"/>
                </w:rPr>
                <w:t>Certification of Chief Financial Officer pursuant to 18 U.S.C. Section 1350, as adopted pursuant to Section 906 of the Sarbanes-Oxley Act of 2002 (furnished herewith).</w:t>
              </w:r>
            </w:hyperlink>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materials from Xtant’s Quarterly Report on Form 10-Q for the fiscal quarter ended June 30, 2026, formatted in Inline XBRL (Extensible Business Reporting Language): (i) the unaudited Condensed Consolidated Balance Sheets, (ii) the unaudited Condensed Consolidated Statements of Operations, (iii) the unaudited Condensed Consolidated Statements of Equity, (iv) the unaudited Condensed Consolidated Statements of Cash Flows, and (v) Notes to Condensed Consolidated Financial Statements (filed herewith).</w:t>
            </w:r>
          </w:p>
        </w:tc>
      </w:tr>
      <w:tr>
        <w:trPr/>
        <w:tc>
          <w:tcPr>
            <w:tcW w:w="729"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9"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16"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exhibits and schedules to this exhibit have been omitted pursuant to Item 601(b)(2) of Regulation S-K. The Company will furnish the omitted exhibits and schedules to the SEC upon request by the SEC.</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505" w:type="dxa"/>
        <w:jc w:val="left"/>
        <w:tblInd w:w="0" w:type="dxa"/>
        <w:tblLayout w:type="fixed"/>
        <w:tblCellMar>
          <w:top w:w="0" w:type="dxa"/>
          <w:left w:w="0" w:type="dxa"/>
          <w:bottom w:w="0" w:type="dxa"/>
          <w:right w:w="0" w:type="dxa"/>
        </w:tblCellMar>
      </w:tblPr>
      <w:tblGrid>
        <w:gridCol w:w="1865"/>
        <w:gridCol w:w="545"/>
        <w:gridCol w:w="3095"/>
      </w:tblGrid>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6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E. Browne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E. Browne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440" w:type="dxa"/>
        <w:jc w:val="left"/>
        <w:tblInd w:w="0" w:type="dxa"/>
        <w:tblLayout w:type="fixed"/>
        <w:tblCellMar>
          <w:top w:w="0" w:type="dxa"/>
          <w:left w:w="0" w:type="dxa"/>
          <w:bottom w:w="0" w:type="dxa"/>
          <w:right w:w="0" w:type="dxa"/>
        </w:tblCellMar>
      </w:tblPr>
      <w:tblGrid>
        <w:gridCol w:w="1865"/>
        <w:gridCol w:w="545"/>
        <w:gridCol w:w="503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C. Neils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C. Neils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67" w:name="ex10-1.htm"/>
      <w:bookmarkStart w:id="668" w:name="ksex101"/>
      <w:bookmarkEnd w:id="667"/>
      <w:bookmarkEnd w:id="66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u w:val="single"/>
        </w:rPr>
        <w:t>amendment No. 5 to AMENDED AND RESTATED</w:t>
      </w:r>
      <w:r>
        <w:rPr>
          <w:rFonts w:ascii="Times New Roman;Times;Serif" w:hAnsi="Times New Roman;Times;Serif"/>
          <w:b/>
          <w:i w:val="false"/>
          <w:caps w:val="false"/>
          <w:smallCaps w:val="false"/>
          <w:sz w:val="20"/>
          <w:u w:val="single"/>
        </w:rPr>
        <w:t xml:space="preserve"> CREDIT, SECURITY AND GUARANTY AGREEMENT (TERM LOAN)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5 TO AMENDED AND RESTATED CREDIT, SECURITY AND GUARANTY AGREEMENT (TERM LOAN)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made as of August 10, 2026, by and among </w:t>
      </w:r>
      <w:r>
        <w:rPr>
          <w:rFonts w:ascii="Times New Roman;Times;Serif" w:hAnsi="Times New Roman;Times;Serif"/>
          <w:b/>
          <w:i w:val="false"/>
          <w:caps w:val="false"/>
          <w:smallCaps w:val="false"/>
          <w:sz w:val="20"/>
        </w:rPr>
        <w:t>XTANT MEDICAL,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Xtant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BACTERIN INTERNATIONAL, INC.</w:t>
      </w:r>
      <w:r>
        <w:rPr>
          <w:rFonts w:ascii="Times New Roman;Times;Serif" w:hAnsi="Times New Roman;Times;Serif"/>
          <w:b w:val="false"/>
          <w:i w:val="false"/>
          <w:caps w:val="false"/>
          <w:smallCaps w:val="false"/>
          <w:sz w:val="20"/>
        </w:rPr>
        <w:t xml:space="preserve">, a Nevada corporation, </w:t>
      </w:r>
      <w:r>
        <w:rPr>
          <w:rFonts w:ascii="Times New Roman;Times;Serif" w:hAnsi="Times New Roman;Times;Serif"/>
          <w:b/>
          <w:i w:val="false"/>
          <w:caps w:val="false"/>
          <w:smallCaps w:val="false"/>
          <w:sz w:val="20"/>
        </w:rPr>
        <w:t>X-SPINE SYSTEMS, INC.</w:t>
      </w:r>
      <w:r>
        <w:rPr>
          <w:rFonts w:ascii="Times New Roman;Times;Serif" w:hAnsi="Times New Roman;Times;Serif"/>
          <w:b w:val="false"/>
          <w:i w:val="false"/>
          <w:caps w:val="false"/>
          <w:smallCaps w:val="false"/>
          <w:sz w:val="20"/>
        </w:rPr>
        <w:t xml:space="preserve">, an Ohio corporation, </w:t>
      </w:r>
      <w:r>
        <w:rPr>
          <w:rFonts w:ascii="Times New Roman;Times;Serif" w:hAnsi="Times New Roman;Times;Serif"/>
          <w:b/>
          <w:i w:val="false"/>
          <w:caps w:val="false"/>
          <w:smallCaps w:val="false"/>
          <w:sz w:val="20"/>
        </w:rPr>
        <w:t>SURGALIGN SPV, INC.</w:t>
      </w:r>
      <w:r>
        <w:rPr>
          <w:rFonts w:ascii="Times New Roman;Times;Serif" w:hAnsi="Times New Roman;Times;Serif"/>
          <w:b w:val="false"/>
          <w:i w:val="false"/>
          <w:caps w:val="false"/>
          <w:smallCaps w:val="false"/>
          <w:sz w:val="20"/>
        </w:rPr>
        <w:t>, a Delaware corporation, and any additional borrower that may hereafter be added to this Agreement (each individually as a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and collectively with any entities that become party hereto as Borrower and each of their successors and permitted assigns, the “</w:t>
      </w:r>
      <w:r>
        <w:rPr>
          <w:rFonts w:ascii="Times New Roman;Times;Serif" w:hAnsi="Times New Roman;Times;Serif"/>
          <w:b/>
          <w:i w:val="false"/>
          <w:caps w:val="false"/>
          <w:smallCaps w:val="false"/>
          <w:sz w:val="20"/>
        </w:rPr>
        <w:t>Borrowers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XTANT MEDICAL HOLDINGS,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Holdings</w:t>
      </w:r>
      <w:r>
        <w:rPr>
          <w:rFonts w:ascii="Times New Roman;Times;Serif" w:hAnsi="Times New Roman;Times;Serif"/>
          <w:b w:val="false"/>
          <w:i w:val="false"/>
          <w:caps w:val="false"/>
          <w:smallCaps w:val="false"/>
          <w:sz w:val="20"/>
        </w:rPr>
        <w:t xml:space="preserve">”), as a Guarantor, </w:t>
      </w:r>
      <w:r>
        <w:rPr>
          <w:rFonts w:ascii="Times New Roman;Times;Serif" w:hAnsi="Times New Roman;Times;Serif"/>
          <w:b/>
          <w:i w:val="false"/>
          <w:caps/>
          <w:sz w:val="20"/>
        </w:rPr>
        <w:t>MidCap Financial Trust</w:t>
      </w:r>
      <w:r>
        <w:rPr>
          <w:rFonts w:ascii="Times New Roman;Times;Serif" w:hAnsi="Times New Roman;Times;Serif"/>
          <w:b w:val="false"/>
          <w:i w:val="false"/>
          <w:caps w:val="false"/>
          <w:smallCaps w:val="false"/>
          <w:sz w:val="20"/>
        </w:rPr>
        <w:t>, a Delaware statutory trust, as Agent (in such capacity, together with its successors and assigns,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and the other financial institutions or other entities from time to time parties to the Credit Agreement referenced below, each as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Agent, Lenders, and the Credit Parties have entered into that certain Amended and Restated Credit, Security and Guaranty Agreement (Term Loan), dated as of March 7, 2024 (as amended, restated, supplemented or otherwise modified at any time prior to the date hereof, the “</w:t>
      </w:r>
      <w:r>
        <w:rPr>
          <w:rFonts w:ascii="Times New Roman;Times;Serif" w:hAnsi="Times New Roman;Times;Serif"/>
          <w:b/>
          <w:i w:val="false"/>
          <w:caps w:val="false"/>
          <w:smallCaps w:val="false"/>
          <w:sz w:val="20"/>
        </w:rPr>
        <w:t>Existing A&amp;R Credit Agreement</w:t>
      </w:r>
      <w:r>
        <w:rPr>
          <w:rFonts w:ascii="Times New Roman;Times;Serif" w:hAnsi="Times New Roman;Times;Serif"/>
          <w:b w:val="false"/>
          <w:i w:val="false"/>
          <w:caps w:val="false"/>
          <w:smallCaps w:val="false"/>
          <w:sz w:val="20"/>
        </w:rPr>
        <w:t>” and as amended hereby and as it may be further amended, modified, supplemented and restated from time to time,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pursuant to which the Lenders have agreed to make certain advances of money and to extend certain financial accommodations to Borrowers in the amounts and manner set forth in the Credit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Credit Parties have requested, and Agent and Lenders have agreed, on and subject to the terms and conditions set forth in this Agreement, to amend certain provisions of the Existing A&amp;R Credit Agreement, all in accordance with the terms and subject to the conditions set forth herein.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the terms and conditions set forth in this Agreement, and other good and valuable consideration, the receipt and sufficiency of which are hereby acknowledged, Agent, Lenders and the Credit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Recitals</w:t>
      </w:r>
      <w:r>
        <w:rPr>
          <w:rFonts w:ascii="Times New Roman;Times;Serif" w:hAnsi="Times New Roman;Times;Serif"/>
          <w:b w:val="false"/>
          <w:i w:val="false"/>
          <w:caps w:val="false"/>
          <w:smallCaps w:val="false"/>
          <w:sz w:val="20"/>
        </w:rPr>
        <w:t>. This Agreement shall constitute a Financing Document and the Recitals and each reference to the Credit Agreement, unless otherwise expressly 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Amendments to Existing A&amp;R Credit Agreement</w:t>
      </w:r>
      <w:r>
        <w:rPr>
          <w:rFonts w:ascii="Times New Roman;Times;Serif" w:hAnsi="Times New Roman;Times;Serif"/>
          <w:b w:val="false"/>
          <w:i w:val="false"/>
          <w:caps w:val="false"/>
          <w:smallCaps w:val="false"/>
          <w:sz w:val="20"/>
        </w:rPr>
        <w:t xml:space="preserve">. Subject to the terms and conditions of this Agreement, including, without limitation, the conditions to effectiveness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below, the Existing A&amp;R Credit Agreement is hereby amended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Schedule 2.1 attached to the Existing Credit Agreement is hereby replaced by the Schedule 2.1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Schedule 6.1 attached to the Existing Credit Agreement is hereby replaced by the Schedule 6.1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Representations and Warranties; Reaffirmation of Security Interest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 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Conditions to Effectiveness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Agreement shall become effective as of the date on which each of the following conditions have been satisfied, as determined by Agent in its sole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shall have received (including by way of facsimile or other electronic transmission) a duly authorized, executed and delivered counterpart of the signature page to this Agreement from each Credit Party, the Agent and the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Agent shall have received a duly executed copy of Amendment No. 5 to Amended and Restated Credit, Security and Guaranty Agreement (Revolving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representations and warranties set forth in the Credit Agreement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Borrower’s delivery of its signature hereto shall be deemed to be its certification thereof);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prior to and after giving effect to this Agreement, no Default or Event of Default exists under any of the Financing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Costs and Fees.</w:t>
      </w:r>
      <w:r>
        <w:rPr>
          <w:rFonts w:ascii="Times New Roman;Times;Serif" w:hAnsi="Times New Roman;Times;Serif"/>
          <w:b w:val="false"/>
          <w:i w:val="false"/>
          <w:caps w:val="false"/>
          <w:smallCaps w:val="false"/>
          <w:sz w:val="20"/>
        </w:rPr>
        <w:t xml:space="preserve"> Borrower shall be responsible for the payment of all reasonable, documented and invoiced out-of-pocket costs and fees of Agent’s counsel incurred in connection with the preparation, negotiation, execution and delivery of this Agreement and any related Financing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Release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consideration of the agreements of Agent and Lenders contained herein and for other good and valuable consideration, the receipt and sufficiency of which is hereby acknowledged, Credit Party,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Times;Serif" w:hAnsi="Times New Roman;Times;Serif"/>
          <w:b/>
          <w:i w:val="false"/>
          <w:caps w:val="false"/>
          <w:smallCaps w:val="false"/>
          <w:sz w:val="20"/>
        </w:rPr>
        <w:t>Releasing Parties</w:t>
      </w:r>
      <w:r>
        <w:rPr>
          <w:rFonts w:ascii="Times New Roman;Times;Serif" w:hAnsi="Times New Roman;Times;Serif"/>
          <w:b w:val="false"/>
          <w:i w:val="false"/>
          <w:caps w:val="false"/>
          <w:smallCaps w:val="false"/>
          <w:sz w:val="20"/>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Times;Serif" w:hAnsi="Times New Roman;Times;Serif"/>
          <w:b/>
          <w:i w:val="false"/>
          <w:caps w:val="false"/>
          <w:smallCaps w:val="false"/>
          <w:sz w:val="20"/>
        </w:rPr>
        <w:t>Released Parties</w:t>
      </w:r>
      <w:r>
        <w:rPr>
          <w:rFonts w:ascii="Times New Roman;Times;Serif" w:hAnsi="Times New Roman;Times;Serif"/>
          <w:b w:val="false"/>
          <w:i w:val="false"/>
          <w:caps w:val="false"/>
          <w:smallCaps w:val="false"/>
          <w:sz w:val="20"/>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Each Credit Party acknowledges that the foregoing release is a material inducement to Agent’s and each Lender’s decision to enter into this Agreement and agree to the modifications contemplated hereunder, and has been relied upon by Agent and Lenders in connection therewith.</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No Waiver or Novation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execution, delivery and effectiveness of this Agreement shall not, except as expressly 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Affirmation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Reference to the Effect on the Credit Agreement</w:t>
      </w:r>
      <w:r>
        <w:rPr>
          <w:rFonts w:ascii="Times New Roman;Times;Serif" w:hAnsi="Times New Roman;Times;Serif"/>
          <w:b w:val="false"/>
          <w:i w:val="false"/>
          <w:caps w:val="false"/>
          <w:smallCaps w:val="false"/>
          <w:sz w:val="20"/>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Incorporation of Credit Agreement Provisions</w:t>
      </w:r>
      <w:r>
        <w:rPr>
          <w:rFonts w:ascii="Times New Roman;Times;Serif" w:hAnsi="Times New Roman;Times;Serif"/>
          <w:b w:val="false"/>
          <w:i w:val="false"/>
          <w:caps w:val="false"/>
          <w:smallCaps w:val="false"/>
          <w:sz w:val="20"/>
        </w:rPr>
        <w:t xml:space="preserve">. The provisions contained in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(Indemnification), </w:t>
      </w:r>
      <w:r>
        <w:rPr>
          <w:rFonts w:ascii="Times New Roman;Times;Serif" w:hAnsi="Times New Roman;Times;Serif"/>
          <w:b w:val="false"/>
          <w:i w:val="false"/>
          <w:caps w:val="false"/>
          <w:smallCaps w:val="false"/>
          <w:sz w:val="20"/>
          <w:u w:val="single"/>
        </w:rPr>
        <w:t>Section 13.8(b)</w:t>
      </w:r>
      <w:r>
        <w:rPr>
          <w:rFonts w:ascii="Times New Roman;Times;Serif" w:hAnsi="Times New Roman;Times;Serif"/>
          <w:b w:val="false"/>
          <w:i w:val="false"/>
          <w:caps w:val="false"/>
          <w:smallCaps w:val="false"/>
          <w:sz w:val="20"/>
        </w:rPr>
        <w:t xml:space="preserve"> (Submission to Jurisdiction) and </w:t>
      </w:r>
      <w:r>
        <w:rPr>
          <w:rFonts w:ascii="Times New Roman;Times;Serif" w:hAnsi="Times New Roman;Times;Serif"/>
          <w:b w:val="false"/>
          <w:i w:val="false"/>
          <w:caps w:val="false"/>
          <w:smallCaps w:val="false"/>
          <w:sz w:val="20"/>
          <w:u w:val="single"/>
        </w:rPr>
        <w:t>Section 13.9</w:t>
      </w:r>
      <w:r>
        <w:rPr>
          <w:rFonts w:ascii="Times New Roman;Times;Serif" w:hAnsi="Times New Roman;Times;Serif"/>
          <w:b w:val="false"/>
          <w:i w:val="false"/>
          <w:caps w:val="false"/>
          <w:smallCaps w:val="false"/>
          <w:sz w:val="20"/>
        </w:rPr>
        <w:t xml:space="preserve"> (Waiver of Jury Trial) of the Credit Agreement are incorporated herein by reference to the same extent as if reproduced herein in their entirety.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Section headings in this Agreement are included for convenience of reference only and shall not constitute a part of this Agreement for any other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signed in any number of counterparts, each of which shall be deemed an original and all of which when taken together shall constitute one and the same instrument. Signatures by facsimile or by electronic mail delivery of an electronic version of any executed signature page shall bind the parties hereto. </w:t>
      </w:r>
      <w:r>
        <w:rPr>
          <w:rFonts w:ascii="Times New Roman;Times;Serif" w:hAnsi="Times New Roman;Times;Serif"/>
          <w:b w:val="false"/>
          <w:i w:val="false"/>
          <w:caps w:val="false"/>
          <w:smallCaps w:val="false"/>
          <w:sz w:val="20"/>
          <w:shd w:fill="FFFFFF" w:val="clear"/>
        </w:rPr>
        <w:t>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Times;Serif" w:hAnsi="Times New Roman;Times;Serif"/>
          <w:b/>
          <w:i w:val="false"/>
          <w:caps w:val="false"/>
          <w:smallCaps w:val="false"/>
          <w:sz w:val="20"/>
          <w:shd w:fill="FFFFFF" w:val="clear"/>
        </w:rPr>
        <w:t>Electronic Signature</w:t>
      </w:r>
      <w:r>
        <w:rPr>
          <w:rFonts w:ascii="Times New Roman;Times;Serif" w:hAnsi="Times New Roman;Times;Serif"/>
          <w:b w:val="false"/>
          <w:i w:val="false"/>
          <w:caps w:val="false"/>
          <w:smallCaps w:val="false"/>
          <w:sz w:val="20"/>
          <w:shd w:fill="FFFFFF" w:val="clear"/>
        </w:rPr>
        <w:t>” means an electronic sound, symbol, or process attached to, or associated with, a contract or other record and adopted by a Person with the intent to sign, authenticate or accept such contract or other record.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and understanding among the parties hereto and supersedes any and all prior agreements and understandings, oral or written, relating to the subject matter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Successors/Assigns</w:t>
      </w:r>
      <w:r>
        <w:rPr>
          <w:rFonts w:ascii="Times New Roman;Times;Serif" w:hAnsi="Times New Roman;Times;Serif"/>
          <w:b w:val="false"/>
          <w:i w:val="false"/>
          <w:caps w:val="false"/>
          <w:smallCaps w:val="false"/>
          <w:sz w:val="20"/>
        </w:rPr>
        <w:t>. This Agreement shall bind, and the rights hereunder shall inure to, the respective successors and assigns of the parties hereto, subject to the provisions of the Credit Agreement and the other Financing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APPEAR ON FOLLOWING PAGES]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intending to be legally bound, the undersigned have executed this Agreement as of the day and year first hereinabove set forth.</w:t>
      </w:r>
    </w:p>
    <w:p>
      <w:pPr>
        <w:pStyle w:val="TextBody"/>
        <w:bidi w:val="0"/>
        <w:spacing w:before="0" w:after="0"/>
        <w:jc w:val="center"/>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785"/>
        <w:gridCol w:w="545"/>
        <w:gridCol w:w="3155"/>
      </w:tblGrid>
      <w:tr>
        <w:trPr/>
        <w:tc>
          <w:tcPr>
            <w:tcW w:w="7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AGENT:</w:t>
            </w:r>
          </w:p>
        </w:tc>
        <w:tc>
          <w:tcPr>
            <w:tcW w:w="37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MIDCAP FINANCIAL TRUST,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37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Agent</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37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L.P.,</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37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37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Maurice Amsellem</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Maurice Amsellem</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Authorized Signatory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Continue on Following Page]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rPr>
      </w:pPr>
      <w:r>
        <w:rPr>
          <w:caps/>
        </w:rPr>
        <w:t> </w:t>
      </w:r>
    </w:p>
    <w:tbl>
      <w:tblPr>
        <w:tblW w:w="10205" w:type="dxa"/>
        <w:jc w:val="left"/>
        <w:tblInd w:w="0" w:type="dxa"/>
        <w:tblLayout w:type="fixed"/>
        <w:tblCellMar>
          <w:top w:w="0" w:type="dxa"/>
          <w:left w:w="0" w:type="dxa"/>
          <w:bottom w:w="0" w:type="dxa"/>
          <w:right w:w="0" w:type="dxa"/>
        </w:tblCellMar>
      </w:tblPr>
      <w:tblGrid>
        <w:gridCol w:w="863"/>
        <w:gridCol w:w="1071"/>
        <w:gridCol w:w="8271"/>
      </w:tblGrid>
      <w:tr>
        <w:trPr/>
        <w:tc>
          <w:tcPr>
            <w:tcW w:w="863"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w:t>
            </w:r>
          </w:p>
        </w:tc>
        <w:tc>
          <w:tcPr>
            <w:tcW w:w="9342"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APOLLO ALSTER LENDING FUND (LUX) SCSp, </w:t>
            </w:r>
            <w:r>
              <w:rPr>
                <w:rFonts w:ascii="Times New Roman;Times;Serif" w:hAnsi="Times New Roman;Times;Serif"/>
                <w:b w:val="false"/>
                <w:i w:val="false"/>
                <w:caps w:val="false"/>
                <w:smallCaps w:val="false"/>
                <w:sz w:val="20"/>
              </w:rPr>
              <w:t>an alternative investment fund in the form of a Luxembourg special limited partnership (societe en commandite speciale), acting through its managing general partner Alster Lending GP (Lux) S.ar.l. and represented by its delegate portfolio manager Apollo Alster Management, LLC</w:t>
            </w:r>
          </w:p>
        </w:tc>
      </w:tr>
      <w:tr>
        <w:trPr/>
        <w:tc>
          <w:tcPr>
            <w:tcW w:w="863" w:type="dxa"/>
            <w:tcBorders/>
            <w:vAlign w:val="center"/>
          </w:tcPr>
          <w:p>
            <w:pPr>
              <w:pStyle w:val="TableContents"/>
              <w:bidi w:val="0"/>
              <w:spacing w:before="0" w:after="283"/>
              <w:jc w:val="left"/>
              <w:rPr>
                <w:caps w:val="false"/>
                <w:smallCaps w:val="false"/>
              </w:rPr>
            </w:pPr>
            <w:r>
              <w:rPr>
                <w:caps w:val="false"/>
                <w:smallCaps w:val="false"/>
              </w:rPr>
              <w:t> </w:t>
            </w:r>
          </w:p>
        </w:tc>
        <w:tc>
          <w:tcPr>
            <w:tcW w:w="934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63" w:type="dxa"/>
            <w:tcBorders/>
            <w:vAlign w:val="center"/>
          </w:tcPr>
          <w:p>
            <w:pPr>
              <w:pStyle w:val="TableContents"/>
              <w:bidi w:val="0"/>
              <w:spacing w:before="0" w:after="283"/>
              <w:jc w:val="left"/>
              <w:rPr>
                <w:caps w:val="false"/>
                <w:smallCaps w:val="false"/>
              </w:rPr>
            </w:pPr>
            <w:r>
              <w:rPr>
                <w:caps w:val="false"/>
                <w:smallCaps w:val="false"/>
              </w:rPr>
              <w:t> </w:t>
            </w:r>
          </w:p>
        </w:tc>
        <w:tc>
          <w:tcPr>
            <w:tcW w:w="1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8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Alster Management, LLC, acting through its sole member</w:t>
            </w:r>
          </w:p>
        </w:tc>
      </w:tr>
      <w:tr>
        <w:trPr/>
        <w:tc>
          <w:tcPr>
            <w:tcW w:w="863" w:type="dxa"/>
            <w:tcBorders/>
            <w:vAlign w:val="center"/>
          </w:tcPr>
          <w:p>
            <w:pPr>
              <w:pStyle w:val="TableContents"/>
              <w:bidi w:val="0"/>
              <w:spacing w:before="0" w:after="283"/>
              <w:jc w:val="left"/>
              <w:rPr>
                <w:caps w:val="false"/>
                <w:smallCaps w:val="false"/>
              </w:rPr>
            </w:pPr>
            <w:r>
              <w:rPr>
                <w:caps w:val="false"/>
                <w:smallCaps w:val="false"/>
              </w:rPr>
              <w:t> </w:t>
            </w:r>
          </w:p>
        </w:tc>
        <w:tc>
          <w:tcPr>
            <w:tcW w:w="934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63" w:type="dxa"/>
            <w:tcBorders/>
            <w:vAlign w:val="center"/>
          </w:tcPr>
          <w:p>
            <w:pPr>
              <w:pStyle w:val="TableContents"/>
              <w:bidi w:val="0"/>
              <w:spacing w:before="0" w:after="283"/>
              <w:jc w:val="left"/>
              <w:rPr>
                <w:caps w:val="false"/>
                <w:smallCaps w:val="false"/>
              </w:rPr>
            </w:pPr>
            <w:r>
              <w:rPr>
                <w:caps w:val="false"/>
                <w:smallCaps w:val="false"/>
              </w:rPr>
              <w:t> </w:t>
            </w:r>
          </w:p>
        </w:tc>
        <w:tc>
          <w:tcPr>
            <w:tcW w:w="1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8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L.P., acting through its general partner</w:t>
            </w:r>
          </w:p>
        </w:tc>
      </w:tr>
      <w:tr>
        <w:trPr/>
        <w:tc>
          <w:tcPr>
            <w:tcW w:w="863" w:type="dxa"/>
            <w:tcBorders/>
            <w:vAlign w:val="center"/>
          </w:tcPr>
          <w:p>
            <w:pPr>
              <w:pStyle w:val="TableContents"/>
              <w:bidi w:val="0"/>
              <w:spacing w:before="0" w:after="283"/>
              <w:jc w:val="left"/>
              <w:rPr>
                <w:caps w:val="false"/>
                <w:smallCaps w:val="false"/>
              </w:rPr>
            </w:pPr>
            <w:r>
              <w:rPr>
                <w:caps w:val="false"/>
                <w:smallCaps w:val="false"/>
              </w:rPr>
              <w:t> </w:t>
            </w:r>
          </w:p>
        </w:tc>
        <w:tc>
          <w:tcPr>
            <w:tcW w:w="9342"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863" w:type="dxa"/>
            <w:tcBorders/>
            <w:vAlign w:val="center"/>
          </w:tcPr>
          <w:p>
            <w:pPr>
              <w:pStyle w:val="TableContents"/>
              <w:bidi w:val="0"/>
              <w:spacing w:before="0" w:after="283"/>
              <w:jc w:val="left"/>
              <w:rPr>
                <w:caps w:val="false"/>
                <w:smallCaps w:val="false"/>
              </w:rPr>
            </w:pPr>
            <w:r>
              <w:rPr>
                <w:caps w:val="false"/>
                <w:smallCaps w:val="false"/>
              </w:rPr>
              <w:t> </w:t>
            </w:r>
          </w:p>
        </w:tc>
        <w:tc>
          <w:tcPr>
            <w:tcW w:w="1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8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863" w:type="dxa"/>
            <w:tcBorders/>
            <w:vAlign w:val="center"/>
          </w:tcPr>
          <w:p>
            <w:pPr>
              <w:pStyle w:val="TableContents"/>
              <w:bidi w:val="0"/>
              <w:spacing w:before="0" w:after="283"/>
              <w:jc w:val="left"/>
              <w:rPr>
                <w:caps w:val="false"/>
                <w:smallCaps w:val="false"/>
              </w:rPr>
            </w:pPr>
            <w:r>
              <w:rPr>
                <w:caps w:val="false"/>
                <w:smallCaps w:val="false"/>
              </w:rPr>
              <w:t> </w:t>
            </w:r>
          </w:p>
        </w:tc>
        <w:tc>
          <w:tcPr>
            <w:tcW w:w="1071" w:type="dxa"/>
            <w:tcBorders/>
            <w:vAlign w:val="center"/>
          </w:tcPr>
          <w:p>
            <w:pPr>
              <w:pStyle w:val="TableContents"/>
              <w:bidi w:val="0"/>
              <w:spacing w:before="0" w:after="283"/>
              <w:jc w:val="left"/>
              <w:rPr>
                <w:caps w:val="false"/>
                <w:smallCaps w:val="false"/>
              </w:rPr>
            </w:pPr>
            <w:r>
              <w:rPr>
                <w:caps w:val="false"/>
                <w:smallCaps w:val="false"/>
              </w:rPr>
              <w:t> </w:t>
            </w:r>
          </w:p>
        </w:tc>
        <w:tc>
          <w:tcPr>
            <w:tcW w:w="827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63" w:type="dxa"/>
            <w:tcBorders/>
            <w:vAlign w:val="center"/>
          </w:tcPr>
          <w:p>
            <w:pPr>
              <w:pStyle w:val="TableContents"/>
              <w:bidi w:val="0"/>
              <w:spacing w:before="0" w:after="283"/>
              <w:jc w:val="left"/>
              <w:rPr>
                <w:caps w:val="false"/>
                <w:smallCaps w:val="false"/>
              </w:rPr>
            </w:pPr>
            <w:r>
              <w:rPr>
                <w:caps w:val="false"/>
                <w:smallCaps w:val="false"/>
              </w:rPr>
              <w:t> </w:t>
            </w:r>
          </w:p>
        </w:tc>
        <w:tc>
          <w:tcPr>
            <w:tcW w:w="1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827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Kuesel</w:t>
            </w:r>
          </w:p>
        </w:tc>
      </w:tr>
      <w:tr>
        <w:trPr/>
        <w:tc>
          <w:tcPr>
            <w:tcW w:w="863" w:type="dxa"/>
            <w:tcBorders/>
            <w:vAlign w:val="center"/>
          </w:tcPr>
          <w:p>
            <w:pPr>
              <w:pStyle w:val="TableContents"/>
              <w:bidi w:val="0"/>
              <w:spacing w:before="0" w:after="283"/>
              <w:jc w:val="left"/>
              <w:rPr>
                <w:caps w:val="false"/>
                <w:smallCaps w:val="false"/>
              </w:rPr>
            </w:pPr>
            <w:r>
              <w:rPr>
                <w:caps w:val="false"/>
                <w:smallCaps w:val="false"/>
              </w:rPr>
              <w:t> </w:t>
            </w:r>
          </w:p>
        </w:tc>
        <w:tc>
          <w:tcPr>
            <w:tcW w:w="1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8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Kuesel</w:t>
            </w:r>
          </w:p>
        </w:tc>
      </w:tr>
      <w:tr>
        <w:trPr/>
        <w:tc>
          <w:tcPr>
            <w:tcW w:w="863" w:type="dxa"/>
            <w:tcBorders/>
            <w:vAlign w:val="center"/>
          </w:tcPr>
          <w:p>
            <w:pPr>
              <w:pStyle w:val="TableContents"/>
              <w:bidi w:val="0"/>
              <w:spacing w:before="0" w:after="283"/>
              <w:jc w:val="left"/>
              <w:rPr>
                <w:caps w:val="false"/>
                <w:smallCaps w:val="false"/>
              </w:rPr>
            </w:pPr>
            <w:r>
              <w:rPr>
                <w:caps w:val="false"/>
                <w:smallCaps w:val="false"/>
              </w:rPr>
              <w:t> </w:t>
            </w:r>
          </w:p>
        </w:tc>
        <w:tc>
          <w:tcPr>
            <w:tcW w:w="10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82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Continue on Following Page]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650" w:type="dxa"/>
        <w:jc w:val="left"/>
        <w:tblInd w:w="0" w:type="dxa"/>
        <w:tblLayout w:type="fixed"/>
        <w:tblCellMar>
          <w:top w:w="0" w:type="dxa"/>
          <w:left w:w="0" w:type="dxa"/>
          <w:bottom w:w="0" w:type="dxa"/>
          <w:right w:w="0" w:type="dxa"/>
        </w:tblCellMar>
      </w:tblPr>
      <w:tblGrid>
        <w:gridCol w:w="905"/>
        <w:gridCol w:w="590"/>
        <w:gridCol w:w="3155"/>
      </w:tblGrid>
      <w:tr>
        <w:trPr/>
        <w:tc>
          <w:tcPr>
            <w:tcW w:w="9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w:t>
            </w:r>
          </w:p>
        </w:tc>
        <w:tc>
          <w:tcPr>
            <w:tcW w:w="37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MIDCAP FUNDING XIII TRUST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L.P.,</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Maurice Amsellem</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Maurice Amsellem</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Authorized Signatory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w:t>
            </w:r>
          </w:p>
        </w:tc>
        <w:tc>
          <w:tcPr>
            <w:tcW w:w="37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MIDCAP FINANCIAL TRUST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L.P.,</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Maurice Amsellem</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Maurice Amsellem</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Authorized Signatory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4614" w:type="dxa"/>
        <w:jc w:val="left"/>
        <w:tblInd w:w="0" w:type="dxa"/>
        <w:tblLayout w:type="fixed"/>
        <w:tblCellMar>
          <w:top w:w="0" w:type="dxa"/>
          <w:left w:w="0" w:type="dxa"/>
          <w:bottom w:w="0" w:type="dxa"/>
          <w:right w:w="0" w:type="dxa"/>
        </w:tblCellMar>
      </w:tblPr>
      <w:tblGrid>
        <w:gridCol w:w="1370"/>
        <w:gridCol w:w="645"/>
        <w:gridCol w:w="2599"/>
      </w:tblGrid>
      <w:tr>
        <w:trPr/>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BORROWERS:</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INC.</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Browne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BACTERIN INTERNATIONAL, INC.</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X-SPINE SYSTEMS, INC.</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SURGALIGN SPV, INC.</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GUARANTOR:</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558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2.1 - Amortization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April 1, 2026 and continuing on the first day of each calendar month thereafter through and including September 30, 2026, Borrower shall pay to Agent, as a principal payment on the Term Loans, an amount equal to $309,973.03.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October 1, 2026 and continuing on the first day of each calendar month thereafter through and including December 31, 2026, Borrower shall pay to Agent, as a principal payment on the Term Loans, an amount equal to $360,000.00.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January 1, 2027 and continuing on the first day of each calendar month thereafter, Borrower shall pay to Agent, as a principal payment on the Term Loans, an amount equal to $410,000.00.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in the foregoing, the entire remaining outstanding principal balance under the Term Loans shall mature and be due and payable upon the Termination Date.</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6.1 – Minimum Net Revenue</w:t>
      </w:r>
    </w:p>
    <w:p>
      <w:pPr>
        <w:pStyle w:val="TextBody"/>
        <w:bidi w:val="0"/>
        <w:spacing w:before="0" w:after="0"/>
        <w:ind w:left="0" w:right="0" w:hanging="0"/>
        <w:jc w:val="center"/>
        <w:rPr>
          <w:caps w:val="false"/>
          <w:smallCaps w:val="false"/>
        </w:rPr>
      </w:pPr>
      <w:r>
        <w:rPr>
          <w:caps w:val="false"/>
          <w:smallCaps w:val="false"/>
        </w:rPr>
        <w:t> </w:t>
      </w:r>
    </w:p>
    <w:tbl>
      <w:tblPr>
        <w:tblW w:w="5799" w:type="dxa"/>
        <w:jc w:val="center"/>
        <w:tblInd w:w="0" w:type="dxa"/>
        <w:tblLayout w:type="fixed"/>
        <w:tblCellMar>
          <w:top w:w="0" w:type="dxa"/>
          <w:left w:w="0" w:type="dxa"/>
          <w:bottom w:w="28" w:type="dxa"/>
          <w:right w:w="0" w:type="dxa"/>
        </w:tblCellMar>
      </w:tblPr>
      <w:tblGrid>
        <w:gridCol w:w="2375"/>
        <w:gridCol w:w="60"/>
        <w:gridCol w:w="371"/>
        <w:gridCol w:w="2918"/>
        <w:gridCol w:w="75"/>
      </w:tblGrid>
      <w:tr>
        <w:trPr/>
        <w:tc>
          <w:tcPr>
            <w:tcW w:w="2375" w:type="dxa"/>
            <w:tcBorders>
              <w:bottom w:val="single" w:sz="8" w:space="0" w:color="000000"/>
            </w:tcBorders>
            <w:vAlign w:val="center"/>
          </w:tcPr>
          <w:p>
            <w:pPr>
              <w:pStyle w:val="TableContents"/>
              <w:bidi w:val="0"/>
              <w:spacing w:before="0" w:after="283"/>
              <w:jc w:val="center"/>
              <w:rPr>
                <w:b/>
              </w:rPr>
            </w:pPr>
            <w:r>
              <w:rPr>
                <w:b/>
              </w:rPr>
              <w:t>Defined Period Ending</w:t>
            </w:r>
          </w:p>
        </w:tc>
        <w:tc>
          <w:tcPr>
            <w:tcW w:w="60" w:type="dxa"/>
            <w:tcBorders/>
            <w:tcMar>
              <w:bottom w:w="0" w:type="dxa"/>
            </w:tcMar>
            <w:vAlign w:val="center"/>
          </w:tcPr>
          <w:p>
            <w:pPr>
              <w:pStyle w:val="TableContents"/>
              <w:bidi w:val="0"/>
              <w:spacing w:before="0" w:after="283"/>
              <w:jc w:val="left"/>
              <w:rPr/>
            </w:pPr>
            <w:r>
              <w:rPr/>
              <w:t> </w:t>
            </w:r>
          </w:p>
        </w:tc>
        <w:tc>
          <w:tcPr>
            <w:tcW w:w="3289" w:type="dxa"/>
            <w:gridSpan w:val="2"/>
            <w:tcBorders>
              <w:bottom w:val="single" w:sz="8" w:space="0" w:color="000000"/>
            </w:tcBorders>
            <w:vAlign w:val="center"/>
          </w:tcPr>
          <w:p>
            <w:pPr>
              <w:pStyle w:val="TableContents"/>
              <w:bidi w:val="0"/>
              <w:spacing w:before="0" w:after="283"/>
              <w:jc w:val="center"/>
              <w:rPr>
                <w:b/>
              </w:rPr>
            </w:pPr>
            <w:r>
              <w:rPr>
                <w:b/>
              </w:rPr>
              <w:t>Minimum Net Revenue Amount</w:t>
            </w:r>
          </w:p>
        </w:tc>
        <w:tc>
          <w:tcPr>
            <w:tcW w:w="75" w:type="dxa"/>
            <w:tcBorders/>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 </w:t>
            </w:r>
          </w:p>
        </w:tc>
        <w:tc>
          <w:tcPr>
            <w:tcW w:w="2918" w:type="dxa"/>
            <w:tcBorders/>
            <w:shd w:fill="CCEEFF" w:val="clear"/>
            <w:tcMar>
              <w:bottom w:w="0" w:type="dxa"/>
            </w:tcMar>
            <w:vAlign w:val="center"/>
          </w:tcPr>
          <w:p>
            <w:pPr>
              <w:pStyle w:val="TableContents"/>
              <w:bidi w:val="0"/>
              <w:spacing w:before="0" w:after="283"/>
              <w:jc w:val="right"/>
              <w:rPr/>
            </w:pPr>
            <w:r>
              <w:rPr/>
              <w:t>N/A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69,000,000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68,000,000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September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68,418,000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December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68,418,000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March 31,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71,839,000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June 30,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75,431,000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September 30,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79,000,000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December 31,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80,000,000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March 31,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81,000,000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June 30,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82,000,000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September 30,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83,000,000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December 31,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84,000,000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669" w:name="ex10-2.htm"/>
      <w:bookmarkStart w:id="670" w:name="ksex102"/>
      <w:bookmarkEnd w:id="669"/>
      <w:bookmarkEnd w:id="67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sz w:val="20"/>
          <w:u w:val="single"/>
        </w:rPr>
        <w:t>amendment No. 5 to AMENDED AND RESTATED</w:t>
      </w:r>
      <w:r>
        <w:rPr>
          <w:rFonts w:ascii="Times New Roman;Times;Serif" w:hAnsi="Times New Roman;Times;Serif"/>
          <w:b/>
          <w:i w:val="false"/>
          <w:caps w:val="false"/>
          <w:smallCaps w:val="false"/>
          <w:sz w:val="20"/>
          <w:u w:val="single"/>
        </w:rPr>
        <w:t xml:space="preserve"> CREDIT, SECURITY AND GUARANTY AGREEMENT (REVOLVING LOAN)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5 TO AMENDED AND RESTATED CREDIT, SECURITY AND GUARANTY AGREEMENT (REVOLVING LOAN)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xml:space="preserve">”) is made as of August 10, 2026, by and among </w:t>
      </w:r>
      <w:r>
        <w:rPr>
          <w:rFonts w:ascii="Times New Roman;Times;Serif" w:hAnsi="Times New Roman;Times;Serif"/>
          <w:b/>
          <w:i w:val="false"/>
          <w:caps w:val="false"/>
          <w:smallCaps w:val="false"/>
          <w:sz w:val="20"/>
        </w:rPr>
        <w:t>XTANT MEDICAL,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Xtant</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BACTERIN INTERNATIONAL, INC.</w:t>
      </w:r>
      <w:r>
        <w:rPr>
          <w:rFonts w:ascii="Times New Roman;Times;Serif" w:hAnsi="Times New Roman;Times;Serif"/>
          <w:b w:val="false"/>
          <w:i w:val="false"/>
          <w:caps w:val="false"/>
          <w:smallCaps w:val="false"/>
          <w:sz w:val="20"/>
        </w:rPr>
        <w:t xml:space="preserve">, a Nevada corporation, </w:t>
      </w:r>
      <w:r>
        <w:rPr>
          <w:rFonts w:ascii="Times New Roman;Times;Serif" w:hAnsi="Times New Roman;Times;Serif"/>
          <w:b/>
          <w:i w:val="false"/>
          <w:caps w:val="false"/>
          <w:smallCaps w:val="false"/>
          <w:sz w:val="20"/>
        </w:rPr>
        <w:t>X-SPINE SYSTEMS, INC.</w:t>
      </w:r>
      <w:r>
        <w:rPr>
          <w:rFonts w:ascii="Times New Roman;Times;Serif" w:hAnsi="Times New Roman;Times;Serif"/>
          <w:b w:val="false"/>
          <w:i w:val="false"/>
          <w:caps w:val="false"/>
          <w:smallCaps w:val="false"/>
          <w:sz w:val="20"/>
        </w:rPr>
        <w:t xml:space="preserve">, an Ohio corporation, </w:t>
      </w:r>
      <w:r>
        <w:rPr>
          <w:rFonts w:ascii="Times New Roman;Times;Serif" w:hAnsi="Times New Roman;Times;Serif"/>
          <w:b/>
          <w:i w:val="false"/>
          <w:caps w:val="false"/>
          <w:smallCaps w:val="false"/>
          <w:sz w:val="20"/>
        </w:rPr>
        <w:t>SURGALIGN SPV, INC.</w:t>
      </w:r>
      <w:r>
        <w:rPr>
          <w:rFonts w:ascii="Times New Roman;Times;Serif" w:hAnsi="Times New Roman;Times;Serif"/>
          <w:b w:val="false"/>
          <w:i w:val="false"/>
          <w:caps w:val="false"/>
          <w:smallCaps w:val="false"/>
          <w:sz w:val="20"/>
        </w:rPr>
        <w:t>, a Delaware corporation, and any additional borrower that may hereafter be added to this Agreement (each individually as a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and collectively with any entities that become party hereto as Borrower and each of their successors and permitted assigns, the “</w:t>
      </w:r>
      <w:r>
        <w:rPr>
          <w:rFonts w:ascii="Times New Roman;Times;Serif" w:hAnsi="Times New Roman;Times;Serif"/>
          <w:b/>
          <w:i w:val="false"/>
          <w:caps w:val="false"/>
          <w:smallCaps w:val="false"/>
          <w:sz w:val="20"/>
        </w:rPr>
        <w:t>Borrowers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XTANT MEDICAL HOLDINGS, INC.</w:t>
      </w:r>
      <w:r>
        <w:rPr>
          <w:rFonts w:ascii="Times New Roman;Times;Serif" w:hAnsi="Times New Roman;Times;Serif"/>
          <w:b w:val="false"/>
          <w:i w:val="false"/>
          <w:caps w:val="false"/>
          <w:smallCaps w:val="false"/>
          <w:sz w:val="20"/>
        </w:rPr>
        <w:t>, a Delaware corporation (“</w:t>
      </w:r>
      <w:r>
        <w:rPr>
          <w:rFonts w:ascii="Times New Roman;Times;Serif" w:hAnsi="Times New Roman;Times;Serif"/>
          <w:b/>
          <w:i w:val="false"/>
          <w:caps w:val="false"/>
          <w:smallCaps w:val="false"/>
          <w:sz w:val="20"/>
        </w:rPr>
        <w:t>Holdings</w:t>
      </w:r>
      <w:r>
        <w:rPr>
          <w:rFonts w:ascii="Times New Roman;Times;Serif" w:hAnsi="Times New Roman;Times;Serif"/>
          <w:b w:val="false"/>
          <w:i w:val="false"/>
          <w:caps w:val="false"/>
          <w:smallCaps w:val="false"/>
          <w:sz w:val="20"/>
        </w:rPr>
        <w:t xml:space="preserve">”), as a Guarantor, </w:t>
      </w:r>
      <w:r>
        <w:rPr>
          <w:rFonts w:ascii="Times New Roman;Times;Serif" w:hAnsi="Times New Roman;Times;Serif"/>
          <w:b/>
          <w:i w:val="false"/>
          <w:caps/>
          <w:sz w:val="20"/>
        </w:rPr>
        <w:t>MidCap funding iv Trust</w:t>
      </w:r>
      <w:r>
        <w:rPr>
          <w:rFonts w:ascii="Times New Roman;Times;Serif" w:hAnsi="Times New Roman;Times;Serif"/>
          <w:b w:val="false"/>
          <w:i w:val="false"/>
          <w:caps w:val="false"/>
          <w:smallCaps w:val="false"/>
          <w:sz w:val="20"/>
        </w:rPr>
        <w:t>, a Delaware statutory trust, as Agent (in such capacity, together with its successors and assigns,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and the other financial institutions or other entities from time to time parties to the Credit Agreement referenced below, each as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Agent, Lenders, and the Credit Parties have entered into that certain Amended and Restated Credit, Security and Guaranty Agreement (Revolving Loan), dated as of March 7, 2024 (as amended, restated, supplemented or otherwise modified at any time prior to the date hereof, the “</w:t>
      </w:r>
      <w:r>
        <w:rPr>
          <w:rFonts w:ascii="Times New Roman;Times;Serif" w:hAnsi="Times New Roman;Times;Serif"/>
          <w:b/>
          <w:i w:val="false"/>
          <w:caps w:val="false"/>
          <w:smallCaps w:val="false"/>
          <w:sz w:val="20"/>
        </w:rPr>
        <w:t>Existing A&amp;R Credit Agreement</w:t>
      </w:r>
      <w:r>
        <w:rPr>
          <w:rFonts w:ascii="Times New Roman;Times;Serif" w:hAnsi="Times New Roman;Times;Serif"/>
          <w:b w:val="false"/>
          <w:i w:val="false"/>
          <w:caps w:val="false"/>
          <w:smallCaps w:val="false"/>
          <w:sz w:val="20"/>
        </w:rPr>
        <w:t>” and as amended hereby and as it may be further amended, modified, supplemented and restated from time to time,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pursuant to which the Lenders have agreed to make certain advances of money and to extend certain financial accommodations to Borrowers in the amounts and manner set forth in the Credit Agreement.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Credit Parties have requested, and Agent and Lenders have agreed, on and subject to the terms and conditions set forth in this Agreement, to amend certain provisions of the Existing A&amp;R Credit Agreement, all in accordance with the terms and subject to the conditions set forth herein.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the terms and conditions set forth in this Agreement, and other good and valuable consideration, the receipt and sufficiency of which are hereby acknowledged, Agent, Lenders and the Credit Parties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u w:val="single"/>
        </w:rPr>
        <w:t>Recitals</w:t>
      </w:r>
      <w:r>
        <w:rPr>
          <w:rFonts w:ascii="Times New Roman;Times;Serif" w:hAnsi="Times New Roman;Times;Serif"/>
          <w:b w:val="false"/>
          <w:i w:val="false"/>
          <w:caps w:val="false"/>
          <w:smallCaps w:val="false"/>
          <w:sz w:val="20"/>
        </w:rPr>
        <w:t>. This Agreement shall constitute a Financing Document and the Recitals and each reference to the Credit Agreement, unless otherwise expressly noted, will be deemed to reference the Credit Agreement as amended hereby. The Recitals set forth above shall be construed as part of this Agreement as if set forth fully in the body of this Agreement and capitalized terms used but not otherwise defined herein shall have the meanings ascribed to them in the Credit Agreement (including those capitalized terms used in the Recitals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u w:val="single"/>
        </w:rPr>
        <w:t>Amendments to Existing A&amp;R Credit Agreement</w:t>
      </w:r>
      <w:r>
        <w:rPr>
          <w:rFonts w:ascii="Times New Roman;Times;Serif" w:hAnsi="Times New Roman;Times;Serif"/>
          <w:b w:val="false"/>
          <w:i w:val="false"/>
          <w:caps w:val="false"/>
          <w:smallCaps w:val="false"/>
          <w:sz w:val="20"/>
        </w:rPr>
        <w:t xml:space="preserve">. Subject to the terms and conditions of this Agreement, including, without limitation, the conditions to effectiveness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below, the Existing A&amp;R Credit Agreement is hereby amended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Schedule 6.1 attached to the Existing Credit Agreement is hereby replaced by the Schedule 6.1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u w:val="single"/>
        </w:rPr>
        <w:t>Representations and Warranties; Reaffirmation of Security Interest</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Each Credit Party hereby confirms that all of the representations and warranties set forth in the Credit Agreement are true and correct in all material respects (without duplication of any materiality qualifier in the text of such representation or warranty) with respect to such Credit Party as of the date hereof except to the extent that any such representation or warranty relates to a specific date in which case such representation or warranty shall be true and correct as of such earlier date. Nothing herein is intended to impair or limit the validity, priority or extent of Agent’s security interests in and Liens on the Collateral. Each Credit Party acknowledges and agrees that the Credit Agreement, the other Financing Documents and this Agreement constitute the legal, valid and binding obligation of such Credit Party, and are enforceable against such Credit Party in accordance with its terms, except as the enforceability thereof may be limited by bankruptcy, insolvency or other similar laws relating to the enforcement of creditors’ rights generally and by general equitable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u w:val="single"/>
        </w:rPr>
        <w:t>Conditions to Effectiveness</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This Agreement shall become effective as of the date on which each of the following conditions have been satisfied, as determined by Agent in its sole discretion: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Agent shall have received (including by way of facsimile or other electronic transmission) a duly authorized, executed and delivered counterpart of the signature page to this Agreement from each Credit Party, the Agent and the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Agent shall have received a duly executed copy of Amendment No. 5 to Amended and Restated Credit, Security and Guaranty Agreement (Term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representations and warranties set forth in the Credit Agreement shall be true and correct in all material respects (without duplication of any materiality qualifier in the text of such representation or warranty) as of the date hereof, except to the extent that any such representation or warranty relates to a specific date in which case such representation or warranty shall be true and correct in all material respects as of such earlier date (without duplication of any materiality qualifier in the text of such representation or warranty) (and Borrower’s delivery of its signature hereto shall be deemed to be its certification thereof);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immediately prior to and after giving effect to this Agreement, no Default or Event of Default exists under any of the Financing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u w:val="single"/>
        </w:rPr>
        <w:t>Costs and Fees.</w:t>
      </w:r>
      <w:r>
        <w:rPr>
          <w:rFonts w:ascii="Times New Roman;Times;Serif" w:hAnsi="Times New Roman;Times;Serif"/>
          <w:b w:val="false"/>
          <w:i w:val="false"/>
          <w:caps w:val="false"/>
          <w:smallCaps w:val="false"/>
          <w:sz w:val="20"/>
        </w:rPr>
        <w:t xml:space="preserve"> Borrower shall be responsible for the payment of all reasonable, documented and invoiced out-of-pocket costs and fees of Agent’s counsel incurred in connection with the preparation, negotiation, execution and delivery of this Agreement and any related Financing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i w:val="false"/>
          <w:caps w:val="false"/>
          <w:smallCaps w:val="false"/>
          <w:sz w:val="20"/>
          <w:u w:val="single"/>
        </w:rPr>
        <w:t>Release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In consideration of the agreements of Agent and Lenders contained herein and for other good and valuable consideration, the receipt and sufficiency of which is hereby acknowledged, Credit Party, voluntarily, knowingly, unconditionally and irrevocably, with specific and express intent, for and on behalf of itself and all of its respective parents, subsidiaries, affiliates, members, managers, predecessors, successors, and assigns, and each of their respective current and former directors, officers, shareholders, agents, and employees, and each of their respective predecessors, successors, heirs, and assigns (individually and collectively, the “</w:t>
      </w:r>
      <w:r>
        <w:rPr>
          <w:rFonts w:ascii="Times New Roman;Times;Serif" w:hAnsi="Times New Roman;Times;Serif"/>
          <w:b/>
          <w:i w:val="false"/>
          <w:caps w:val="false"/>
          <w:smallCaps w:val="false"/>
          <w:sz w:val="20"/>
        </w:rPr>
        <w:t>Releasing Parties</w:t>
      </w:r>
      <w:r>
        <w:rPr>
          <w:rFonts w:ascii="Times New Roman;Times;Serif" w:hAnsi="Times New Roman;Times;Serif"/>
          <w:b w:val="false"/>
          <w:i w:val="false"/>
          <w:caps w:val="false"/>
          <w:smallCaps w:val="false"/>
          <w:sz w:val="20"/>
        </w:rPr>
        <w:t>”) does hereby fully and completely release, acquit and forever discharge each of Agent, Lenders, and each their respective parents, subsidiaries, affiliates, members, managers, shareholders, directors, officers and employees, and each of their respective predecessors, successors, heirs, and assigns (individually and collectively, the “</w:t>
      </w:r>
      <w:r>
        <w:rPr>
          <w:rFonts w:ascii="Times New Roman;Times;Serif" w:hAnsi="Times New Roman;Times;Serif"/>
          <w:b/>
          <w:i w:val="false"/>
          <w:caps w:val="false"/>
          <w:smallCaps w:val="false"/>
          <w:sz w:val="20"/>
        </w:rPr>
        <w:t>Released Parties</w:t>
      </w:r>
      <w:r>
        <w:rPr>
          <w:rFonts w:ascii="Times New Roman;Times;Serif" w:hAnsi="Times New Roman;Times;Serif"/>
          <w:b w:val="false"/>
          <w:i w:val="false"/>
          <w:caps w:val="false"/>
          <w:smallCaps w:val="false"/>
          <w:sz w:val="20"/>
        </w:rPr>
        <w:t>”), of and from any and all actions, causes of action, suits, debts, disputes, damages, claims, obligations, liabilities, costs, expenses and demands of any kind whatsoever, at law or in equity, whether matured or unmatured, liquidated or unliquidated, vested or contingent, choate or inchoate, known or unknown that the Releasing Parties (or any of them) has against the Released Parties or any of them (whether directly or indirectly). Each Credit Party acknowledges that the foregoing release is a material inducement to Agent’s and each Lender’s decision to enter into this Agreement and agree to the modifications contemplated hereunder, and has been relied upon by Agent and Lenders in connection therewith.</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i w:val="false"/>
          <w:caps w:val="false"/>
          <w:smallCaps w:val="false"/>
          <w:sz w:val="20"/>
          <w:u w:val="single"/>
        </w:rPr>
        <w:t>No Waiver or Novation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execution, delivery and effectiveness of this Agreement shall not, except as expressly provided in this Agreement, operate as a waiver of any right, power or remedy of Agent, nor constitute a waiver of any provision of the Credit Agreement, the Financing Documents or any other documents, instruments and agreements executed or delivered in connection with any of the foregoing. Nothing herein is intended or shall be construed as a waiver of any existing Defaults or Events of Default under the Credit Agreement or the other Financing Documents or any of Agent’s rights and remedies in respect of such Defaults or Events of Default. This Agreement (together with any other document executed in connection herewith) is not intended to be, nor shall it be construed as, a novation of the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i w:val="false"/>
          <w:caps w:val="false"/>
          <w:smallCaps w:val="false"/>
          <w:sz w:val="20"/>
          <w:u w:val="single"/>
        </w:rPr>
        <w:t>Affirmation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Except as specifically amended pursuant to the terms hereof, each Credit Party hereby acknowledges and agrees that the Credit Agreement and all other Financing Documents (and all covenants, terms, conditions and agreements therein) shall remain in full force and effect, and are hereby ratified and confirmed in all respects by such Credit Party. Each Credit Party covenants and agrees to comply with all of the terms, covenants and conditions of the Credit Agreement and the Financing Documents, notwithstanding any prior course of conduct, waivers, releases or other actions or inactions on Agent’s or any Lender’s part which might otherwise constitute or be construed as a waiver of or amendment to such terms, covenants and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Reference to the Effect on the Credit Agreement</w:t>
      </w:r>
      <w:r>
        <w:rPr>
          <w:rFonts w:ascii="Times New Roman;Times;Serif" w:hAnsi="Times New Roman;Times;Serif"/>
          <w:b w:val="false"/>
          <w:i w:val="false"/>
          <w:caps w:val="false"/>
          <w:smallCaps w:val="false"/>
          <w:sz w:val="20"/>
        </w:rPr>
        <w:t>. Upon the effectiveness of this Agreement, each reference in the Credit Agreement to “this Agreement,” “hereunder,” “hereof,” “herein,” or words of similar import shall mean and be a reference to the Credit Agreement, as amended by this Agreement. Except as specifically amended above, the Credit Agreement, and all other Financing Documents (and all covenants, terms, conditions and agreements therein), shall remain in full force and effect, and are hereby ratified and confirmed in all respects by each Credit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AND ALL DISPUTES AND OTHER MATTERS RELATING HERETO OR ARISING THEREFROM (WHETHER SOUNDING IN CONTRACT LAW, TORT LAW OR OTHERWISE), SHALL BE GOVERNED BY, AND SHALL BE CONSTRUED AND ENFORCED IN ACCORDANCE WITH, THE LAWS OF THE STATE OF NEW YORK, WITHOUT REGARD TO CONFLICTS OF LAWS PRINCIPLES.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Incorporation of Credit Agreement Provisions</w:t>
      </w:r>
      <w:r>
        <w:rPr>
          <w:rFonts w:ascii="Times New Roman;Times;Serif" w:hAnsi="Times New Roman;Times;Serif"/>
          <w:b w:val="false"/>
          <w:i w:val="false"/>
          <w:caps w:val="false"/>
          <w:smallCaps w:val="false"/>
          <w:sz w:val="20"/>
        </w:rPr>
        <w:t xml:space="preserve">. The provisions contained in </w:t>
      </w:r>
      <w:r>
        <w:rPr>
          <w:rFonts w:ascii="Times New Roman;Times;Serif" w:hAnsi="Times New Roman;Times;Serif"/>
          <w:b w:val="false"/>
          <w:i w:val="false"/>
          <w:caps w:val="false"/>
          <w:smallCaps w:val="false"/>
          <w:sz w:val="20"/>
          <w:u w:val="single"/>
        </w:rPr>
        <w:t>Section 11.6</w:t>
      </w:r>
      <w:r>
        <w:rPr>
          <w:rFonts w:ascii="Times New Roman;Times;Serif" w:hAnsi="Times New Roman;Times;Serif"/>
          <w:b w:val="false"/>
          <w:i w:val="false"/>
          <w:caps w:val="false"/>
          <w:smallCaps w:val="false"/>
          <w:sz w:val="20"/>
        </w:rPr>
        <w:t xml:space="preserve"> (Indemnification), </w:t>
      </w:r>
      <w:r>
        <w:rPr>
          <w:rFonts w:ascii="Times New Roman;Times;Serif" w:hAnsi="Times New Roman;Times;Serif"/>
          <w:b w:val="false"/>
          <w:i w:val="false"/>
          <w:caps w:val="false"/>
          <w:smallCaps w:val="false"/>
          <w:sz w:val="20"/>
          <w:u w:val="single"/>
        </w:rPr>
        <w:t>Section 13.8(b)</w:t>
      </w:r>
      <w:r>
        <w:rPr>
          <w:rFonts w:ascii="Times New Roman;Times;Serif" w:hAnsi="Times New Roman;Times;Serif"/>
          <w:b w:val="false"/>
          <w:i w:val="false"/>
          <w:caps w:val="false"/>
          <w:smallCaps w:val="false"/>
          <w:sz w:val="20"/>
        </w:rPr>
        <w:t xml:space="preserve"> (Submission to Jurisdiction) and </w:t>
      </w:r>
      <w:r>
        <w:rPr>
          <w:rFonts w:ascii="Times New Roman;Times;Serif" w:hAnsi="Times New Roman;Times;Serif"/>
          <w:b w:val="false"/>
          <w:i w:val="false"/>
          <w:caps w:val="false"/>
          <w:smallCaps w:val="false"/>
          <w:sz w:val="20"/>
          <w:u w:val="single"/>
        </w:rPr>
        <w:t>Section 13.9</w:t>
      </w:r>
      <w:r>
        <w:rPr>
          <w:rFonts w:ascii="Times New Roman;Times;Serif" w:hAnsi="Times New Roman;Times;Serif"/>
          <w:b w:val="false"/>
          <w:i w:val="false"/>
          <w:caps w:val="false"/>
          <w:smallCaps w:val="false"/>
          <w:sz w:val="20"/>
        </w:rPr>
        <w:t xml:space="preserve"> (Waiver of Jury Trial) of the Credit Agreement are incorporated herein by reference to the same extent as if reproduced herein in their entirety.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Section headings in this Agreement are included for convenience of reference only and shall not constitute a part of this Agreement for any other purpose.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signed in any number of counterparts, each of which shall be deemed an original and all of which when taken together shall constitute one and the same instrument. Signatures by facsimile or by electronic mail delivery of an electronic version of any executed signature page shall bind the parties hereto. </w:t>
      </w:r>
      <w:r>
        <w:rPr>
          <w:rFonts w:ascii="Times New Roman;Times;Serif" w:hAnsi="Times New Roman;Times;Serif"/>
          <w:b w:val="false"/>
          <w:i w:val="false"/>
          <w:caps w:val="false"/>
          <w:smallCaps w:val="false"/>
          <w:sz w:val="20"/>
          <w:shd w:fill="FFFFFF" w:val="clear"/>
        </w:rPr>
        <w:t>In furtherance of the foregoing, the words “execution”, “signed”, “signature”, “delivery” and words of like import in or relating to any document to be signed in connection with this Agreement and the transactions contemplated hereby or thereby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As used herein, “</w:t>
      </w:r>
      <w:r>
        <w:rPr>
          <w:rFonts w:ascii="Times New Roman;Times;Serif" w:hAnsi="Times New Roman;Times;Serif"/>
          <w:b/>
          <w:i w:val="false"/>
          <w:caps w:val="false"/>
          <w:smallCaps w:val="false"/>
          <w:sz w:val="20"/>
          <w:shd w:fill="FFFFFF" w:val="clear"/>
        </w:rPr>
        <w:t>Electronic Signature</w:t>
      </w:r>
      <w:r>
        <w:rPr>
          <w:rFonts w:ascii="Times New Roman;Times;Serif" w:hAnsi="Times New Roman;Times;Serif"/>
          <w:b w:val="false"/>
          <w:i w:val="false"/>
          <w:caps w:val="false"/>
          <w:smallCaps w:val="false"/>
          <w:sz w:val="20"/>
          <w:shd w:fill="FFFFFF" w:val="clear"/>
        </w:rPr>
        <w:t>” means an electronic sound, symbol, or process attached to, or associated with, a contract or other record and adopted by a Person with the intent to sign, authenticate or accept such contract or other record.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constitutes the entire agreement and understanding among the parties hereto and supersedes any and all prior agreements and understandings, oral or written, relating to the subject matter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In case any provision of or obligation under this Agreement shall be invalid, illegal or unenforceable in any applicable jurisdiction, the validity, legality and enforceability of the remaining provisions or obligations, or of such provision or obligation in any other jurisdiction, shall not in any way be affected or impaired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Successors/Assigns</w:t>
      </w:r>
      <w:r>
        <w:rPr>
          <w:rFonts w:ascii="Times New Roman;Times;Serif" w:hAnsi="Times New Roman;Times;Serif"/>
          <w:b w:val="false"/>
          <w:i w:val="false"/>
          <w:caps w:val="false"/>
          <w:smallCaps w:val="false"/>
          <w:sz w:val="20"/>
        </w:rPr>
        <w:t>. This Agreement shall bind, and the rights hereunder shall inure to, the respective successors and assigns of the parties hereto, subject to the provisions of the Credit Agreement and the other Financing Documents.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APPEAR ON FOLLOWING PAGES]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intending to be legally bound, the undersigned have executed this Agreement as of the day and year first hereinabove set forth.</w:t>
      </w:r>
    </w:p>
    <w:p>
      <w:pPr>
        <w:pStyle w:val="TextBody"/>
        <w:bidi w:val="0"/>
        <w:spacing w:before="0" w:after="0"/>
        <w:jc w:val="center"/>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785"/>
        <w:gridCol w:w="590"/>
        <w:gridCol w:w="3155"/>
      </w:tblGrid>
      <w:tr>
        <w:trPr/>
        <w:tc>
          <w:tcPr>
            <w:tcW w:w="7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AGENT:</w:t>
            </w:r>
          </w:p>
        </w:tc>
        <w:tc>
          <w:tcPr>
            <w:tcW w:w="37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MIDCAP FUNDING IV TRUST,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Agent</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L.P.,</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374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Maurice Amsellem</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Maurice Amsellem</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Authorized Signatory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Continue on Following Page]</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rPr>
      </w:pPr>
      <w:r>
        <w:rPr>
          <w:caps/>
        </w:rPr>
        <w:t> </w:t>
      </w:r>
    </w:p>
    <w:tbl>
      <w:tblPr>
        <w:tblW w:w="4605" w:type="dxa"/>
        <w:jc w:val="left"/>
        <w:tblInd w:w="0" w:type="dxa"/>
        <w:tblLayout w:type="fixed"/>
        <w:tblCellMar>
          <w:top w:w="0" w:type="dxa"/>
          <w:left w:w="0" w:type="dxa"/>
          <w:bottom w:w="0" w:type="dxa"/>
          <w:right w:w="0" w:type="dxa"/>
        </w:tblCellMar>
      </w:tblPr>
      <w:tblGrid>
        <w:gridCol w:w="905"/>
        <w:gridCol w:w="545"/>
        <w:gridCol w:w="3155"/>
      </w:tblGrid>
      <w:tr>
        <w:trPr/>
        <w:tc>
          <w:tcPr>
            <w:tcW w:w="90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LENDER:</w:t>
            </w:r>
          </w:p>
        </w:tc>
        <w:tc>
          <w:tcPr>
            <w:tcW w:w="37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MIDCAP FUNDING IV TRUST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L.P.,</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37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investment manager</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Apollo Capital Management GP, LLC,</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370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general partner</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1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Maurice Amsellem</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Maurice Amsellem</w:t>
            </w:r>
          </w:p>
        </w:tc>
      </w:tr>
      <w:tr>
        <w:trPr/>
        <w:tc>
          <w:tcPr>
            <w:tcW w:w="90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3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Authorized Signatory </w:t>
            </w:r>
          </w:p>
        </w:tc>
      </w:tr>
    </w:tbl>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4614" w:type="dxa"/>
        <w:jc w:val="left"/>
        <w:tblInd w:w="0" w:type="dxa"/>
        <w:tblLayout w:type="fixed"/>
        <w:tblCellMar>
          <w:top w:w="0" w:type="dxa"/>
          <w:left w:w="0" w:type="dxa"/>
          <w:bottom w:w="0" w:type="dxa"/>
          <w:right w:w="0" w:type="dxa"/>
        </w:tblCellMar>
      </w:tblPr>
      <w:tblGrid>
        <w:gridCol w:w="1370"/>
        <w:gridCol w:w="645"/>
        <w:gridCol w:w="2599"/>
      </w:tblGrid>
      <w:tr>
        <w:trPr/>
        <w:tc>
          <w:tcPr>
            <w:tcW w:w="137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BORROWERS:</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INC.</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BACTERIN INTERNATIONAL, INC.</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X-SPINE SYSTEMS, INC.</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SURGALIGN SPV, INC.</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GUARANTOR:</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324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XTANT MEDICAL HOLDINGS, INC.</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caps w:val="false"/>
                <w:smallCaps w:val="false"/>
              </w:rPr>
            </w:pPr>
            <w:r>
              <w:rPr>
                <w:caps w:val="false"/>
                <w:smallCaps w:val="false"/>
              </w:rPr>
              <w:t> </w:t>
            </w:r>
          </w:p>
        </w:tc>
        <w:tc>
          <w:tcPr>
            <w:tcW w:w="25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99"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Browne</w:t>
            </w:r>
          </w:p>
        </w:tc>
      </w:tr>
      <w:tr>
        <w:trPr/>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6.1 – Minimum Net Revenue</w:t>
      </w:r>
    </w:p>
    <w:p>
      <w:pPr>
        <w:pStyle w:val="TextBody"/>
        <w:bidi w:val="0"/>
        <w:spacing w:before="0" w:after="0"/>
        <w:ind w:left="0" w:right="0" w:hanging="0"/>
        <w:jc w:val="center"/>
        <w:rPr>
          <w:caps w:val="false"/>
          <w:smallCaps w:val="false"/>
        </w:rPr>
      </w:pPr>
      <w:r>
        <w:rPr>
          <w:caps w:val="false"/>
          <w:smallCaps w:val="false"/>
        </w:rPr>
        <w:t> </w:t>
      </w:r>
    </w:p>
    <w:tbl>
      <w:tblPr>
        <w:tblW w:w="5799" w:type="dxa"/>
        <w:jc w:val="center"/>
        <w:tblInd w:w="0" w:type="dxa"/>
        <w:tblLayout w:type="fixed"/>
        <w:tblCellMar>
          <w:top w:w="0" w:type="dxa"/>
          <w:left w:w="0" w:type="dxa"/>
          <w:bottom w:w="28" w:type="dxa"/>
          <w:right w:w="0" w:type="dxa"/>
        </w:tblCellMar>
      </w:tblPr>
      <w:tblGrid>
        <w:gridCol w:w="2375"/>
        <w:gridCol w:w="60"/>
        <w:gridCol w:w="371"/>
        <w:gridCol w:w="2918"/>
        <w:gridCol w:w="75"/>
      </w:tblGrid>
      <w:tr>
        <w:trPr/>
        <w:tc>
          <w:tcPr>
            <w:tcW w:w="2375" w:type="dxa"/>
            <w:tcBorders>
              <w:bottom w:val="single" w:sz="8" w:space="0" w:color="000000"/>
            </w:tcBorders>
            <w:vAlign w:val="center"/>
          </w:tcPr>
          <w:p>
            <w:pPr>
              <w:pStyle w:val="TableContents"/>
              <w:bidi w:val="0"/>
              <w:spacing w:before="0" w:after="283"/>
              <w:jc w:val="center"/>
              <w:rPr>
                <w:b/>
              </w:rPr>
            </w:pPr>
            <w:r>
              <w:rPr>
                <w:b/>
              </w:rPr>
              <w:t>Defined Period Ending</w:t>
            </w:r>
          </w:p>
        </w:tc>
        <w:tc>
          <w:tcPr>
            <w:tcW w:w="60" w:type="dxa"/>
            <w:tcBorders/>
            <w:tcMar>
              <w:bottom w:w="0" w:type="dxa"/>
            </w:tcMar>
            <w:vAlign w:val="center"/>
          </w:tcPr>
          <w:p>
            <w:pPr>
              <w:pStyle w:val="TableContents"/>
              <w:bidi w:val="0"/>
              <w:spacing w:before="0" w:after="283"/>
              <w:jc w:val="left"/>
              <w:rPr/>
            </w:pPr>
            <w:r>
              <w:rPr/>
              <w:t> </w:t>
            </w:r>
          </w:p>
        </w:tc>
        <w:tc>
          <w:tcPr>
            <w:tcW w:w="3289" w:type="dxa"/>
            <w:gridSpan w:val="2"/>
            <w:tcBorders>
              <w:bottom w:val="single" w:sz="8" w:space="0" w:color="000000"/>
            </w:tcBorders>
            <w:vAlign w:val="center"/>
          </w:tcPr>
          <w:p>
            <w:pPr>
              <w:pStyle w:val="TableContents"/>
              <w:bidi w:val="0"/>
              <w:spacing w:before="0" w:after="283"/>
              <w:jc w:val="center"/>
              <w:rPr>
                <w:b/>
              </w:rPr>
            </w:pPr>
            <w:r>
              <w:rPr>
                <w:b/>
              </w:rPr>
              <w:t>Minimum Net Revenue Amount</w:t>
            </w:r>
          </w:p>
        </w:tc>
        <w:tc>
          <w:tcPr>
            <w:tcW w:w="75" w:type="dxa"/>
            <w:tcBorders/>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 </w:t>
            </w:r>
          </w:p>
        </w:tc>
        <w:tc>
          <w:tcPr>
            <w:tcW w:w="2918" w:type="dxa"/>
            <w:tcBorders/>
            <w:shd w:fill="CCEEFF" w:val="clear"/>
            <w:tcMar>
              <w:bottom w:w="0" w:type="dxa"/>
            </w:tcMar>
            <w:vAlign w:val="center"/>
          </w:tcPr>
          <w:p>
            <w:pPr>
              <w:pStyle w:val="TableContents"/>
              <w:bidi w:val="0"/>
              <w:spacing w:before="0" w:after="283"/>
              <w:jc w:val="right"/>
              <w:rPr/>
            </w:pPr>
            <w:r>
              <w:rPr/>
              <w:t>N/A</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March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69,000,000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June 30,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68,000,000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September 30,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68,418,000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December 31, 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68,418,000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March 31,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71,839,000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June 30,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75,431,000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September 30,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79,000,000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December 31,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80,000,000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March 31,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81,000,000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June 30,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82,000,000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75" w:type="dxa"/>
            <w:tcBorders/>
            <w:shd w:fill="FFFFFF" w:val="clear"/>
            <w:tcMar>
              <w:bottom w:w="0" w:type="dxa"/>
            </w:tcMar>
            <w:vAlign w:val="center"/>
          </w:tcPr>
          <w:p>
            <w:pPr>
              <w:pStyle w:val="TableContents"/>
              <w:bidi w:val="0"/>
              <w:spacing w:before="0" w:after="283"/>
              <w:jc w:val="center"/>
              <w:rPr/>
            </w:pPr>
            <w:r>
              <w:rPr/>
              <w:t>September 30,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 w:type="dxa"/>
            <w:tcBorders/>
            <w:shd w:fill="FFFFFF" w:val="clear"/>
            <w:tcMar>
              <w:bottom w:w="0" w:type="dxa"/>
            </w:tcMar>
            <w:vAlign w:val="center"/>
          </w:tcPr>
          <w:p>
            <w:pPr>
              <w:pStyle w:val="TableContents"/>
              <w:bidi w:val="0"/>
              <w:spacing w:before="0" w:after="283"/>
              <w:jc w:val="left"/>
              <w:rPr/>
            </w:pPr>
            <w:r>
              <w:rPr/>
              <w:t>$</w:t>
            </w:r>
          </w:p>
        </w:tc>
        <w:tc>
          <w:tcPr>
            <w:tcW w:w="2918" w:type="dxa"/>
            <w:tcBorders/>
            <w:shd w:fill="FFFFFF" w:val="clear"/>
            <w:tcMar>
              <w:bottom w:w="0" w:type="dxa"/>
            </w:tcMar>
            <w:vAlign w:val="center"/>
          </w:tcPr>
          <w:p>
            <w:pPr>
              <w:pStyle w:val="TableContents"/>
              <w:bidi w:val="0"/>
              <w:spacing w:before="0" w:after="283"/>
              <w:jc w:val="right"/>
              <w:rPr/>
            </w:pPr>
            <w:r>
              <w:rPr/>
              <w:t>83,000,000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center"/>
              <w:rPr/>
            </w:pPr>
            <w:r>
              <w:rPr/>
              <w:t>December 31,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 w:type="dxa"/>
            <w:tcBorders/>
            <w:shd w:fill="CCEEFF" w:val="clear"/>
            <w:tcMar>
              <w:bottom w:w="0" w:type="dxa"/>
            </w:tcMar>
            <w:vAlign w:val="center"/>
          </w:tcPr>
          <w:p>
            <w:pPr>
              <w:pStyle w:val="TableContents"/>
              <w:bidi w:val="0"/>
              <w:spacing w:before="0" w:after="283"/>
              <w:jc w:val="left"/>
              <w:rPr/>
            </w:pPr>
            <w:r>
              <w:rPr/>
              <w:t>$</w:t>
            </w:r>
          </w:p>
        </w:tc>
        <w:tc>
          <w:tcPr>
            <w:tcW w:w="2918" w:type="dxa"/>
            <w:tcBorders/>
            <w:shd w:fill="CCEEFF" w:val="clear"/>
            <w:tcMar>
              <w:bottom w:w="0" w:type="dxa"/>
            </w:tcMar>
            <w:vAlign w:val="center"/>
          </w:tcPr>
          <w:p>
            <w:pPr>
              <w:pStyle w:val="TableContents"/>
              <w:bidi w:val="0"/>
              <w:spacing w:before="0" w:after="283"/>
              <w:jc w:val="right"/>
              <w:rPr/>
            </w:pPr>
            <w:r>
              <w:rPr/>
              <w:t>84,000,000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ind w:left="0" w:right="0" w:hanging="0"/>
        <w:jc w:val="left"/>
        <w:rPr/>
      </w:pPr>
      <w:bookmarkStart w:id="671" w:name="ex31-1.htm"/>
      <w:bookmarkStart w:id="672" w:name="ksex311"/>
      <w:bookmarkEnd w:id="671"/>
      <w:bookmarkEnd w:id="672"/>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Certification of Chief Executive Officer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Exchange Act Rules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13a-14(a)/15d-14(a), </w:t>
      </w:r>
      <w:r>
        <w:rPr>
          <w:rFonts w:ascii="Times New Roman;Times;Serif" w:hAnsi="Times New Roman;Times;Serif"/>
          <w:b/>
          <w:i w:val="false"/>
          <w:caps/>
          <w:sz w:val="20"/>
        </w:rPr>
        <w:t>as adopted pursuant to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Sean E. Browne,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Xtant Medical Holdings, Inc.;</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5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5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1865"/>
        <w:gridCol w:w="320"/>
        <w:gridCol w:w="309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E. Browne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E. Browne</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pPr>
      <w:bookmarkStart w:id="673" w:name="ex31-2.htm"/>
      <w:bookmarkStart w:id="674" w:name="ksex312"/>
      <w:bookmarkEnd w:id="673"/>
      <w:bookmarkEnd w:id="67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Certification of Chief FINANCIAL Officer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Exchange Act Rules</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13a-14(a)/15d-14(a), </w:t>
      </w:r>
      <w:r>
        <w:rPr>
          <w:rFonts w:ascii="Times New Roman;Times;Serif" w:hAnsi="Times New Roman;Times;Serif"/>
          <w:b/>
          <w:i w:val="false"/>
          <w:caps/>
          <w:sz w:val="20"/>
        </w:rPr>
        <w:t>as adopted pursuant to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Section 302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Scott C. Neils, certify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Xtant Medical Holdings, Inc.;</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jc w:val="both"/>
              <w:rPr>
                <w:caps w:val="false"/>
                <w:smallCaps w:val="false"/>
              </w:rPr>
            </w:pPr>
            <w:r>
              <w:rPr>
                <w:caps w:val="false"/>
                <w:smallCaps w:val="false"/>
              </w:rPr>
              <w:t> </w:t>
            </w:r>
          </w:p>
        </w:tc>
        <w:tc>
          <w:tcPr>
            <w:tcW w:w="100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5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3"/>
        <w:gridCol w:w="9927"/>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caps w:val="false"/>
                <w:smallCaps w:val="false"/>
              </w:rPr>
            </w:pPr>
            <w:r>
              <w:rPr>
                <w:caps w:val="false"/>
                <w:smallCaps w:val="false"/>
              </w:rPr>
              <w:t> </w:t>
            </w:r>
          </w:p>
        </w:tc>
        <w:tc>
          <w:tcPr>
            <w:tcW w:w="99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0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5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485" w:type="dxa"/>
        <w:jc w:val="left"/>
        <w:tblInd w:w="0" w:type="dxa"/>
        <w:tblLayout w:type="fixed"/>
        <w:tblCellMar>
          <w:top w:w="0" w:type="dxa"/>
          <w:left w:w="0" w:type="dxa"/>
          <w:bottom w:w="0" w:type="dxa"/>
          <w:right w:w="0" w:type="dxa"/>
        </w:tblCellMar>
      </w:tblPr>
      <w:tblGrid>
        <w:gridCol w:w="1865"/>
        <w:gridCol w:w="320"/>
        <w:gridCol w:w="2300"/>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C. Neils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C. Neils</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6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center"/>
        <w:rPr/>
      </w:pPr>
      <w:bookmarkStart w:id="675" w:name="ex32-1.htm"/>
      <w:bookmarkStart w:id="676" w:name="ksex321"/>
      <w:bookmarkEnd w:id="675"/>
      <w:bookmarkEnd w:id="67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w:t>
      </w:r>
      <w:r>
        <w:rPr>
          <w:rFonts w:ascii="Times New Roman;Times;Serif" w:hAnsi="Times New Roman;Times;Serif"/>
          <w:b/>
          <w:i w:val="false"/>
          <w:caps/>
          <w:sz w:val="20"/>
        </w:rPr>
        <w:t xml:space="preserve">of Chief Executive Officer </w:t>
      </w:r>
      <w:r>
        <w:rPr>
          <w:rFonts w:ascii="Times New Roman;Times;Serif" w:hAnsi="Times New Roman;Times;Serif"/>
          <w:b/>
          <w:i w:val="false"/>
          <w:caps w:val="false"/>
          <w:smallCaps w:val="false"/>
          <w:sz w:val="20"/>
        </w:rPr>
        <w:t>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for the quarterly period ended June 30, 2026 of Xtant Medical Holdings, Inc. (the “Company”), as filed with the Securities and Exchange Commission on the date hereof (the “Report”), I, Sean E. Browne, President and Chief Executive Officer of the Company, certify, pursuant to 18 U.S.C. Section 1350, as adopted pursuant to Section 906 of the Sarbanes-Oxley Act of 2002, that, to the best of my knowledge and belief: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105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385"/>
        <w:gridCol w:w="3095"/>
      </w:tblGrid>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Sean E. Browne</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Sean E. Browne</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677" w:name="ex32-2.htm"/>
      <w:bookmarkStart w:id="678" w:name="ksex322"/>
      <w:bookmarkEnd w:id="677"/>
      <w:bookmarkEnd w:id="67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CERTIFICATION </w:t>
      </w:r>
      <w:r>
        <w:rPr>
          <w:rFonts w:ascii="Times New Roman;Times;Serif" w:hAnsi="Times New Roman;Times;Serif"/>
          <w:b/>
          <w:i w:val="false"/>
          <w:caps/>
          <w:sz w:val="20"/>
        </w:rPr>
        <w:t xml:space="preserve">of Chief FINANCIAL Officer </w:t>
      </w:r>
      <w:r>
        <w:rPr>
          <w:rFonts w:ascii="Times New Roman;Times;Serif" w:hAnsi="Times New Roman;Times;Serif"/>
          <w:b/>
          <w:i w:val="false"/>
          <w:caps w:val="false"/>
          <w:smallCaps w:val="false"/>
          <w:sz w:val="20"/>
        </w:rPr>
        <w:t>PURSUANT TO 18 U.S.C. SECTION 1350, 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for the quarterly period ended June 30, 2026 of Xtant Medical Holdings, Inc. (the “Company”), as filed with the Securities and Exchange Commission on the date hereof (the “Report”), I, Scott C. Neils, Chief Financial Officer of the Company, certify, pursuant to 18 U.S.C. Section 1350, as adopted pursuant to Section 906 of the Sarbanes-Oxley Act of 2002, that, to the best of my knowledge and belief: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caps w:val="false"/>
                <w:smallCaps w:val="false"/>
              </w:rPr>
            </w:pPr>
            <w:r>
              <w:rPr>
                <w:caps w:val="false"/>
                <w:smallCaps w:val="false"/>
              </w:rPr>
              <w:t> </w:t>
            </w:r>
          </w:p>
        </w:tc>
        <w:tc>
          <w:tcPr>
            <w:tcW w:w="98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1050"/>
        <w:jc w:val="both"/>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1385"/>
        <w:gridCol w:w="2300"/>
      </w:tblGrid>
      <w:tr>
        <w:trPr/>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11, 2026</w:t>
            </w:r>
          </w:p>
        </w:tc>
        <w:tc>
          <w:tcPr>
            <w:tcW w:w="230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C. Neils</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C. Neils</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385" w:type="dxa"/>
            <w:tcBorders/>
            <w:vAlign w:val="center"/>
          </w:tcPr>
          <w:p>
            <w:pPr>
              <w:pStyle w:val="TableContents"/>
              <w:bidi w:val="0"/>
              <w:spacing w:before="0" w:after="283"/>
              <w:jc w:val="left"/>
              <w:rPr>
                <w:caps w:val="false"/>
                <w:smallCaps w:val="false"/>
              </w:rPr>
            </w:pPr>
            <w:r>
              <w:rPr>
                <w:caps w:val="false"/>
                <w:smallCaps w:val="false"/>
              </w:rPr>
              <w:t> </w:t>
            </w:r>
          </w:p>
        </w:tc>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53593/000164117225018092/ex2-1.htm" TargetMode="External"/><Relationship Id="rId3" Type="http://schemas.openxmlformats.org/officeDocument/2006/relationships/hyperlink" Target="https://www.sec.gov/Archives/edgar/data/1453593/000149315225025963/ex2-3.htm" TargetMode="External"/><Relationship Id="rId4" Type="http://schemas.openxmlformats.org/officeDocument/2006/relationships/hyperlink" Target="https://www.sec.gov/Archives/edgar/data/1453593/000164117225018092/ex2-2.htm" TargetMode="External"/><Relationship Id="rId5" Type="http://schemas.openxmlformats.org/officeDocument/2006/relationships/hyperlink" Target="https://www.sec.gov/Archives/edgar/data/1453593/000149315225025963/ex2-4.htm" TargetMode="External"/><Relationship Id="rId6" Type="http://schemas.openxmlformats.org/officeDocument/2006/relationships/hyperlink" Target="https://www.sec.gov/Archives/edgar/data/1453593/000149315226022604/ex2-5.htm" TargetMode="External"/><Relationship Id="rId7" Type="http://schemas.openxmlformats.org/officeDocument/2006/relationships/hyperlink" Target="https://www.sec.gov/Archives/edgar/data/1453593/000149315223041077/ex3-1.htm" TargetMode="External"/><Relationship Id="rId8" Type="http://schemas.openxmlformats.org/officeDocument/2006/relationships/hyperlink" Target="https://www.sec.gov/Archives/edgar/data/1453593/000149315223018330/ex3-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22757</Words>
  <Characters>125745</Characters>
  <CharactersWithSpaces>150217</CharactersWithSpaces>
  <Paragraphs>6318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