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ind w:left="3820" w:right="1880" w:hanging="3812"/>
        <w:spacing w:after="0" w:line="286" w:lineRule="auto"/>
        <w:tabs>
          <w:tab w:leader="none" w:pos="2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286"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35"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920" w:space="720"/>
            <w:col w:w="360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8, 2026, there were 140,262,960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2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XTANT MEDICAL HOLDINGS, INC.</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40" w:type="dxa"/>
            <w:vAlign w:val="bottom"/>
            <w:gridSpan w:val="5"/>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40" w:type="dxa"/>
            <w:vAlign w:val="bottom"/>
            <w:gridSpan w:val="5"/>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40" w:type="dxa"/>
            <w:vAlign w:val="bottom"/>
            <w:gridSpan w:val="5"/>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600" w:type="dxa"/>
            <w:vAlign w:val="bottom"/>
            <w:tcBorders>
              <w:top w:val="single" w:sz="8" w:color="CCEEFF"/>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CAUTIONARY STATEMENT REGARDING FORWARD-LOOKING STATEMENTS</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53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42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77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EXHIBITS</w:t>
            </w:r>
          </w:p>
        </w:tc>
        <w:tc>
          <w:tcPr>
            <w:tcW w:w="1060" w:type="dxa"/>
            <w:vAlign w:val="bottom"/>
            <w:tcBorders>
              <w:top w:val="single" w:sz="8" w:color="0000EE"/>
            </w:tcBorders>
            <w:gridSpan w:val="2"/>
          </w:tcPr>
          <w:p>
            <w:pPr>
              <w:spacing w:after="0"/>
              <w:rPr>
                <w:sz w:val="15"/>
                <w:szCs w:val="15"/>
                <w:color w:val="auto"/>
              </w:rPr>
            </w:pPr>
          </w:p>
        </w:tc>
        <w:tc>
          <w:tcPr>
            <w:tcW w:w="77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“Cautionary Statement Regarding Forward-Looking Statements.”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report, unless the context indicates another meaning, the terms “we,” “us,” “our,” “Xtant,” “Xtant Medical,” and the “Company” mean Xtant Medical Holdings, Inc. and its wholly owned subsidiaries, all of which are consolidated on Xtant’s condensed consolidated financial statements. All intercompany balances and transactions have been eliminated in consolidation.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We own various unregistered trademarks and service marks, including our corporate logo. Solely for convenience, the trademarks and trade names in this report are referred to without the ® and ™ symbols, but such references should not be construed as any indicator that the owner of such trademarks and trade names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We include our website address throughout this report for reference only. The information contained on or connected to our website is not incorporated by reference into this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the Private Securities Litigation Reform Act of 1995. Our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“possible,” “potential,” “predict,” “project,” “should,” and “would,” as well as similar expressions, may identify forward-looking statements, but the absence of these words does not mean that a statement is not forward looking. Forward-looking statements in this Form 10-Q may include, for example, statements about the topics below and are subject to risks and uncertainties including, without limitation, those described below:</w:t>
      </w:r>
    </w:p>
    <w:p>
      <w:pPr>
        <w:spacing w:after="0" w:line="192"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revenue and improve our gross margins, our operating expenses as a percentage of revenue, and obtain and sustain profitability;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priorities and become operationally self-sustaining by controlling our supply chain and becoming less reliant on production and manufacturing of our products outside of our control, which we believe will allow us to be a larger and more diverse producer of biologics;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success in implementing key growth and process improvement initiatives designed to increase our production capacity, revenue, and scale and risks associated with such growth and process improvement initiatives;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including our recently announced exclusive distribution agreement with Dilon Technologies, Inc. (“Dilon”), the recent sale of certain assets relating to our Coflex and CoFix products and our international hardware business to Companion Spine, LLC (“Companion Spine”), and prior acquisitions;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successfully the HEMOBLAST® Bellows product that we distribute on an exclusive basis and the effect of this arrangement, including our hiring of approximately 20 additional sales personnel in connection therewith and future possible cross-selling opportunities, on our business, operating results and financial condition;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economic and geopolitical conditions, including economic uncertainty and a possible future recession, tariffs, inflation, rising interest rates, and supply chain disruptions on our business, operating results and financial position, which, among other effects, could result in delayed product launches, lost revenue, higher costs, decreased profit margins, and other adverse effects on our business and operating results;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ability to retain and recruit qualified sales personnel, independent sales agents and distributors and motivate and incentivize them to engage with customers and sell our products, including in particular, our dependence on the sales personnel we recently hired in connection with our exclusive distribution agreement with Dilon and key independent agents, which account for a significant portion of our revenue;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personnel, independent sales agents and distributors to achieve expected results, including leveraging our additional sales personnel to sell other Xtant products, and the potential adverse effects on our business and operating results if anticipated sales are not achieved, including the possibility of future inventory impairment, restructuring, and other charges;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introduce, market and license new products and technologies and the success of such new products and technologies, including the HEMOBLAST® Bellows product that recently began distributing on an exclusive basis; our recently launched nanOss Strata™, an advanced synthetic bone graft designed to closely resemble natural bone; CollagenX™, a bovine collagen particulate product for surgical wound closure; OsteoFactor Pro™, an allogenic growth factor solution; and Trivium™, a next-generation demineralized bone matrix;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private label and original equipment manufacturer (“OEM”) business on our business and operating results and risks associated therewith, including fluctuations in our operating results and decreased profit margins, and the possibility that we may become more in the OEM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agreements with group purchasing organizations (“GPOs”) and integrated delivery networks (“IDNs”) and sell products to members of such GPOs and IDNs;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products with our existing product line and successfully transition our customers from legacy to new products and the anticipated adverse effect of these transitions on our organic revenue growth rate;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suppliers and manufacturers, including in particular Dilon and the manufacturing and supply of the HEMOBLAST® Bellows product;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 and product recalls and defects;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in the United States and abroad and the effect of government regulations and our compliance with government regulations;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accredited with the Association for Advancing Tissue and Biologics and continue to obtain a sufficient number of donor cadavers and placentas for our biologics products;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government and third-party coverage and reimbursement for our products and the amount of such reimbursement;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performance, expense management and operating trends, and our estimates of future revenues, expenses, ongoing losses, gross margins, operating leverage, capital requirements and our need for, or ability to obtain, additional financing and the availability of our credit facilities;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and comply with the covenants in our credit agreements and the effect of our significant indebtedness on our business, operating results, financial condition and prospects;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intellectual property and proprietary rights and operate without infringing the intellectual property rights of others;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stock ownership of Nantahala Capital Management, LLC (“Nantahala”) and the impact of potential future sales of our common stock by Nantahala or other investors, or the perception that such sales may occur, on the market price of our common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or assumptions, many of which are beyond our control, which may cause actual results or performance to be materially different from those expressed or implied by these forward-looking statements. These risks and uncertainties include, but are not limited to, those factors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our Annual Report on Form 10-K for the year ended December 31, 2025 and this Form 10-Q, as well as our subsequent Securities and Exchange Commission (“SEC”) filings.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number of shares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17,053</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r>
      <w:tr>
        <w:trPr>
          <w:trHeight w:val="198"/>
        </w:trPr>
        <w:tc>
          <w:tcPr>
            <w:tcW w:w="6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$2,115 and $2,165,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17,179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17,803</w:t>
            </w:r>
          </w:p>
        </w:tc>
        <w:tc>
          <w:tcPr>
            <w:tcW w:w="80" w:type="dxa"/>
            <w:vAlign w:val="bottom"/>
            <w:shd w:val="clear" w:color="auto" w:fill="CCEEFF"/>
          </w:tcPr>
          <w:p>
            <w:pPr>
              <w:spacing w:after="0"/>
              <w:rPr>
                <w:sz w:val="20"/>
                <w:szCs w:val="20"/>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30,263</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receivable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10,462</w:t>
            </w:r>
          </w:p>
        </w:tc>
        <w:tc>
          <w:tcPr>
            <w:tcW w:w="80" w:type="dxa"/>
            <w:vAlign w:val="bottom"/>
            <w:shd w:val="clear" w:color="auto" w:fill="CCEEFF"/>
          </w:tcPr>
          <w:p>
            <w:pPr>
              <w:spacing w:after="0"/>
              <w:rPr>
                <w:sz w:val="18"/>
                <w:szCs w:val="18"/>
                <w:color w:val="auto"/>
              </w:rPr>
            </w:pPr>
          </w:p>
        </w:tc>
      </w:tr>
      <w:tr>
        <w:trPr>
          <w:trHeight w:val="229"/>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9"/>
                <w:szCs w:val="19"/>
                <w:color w:val="auto"/>
              </w:rPr>
            </w:pPr>
          </w:p>
        </w:tc>
      </w:tr>
      <w:tr>
        <w:trPr>
          <w:trHeight w:val="210"/>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r>
      <w:tr>
        <w:trPr>
          <w:trHeight w:val="223"/>
        </w:trPr>
        <w:tc>
          <w:tcPr>
            <w:tcW w:w="680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3,844</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10,626</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10,857</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obligation, less current portion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plus premium and less issuance costs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$0.000001 par value; 10,000,000 shares authorized; no shares issued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$0.000001 par value; 300,000,000 shares authorized; 140,068,260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March 31, 2026 and 140,039,557 shares issued and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306,175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305,439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(257,575)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(254,486)</w:t>
            </w:r>
          </w:p>
        </w:tc>
      </w:tr>
      <w:tr>
        <w:trPr>
          <w:trHeight w:val="209"/>
        </w:trPr>
        <w:tc>
          <w:tcPr>
            <w:tcW w:w="68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20,884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29,284</w:t>
            </w:r>
          </w:p>
        </w:tc>
      </w:tr>
      <w:tr>
        <w:trPr>
          <w:trHeight w:val="22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3,620</w:t>
            </w:r>
          </w:p>
        </w:tc>
      </w:tr>
      <w:tr>
        <w:trPr>
          <w:trHeight w:val="20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12,661</w:t>
            </w:r>
          </w:p>
        </w:tc>
      </w:tr>
      <w:tr>
        <w:trPr>
          <w:trHeight w:val="209"/>
        </w:trPr>
        <w:tc>
          <w:tcPr>
            <w:tcW w:w="6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7,533</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11,204</w:t>
            </w:r>
          </w:p>
        </w:tc>
      </w:tr>
      <w:tr>
        <w:trPr>
          <w:trHeight w:val="230"/>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w:t>
            </w:r>
          </w:p>
        </w:tc>
      </w:tr>
      <w:tr>
        <w:trPr>
          <w:trHeight w:val="209"/>
        </w:trPr>
        <w:tc>
          <w:tcPr>
            <w:tcW w:w="6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1,063</w:t>
            </w:r>
          </w:p>
        </w:tc>
      </w:tr>
      <w:tr>
        <w:trPr>
          <w:trHeight w:val="209"/>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from Operations Before Provision for Income Taxes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6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 Current and Deferred</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the computation: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140,058,787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139,068,831</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140,058,787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143,335,114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ectPr>
          <w:pgSz w:w="11900" w:h="16838" w:orient="portrait"/>
          <w:cols w:equalWidth="0" w:num="1">
            <w:col w:w="11140"/>
          </w:cols>
          <w:pgMar w:left="320" w:top="657" w:right="4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w:t>
      </w:r>
    </w:p>
    <w:p>
      <w:pPr>
        <w:spacing w:after="0" w:line="27" w:lineRule="exact"/>
        <w:rPr>
          <w:sz w:val="20"/>
          <w:szCs w:val="20"/>
          <w:color w:val="auto"/>
        </w:rPr>
      </w:pPr>
    </w:p>
    <w:p>
      <w:pPr>
        <w:ind w:left="180" w:hanging="179"/>
        <w:spacing w:after="0" w:line="250" w:lineRule="auto"/>
        <w:rPr>
          <w:sz w:val="20"/>
          <w:szCs w:val="20"/>
          <w:color w:val="auto"/>
        </w:rPr>
      </w:pPr>
      <w:r>
        <w:rPr>
          <w:rFonts w:ascii="Times New Roman" w:cs="Times New Roman" w:eastAsia="Times New Roman" w:hAnsi="Times New Roman"/>
          <w:sz w:val="18"/>
          <w:szCs w:val="18"/>
          <w:color w:val="auto"/>
        </w:rPr>
        <w:t>Other Comprehensive (Loss) Income Foreign currency translation adjustments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Income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38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-607695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-325120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pacing w:after="0" w:line="23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40" w:space="40"/>
            <w:col w:w="7960"/>
          </w:cols>
          <w:pgMar w:left="320" w:top="657" w:right="4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3780" w:type="dxa"/>
            <w:vAlign w:val="bottom"/>
          </w:tcPr>
          <w:p>
            <w:pPr>
              <w:spacing w:after="0"/>
              <w:rPr>
                <w:sz w:val="21"/>
                <w:szCs w:val="21"/>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378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139,045,664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on settlement of restricted</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44,496</w:t>
            </w:r>
          </w:p>
        </w:tc>
        <w:tc>
          <w:tcPr>
            <w:tcW w:w="44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(7,986)</w:t>
            </w:r>
          </w:p>
        </w:tc>
        <w:tc>
          <w:tcPr>
            <w:tcW w:w="4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139,082,174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(259,401</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140,039,557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305,439</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(254,486)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50,953</w:t>
            </w: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on settlement of restricted</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44,496</w:t>
            </w:r>
          </w:p>
        </w:tc>
        <w:tc>
          <w:tcPr>
            <w:tcW w:w="44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(15,793)</w:t>
            </w:r>
          </w:p>
        </w:tc>
        <w:tc>
          <w:tcPr>
            <w:tcW w:w="4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(3,089)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140,068,260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(257,575</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4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XTANT MEDICAL HOLDINGS, INC.</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40" w:type="dxa"/>
            <w:vAlign w:val="bottom"/>
            <w:gridSpan w:val="3"/>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jc w:val="center"/>
              <w:ind w:left="4390"/>
              <w:spacing w:after="0"/>
              <w:rPr>
                <w:sz w:val="20"/>
                <w:szCs w:val="20"/>
                <w:color w:val="auto"/>
              </w:rPr>
            </w:pPr>
            <w:r>
              <w:rPr>
                <w:rFonts w:ascii="Times New Roman" w:cs="Times New Roman" w:eastAsia="Times New Roman" w:hAnsi="Times New Roman"/>
                <w:sz w:val="18"/>
                <w:szCs w:val="18"/>
                <w:color w:val="auto"/>
                <w:w w:val="99"/>
              </w:rPr>
              <w:t>(Unaudited, in thousands)</w:t>
            </w:r>
          </w:p>
        </w:tc>
        <w:tc>
          <w:tcPr>
            <w:tcW w:w="200" w:type="dxa"/>
            <w:vAlign w:val="bottom"/>
          </w:tcPr>
          <w:p>
            <w:pPr>
              <w:spacing w:after="0"/>
              <w:rPr>
                <w:sz w:val="20"/>
                <w:szCs w:val="20"/>
                <w:color w:val="auto"/>
              </w:rPr>
            </w:pPr>
          </w:p>
        </w:tc>
        <w:tc>
          <w:tcPr>
            <w:tcW w:w="3480" w:type="dxa"/>
            <w:vAlign w:val="bottom"/>
            <w:gridSpan w:val="5"/>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tcBorders>
              <w:bottom w:val="single" w:sz="8" w:color="auto"/>
            </w:tcBorders>
            <w:gridSpan w:val="5"/>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(3,089)</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reserve on accounts receivable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10,368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25,158</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 of taxes from withholding of common stock on settlement of restricted stock</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Reconciliation of cash and cash equivalents and restricted cash reported in the condensed</w:t>
            </w: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12,137</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 reported in condensed consolidated balance sheets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3920" w:firstLine="8"/>
        <w:spacing w:after="0" w:line="503" w:lineRule="auto"/>
        <w:tabs>
          <w:tab w:leader="none" w:pos="2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 Basis of Presentation and Summary of Significant Accounting Policies Business Description and Basis of Presentation</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Xtant Medical Holdings, Inc. (“Xtant”), a Delaware corporation, and its wholly owned subsidiaries, which are jointly referred to herein as “Xtant” or the “Company”. The terms “we,” “us” and “our” also refer to Xtant. All intercompany balances and transactions have been eliminated in consolidation.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Xtant is a global medical technology company focused on the design, development, and commercialization of a comprehensive portfolio of orthobiologics and spinal implant fixation systems to facilitate spinal fusion in complex spine, deformity, and degenerative procedures.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2025, which has been derived from audited financial statements, and the unaudited interim condensed consolidated financial statements have been prepared in accordance with accounting principles generally accepted in the United States of America (“GAAP”). They do not include all disclosures required by generally accepted accounting principles for annual consolidated financial statements, but in the opinion of management include all adjustments, consisting only of normal recurring items, necessary for a fair presentation.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that may be achieved in the future for the full year ending December 31, 2026.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which are included in Xtant’s Annual Report on Form 10-K for the year ended December 31, 2025. The accounting policies set forth in those annual consolidated financial statements are the same as the accounting policies utilized in the preparation of these condensed consolidated financial statements, except as modified for appropriate interim consolidated financial statement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of the Company to make a number of estimates and assumptions relating to the reported amount of assets and liabilities and the disclosure of contingent assets and liabilities at the date of the condensed consolidated financial statements and the reported amounts of revenue and expenses during the period. Significant estimates include the carrying amount of property and equipment; goodwill, intangible assets and liabilities; valuation allowances for trade receivables, inventory, deferred income tax assets and liabilities; current and long-term lease obligations and corresponding right-of-use asset; and estimates for the fair value of long-term debt, stock options and other equity awards upon which the Company determines stock-based compensation expense.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date of three months or less to be cash equivalents. Cash equivalents are recorded at cost, which approximates market value. The Company maintains its cash balances primarily with two financial institutions. These balances generally exceed federally insured limits. The Company has not experienced any losses in such accounts and believes it is not exposed to any significant credit risk in cash and cash equivalents.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classified as restricted cash on the Company’s condensed consolidated balance sheets are restricted as to withdrawal or use under the terms of certain contractual agreements. The March 31, 2026 and December 31, 2025 balances included lockbox deposits that are temporarily restricted due to timing at the period end. The lockbox deposits are applied against the Company’s line of credit the next business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No impairments of long-lived assets were recorded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costs over fair value of assets of businesses acquired. Goodwill and intangible assets acquired in a purchase business combination and determined to have indefinite useful lives are not amortized. Instead, they are tested for impairment at least annually, and whenever events or circumstances indicate, the carrying amount of the asset may not be recoverable. No impairments of goodwill were recorded for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Financial Accounting Standards Board, or FASB, Accounting Standards Codification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requires the recognition of compensation expense, using a fair-value based method, for costs related to all stock-based payments including stock options, restricted stock units, performance stock units, and shares issued under its employee stock purchase plan. ASC 718 requires companies to estimate the fair value of all share-based payment option awards on the date of grant using an option pricing model. The fair value of stock options is recognized over the period during which an optionee is required to provide services in exchange for the option award, known as the requisite service period (usually the vesting period), on a straight-line basis. The Company accounts for option forfeitures as they occur.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for restricted stock units and deferred stock units at their fair value, based on the closing market price of the Company’s common stock on the date of grant. These costs are recognized on a straight-line basis over the requisite service period, which is usually the vesting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for performance stock units with market-based conditions at their fair value on the date of the award using the Monte Carlo simulation model. These costs are recognized over the requisite service period, which is usually the vesting period, regardless of the likelihood of achievement of the market-based performance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ASU 2024-03, Income Statement - Reporting Comprehensive Income - Expense Disaggregation Disclosures (Subtopic 220-40). This ASU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revenues outside the United States in multiple foreign currencies including euros, Swiss francs, British pounds and in U.S. dollar-denominated transactions conducted with customers who generate revenue in currencies other than the U.S. dollar. The Company also incurs operating expenses in euros, Swiss francs and British pounds. All assets and liabilities of foreign subsidiaries which have a functional currency other than the U.S. dollar are translated at the rate of exchange at period-end, while elements of the income statement are translated at the average exchange rates in effect during the period. The net effect of these translation adjustments is shown as a component of accumulated other comprehensive income (loss). Foreign currency transaction gains and losses are reported in unrealized foreign currency translation (loss) gain.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financial instruments, including trade accounts receivable, note receivable, accounts payable, accrued liabilities and long-term debt, approximate their fair values based on terms and related interest rates as of March 31,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of Coflex/CoFix Assets and International Hardware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$17.5 million (subject to a closing inventory valuation adjustment set forth in the Coflex/CoFix Agreement). Of the total purchase price, an aggregate of $7.5 million was previously paid to us in cash as non-refundable deposits during third and fourth quarters of 2025, $1.8 million was paid to us in cash at the closing, and $8.2 million was paid to us as an unsecured promissory note issued by Companion Spine to us the closing (the “Companion Spine Note”). Pursuant to subsequent amendments to the Coflex/CoFix Agreement, the maturity date of the Companion Spine Note was extended to January 31, 2026. The outstanding principal balance of the Companion Spine Note, together with the related accrued interest, totaling $8.5 million, was paid to us on February 27, 2026.</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on December 1, 2025, we completed the sale of all of our shares of equity securities of Paradigm Spine GmbH, one of our then wholly owned subsidiaries engaged in the operation of our hardware business outside of the United States (“Paradigm”), which constituted 100% of the issued and outstanding shares of equity securities of Paradigm (the “Paradigm Divestiture” and together with the Coflex/CoFix Divestiture, the “Divestitures”), to Companion Spine pursuant to an Equity Purchase Agreement dated July 7, 2025 between us, Paradigm and Companion Spine (the “Paradigm Agreement” and together with the Coflex/CoFix Agreement, the “Divestiture Agreements”). The total purchase price of the Paradigm Divestiture was $3.9 million, $1.7 million of which was paid to us in cash at the closing of the Paradigm Divestiture and $2.2 million of which was paid to us on February 27, 2026 in settlement of the net working capital and other purchase price adjustments.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purchase price associated with the two Divestitures was $21.4 million.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Divestitures do not meet the criteria for classification as discontinued operations for accounting purposes. As a result, all historical operating results for the Coflex/CoFix assets and international hardware business are reflected within the consolidated statements of operations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the Company generates a substantial portion of its revenue from independent commissioned sales agents. The Company consigns its orthobiologics products to hospitals and consigns or loans its spinal implant sets to independent sales agents. The spinal implant sets typically contain the instruments, disposables, and spinal implants required to complete a surgery. Consigned sets are managed by the sales agent to service hospitals that are high volume users for multiple procedures.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ships replacement inventory to independent sales agents to replace the consigned inventory used in surgeries. Loaned sets are returned to the Company’s distribution center, replenished, and made available to sales agents for the next surgical procedure.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each surgical procedure, the sales agent reports use of the product by the hospital and, as soon as practicable thereafter, ensures that the hospital provides a purchase order to the Company. Revenue is recognized upon utilization of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sells product directly to domestic and international stocking resellers, original equipment manufacturer resellers and private label resellers. Upon receipt and acceptance of a purchase order from a stocking reseller, the Company ships product and invoices the reseller. The Company recognizes revenue when the control is transferred upon shipment or upon delivery, based on the contract terms and legal requirements, and the transfer of title and risk of loss occurs. There is generally no customer acceptance or other condition that prevents the Company from recognizing revenue in accordance with the delivery terms for these sales transactions. In the normal course of business, the Company accepts returns of product that have not been implanted. Product returns are not material to the Company’s consolidated statements of operations. The Company accounts for shipping and handling activities as a fulfillment cost rather than a separate performance obligation. The Company’s policy is to record revenue net of any applicable sales, use, or excise taxes. Payment terms are generally net 30 days from invoice date and some customers are offered discounts for early payment. The consideration for goods or services reflects any fixed amount stated per the contract and estimates for any variable consideration, such as returns, discounts or rebates, to the extent that it is probable that a significant reversal of cumulative revenue recognized will not occur when the uncertainty associated with the variable consideration is resolved. For certain sales transactions, we incur group purchasing organization fees that are based on a contractual percentage of applicable sales and are treated as consideration payable to a customer and recorded as a reduction of revenue.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At March 31, 2026, $0.1 million was included in revenue for products that had not shipped. Occasionally the Company will receive consideration in advance of transferring products to its customers and records a contract liability. Contract liabilities are recognized as revenue in proportion to when control of the goods is transferred to the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License revenue is recognized when control of the intellectual property (“IP”) rights is transferred to a customer in an amount that reflects the consideration the Company expects to be entitled to in exchange for the licensing of the Company’s IP. Revenue for IP rights is accounted for based on the nature of the promise to grant the license. In determining whether the Company’s promise is to provide a right to access its IP or a right to use its IP, the Company considers the nature of its IP to which the customer will have rights. IP is either functional IP which has significant standalone functionality or symbolic IP which does not have significant standalone functionality. Revenue from functional IP is recognized at the point in time when control of the distinct license is transferred to the customer. Revenue from symbolic IP is recognized over the access period to the Company’s IP.</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sales-based royalties promised in exchange for a license of IP is recognized at the later of when the underlying sale occurs, or the performance obligation to which some or all of the sales based royalty has been allocated is satisfied.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 license agreement which grants an exclusive, nontransferable, non-sublicensable, royalty bearing right to manufacture and commercialize one of our products in the United States. The Company concluded that this agreement represented one performance obligation of transferring the IP rights to manufacture and commercialize the product. This was determined to be functional IP. The transaction price included quarterly royalty payments based on the volume of product sold subject to guaranteed quarterly minimums. Due to policy changes by the Centers for Medicare &amp; Medicaid Services that went into effect on January 1, 2026, no revenue was recognized in connection with the license agreement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with its net revenue derived primarily from the sale of orthobiologics and spinal implant products across North America, Europe, Asia Pacific, and Latin America. Sales are reported net of returns, discounts and rebates.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revenues from these product lines for the three months ended March 31, 2026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4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Orthobiologics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2"/>
              </w:rPr>
              <w:t>18,074</w:t>
            </w:r>
          </w:p>
        </w:tc>
        <w:tc>
          <w:tcPr>
            <w:tcW w:w="3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Spinal implant</w:t>
            </w:r>
          </w:p>
        </w:tc>
        <w:tc>
          <w:tcPr>
            <w:tcW w:w="10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5,275</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6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11,210</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3,620</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3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2"/>
              </w:rPr>
              <w:t>32,904</w:t>
            </w:r>
          </w:p>
        </w:tc>
        <w:tc>
          <w:tcPr>
            <w:tcW w:w="3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Trade Accounts Receivable,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Trade accounts receivable is reduced by an estimated allowance for credit losses based on historical collection experience adjusted for current economic conditions affecting collectability and reasonable and supportable forecasts concerning the future. Actual customer collections could differ from estimates. Account balances are charged to the allowance after all means of collection have been exhausted and the potential for recovery is considered remote. Provisions to the allowance for credit losses are charged to expense. Activity within the allowance for credit losses consist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recoveries against allowance</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w:t>
            </w: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19,775</w:t>
            </w:r>
          </w:p>
        </w:tc>
        <w:tc>
          <w:tcPr>
            <w:tcW w:w="0" w:type="dxa"/>
            <w:vAlign w:val="bottom"/>
          </w:tcPr>
          <w:p>
            <w:pPr>
              <w:spacing w:after="0"/>
              <w:rPr>
                <w:sz w:val="1"/>
                <w:szCs w:val="1"/>
                <w:color w:val="auto"/>
              </w:rPr>
            </w:pPr>
          </w:p>
        </w:tc>
      </w:tr>
      <w:tr>
        <w:trPr>
          <w:trHeight w:val="22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are as follows (in thousands):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Surgical instruments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(22,207)</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including property under finance leases, for the first three months of 2026 and 2025 was $0.5 million and $0.6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intangible assets (in thousands):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1"/>
              </w:rPr>
              <w:t>(752)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1"/>
              </w:rPr>
              <w:t>(728)</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$0.0 million and $0.4 million for the three months ended March 31,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Wages/commissions payable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under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end-of-term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unamortized debt issuance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less issuance costs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11,159</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905</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(249)</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(3,720)</w:t>
      </w:r>
    </w:p>
    <w:p>
      <w:pPr>
        <w:spacing w:after="0" w:line="43"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217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14,000</w:t>
      </w:r>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817</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(291)</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(3,500)</w:t>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60" w:space="720"/>
            <w:col w:w="1980" w:space="260"/>
            <w:col w:w="2020"/>
          </w:cols>
          <w:pgMar w:left="320" w:top="657" w:right="339" w:bottom="1440" w:gutter="0" w:footer="0" w:header="0"/>
          <w:type w:val="continuous"/>
        </w:sectPr>
      </w:pP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scheduled principal payments for our term credit agreement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76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Quarterly Payments</w:t>
            </w:r>
          </w:p>
        </w:tc>
        <w:tc>
          <w:tcPr>
            <w:tcW w:w="36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Annually</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3,720</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bl>
    <w:p>
      <w:pPr>
        <w:spacing w:after="0" w:line="1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effective rate of the term loan under our term credit agreement, inclusive of authorization of debt issuance costs and accretion of the final payment, was 14.79%, and the effective rate of the revolving loan under our revolving credit agreement was 10.28%. As of March 31, 2026, we had $0.4 million outstanding and $11.8 million of availability under our revolving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agreements contain affirmative and negative covenants customarily applicable to senior secured credit facilities, including covenants that, among other things, limit or restrict the ability of certain subsidiaries of the Company, as borrowers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 levels and to maintain a certain minimum liquidity level, in each case as specified in the credit agreements.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 the minimum net revenue amounts.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were in compliance with all applicable covenants under the credit agreements.</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26, 2023, our stockholders approved and adopted the Xtant Medical Holdings, Inc. 2023 Equity Incentive Plan (the “2023 Plan”), which replaced the Xtant Medical Holdings, Inc. 2018 Equity Incentive Plan (as amended and restated, the “2018 Plan”) with respect to future grants of equity awards, although the 2018 Plan continues to govern equity awards granted under the 2018 Plan. The 2023 Plan permits the Board of Directors, or a committee thereof, to grant to eligible employees, non-employee directors, and consultants of the Company non-statutory and incentive stock options, stock appreciation rights, restricted stock awards, restricted stock units, deferred stock units, performance awards, non-employee director awards, and other stock-based awards. The 2023 Plan is administered by the Compensation Committee of the Board of Directors. The Compensation Committee or the Board of Directors may select 2023 Plan participants and determine the nature and amount of awards to be granted. The maximum number of shares of our common stock available for issuance under the 2023 Plan, subject to adjustment pursuant to the terms of the 2023 Plan, as increased by an amendment approved by our stockholders on November 7, 2025, is (i) 17,800,000 shares of common stock; (ii) 7,695,812 shares of common stock remaining available for issuance under the 2018 Plan but not subject to outstanding awards under the 2018 Plan as of July 26, 2023; and (iii) up to 6,686,090 shares of common stock subject to awards outstanding under the 2018 Plan as of July 26, 2023 but only to the extent such awards are subsequently forfeited, cancelled, expire, or otherwise terminate without the issuance of such shares of common stock after such date.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for employees and directors was $0.7 million and $0.8 million for the three months ended March 31, 2026 and 2025, respectively, and was recognized as general and administrative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Stock option activity was as follows for the three months ended March 31, 2026 and 2025:</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6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8"/>
        </w:trPr>
        <w:tc>
          <w:tcPr>
            <w:tcW w:w="46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3,760,472</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1.30</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3,925,403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(53,125)</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(164,432)</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3,707,347</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1.30</w:t>
            </w:r>
          </w:p>
        </w:tc>
        <w:tc>
          <w:tcPr>
            <w:tcW w:w="116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3,760,971</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3,295,444</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2,894,964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$0.4 million of total unrecognized compensation expense related to unvested stock options, which expense is expected to be recognized over a weighted-average period of 1.3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Deferred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 and deferred stock unit activity was as follows for the three months ended March 31, 2026 and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Average Fair</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Value at Grant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Value at Grant</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 Per Share</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Per Share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7,669,138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5,455,472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(44,496)</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0.71</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(114,486)</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0.67</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(34,197)</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7,510,156</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5,376,779</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r>
    </w:tbl>
    <w:p>
      <w:pPr>
        <w:spacing w:after="0" w:line="3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unvested restricted stock units and deferred stock units not yet recognized was $3.3 million as of March 31, 2026, which expense is expected to be allocated to expenses over a weighted-average period of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2024, the Company awarded performance stock units (“PSUs”) under the 2023 Plan to certain executive officers and key employees. The Company has awarded an aggregate of 1,894,985 PSUs, assuming target performance, and each PSU award can be earned and vested at the end of a three-year performance period based on the total stockholder return, or TSR, of the Company’s common stock price relative to a group of peer companies and subject to continued service to the Company. The number of shares of the Company’s common stock to be issued upon vesting and settlement of the PSUs range from 0% to 200% of the target number of shares underlying the award, depending on the Company’s performance against the group of peer companies.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2025, the Company awarded PSUs under the 2023 Plan to certain executive officers and key employees. The Company awarded 1,699,402 PSUs, assuming target performance, and each PSU award can be earned at the end of each of the three one-year performance periods based on stock appreciation goals and subject to continued service to the Company. After each one-year performance period, the amount earned in that period will vest equally over the remaining service periods. The number of shares of the Company’s common stock or deferred stock units to be issued upon vesting and settlement of the PSUs ranges from 0% to 200% of the target number of shares underlying the award, depending on the Company’s performance against the stock appreciation goals set forth in the awards.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Activity for PSU awards granted under the 2023 Plan, assuming target performance, was as follows for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38"/>
        </w:trPr>
        <w:tc>
          <w:tcPr>
            <w:tcW w:w="4280" w:type="dxa"/>
            <w:vAlign w:val="bottom"/>
          </w:tcPr>
          <w:p>
            <w:pPr>
              <w:spacing w:after="0"/>
              <w:rPr>
                <w:sz w:val="20"/>
                <w:szCs w:val="20"/>
                <w:color w:val="auto"/>
              </w:rPr>
            </w:pPr>
          </w:p>
        </w:tc>
        <w:tc>
          <w:tcPr>
            <w:tcW w:w="18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7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3,340,111</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1,640,709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(122,768)</w:t>
            </w:r>
          </w:p>
        </w:tc>
        <w:tc>
          <w:tcPr>
            <w:tcW w:w="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w:t>
            </w:r>
          </w:p>
        </w:tc>
        <w:tc>
          <w:tcPr>
            <w:tcW w:w="1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3,217,343</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1,640,709</w:t>
            </w: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cost related to unvested PSUs not yet recognized was $2.0 million as of March 31, 2026, which is expected to be allocated to expenses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 activity was as follows for the three months ended March 31, 2026 and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38"/>
        </w:trPr>
        <w:tc>
          <w:tcPr>
            <w:tcW w:w="2040" w:type="dxa"/>
            <w:vAlign w:val="bottom"/>
          </w:tcPr>
          <w:p>
            <w:pPr>
              <w:spacing w:after="0"/>
              <w:rPr>
                <w:sz w:val="20"/>
                <w:szCs w:val="20"/>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12,237,470</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1.53</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12,237,470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(7,111,112)</w:t>
            </w:r>
          </w:p>
        </w:tc>
        <w:tc>
          <w:tcPr>
            <w:tcW w:w="15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5,126,358</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0.48</w:t>
            </w:r>
          </w:p>
        </w:tc>
        <w:tc>
          <w:tcPr>
            <w:tcW w:w="156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12,237,470</w:t>
            </w:r>
          </w:p>
        </w:tc>
        <w:tc>
          <w:tcPr>
            <w:tcW w:w="3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5,126,358</w:t>
            </w:r>
          </w:p>
        </w:tc>
        <w:tc>
          <w:tcPr>
            <w:tcW w:w="15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0.48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12,237,470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subject to potential liabilities under government regulations and various claims and legal actions that are pending but we believe are immaterial at this time or may be asserted in the future from time to time.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matters arise in the ordinary course and conduct of our business and may include, for example, commercial, product liability, intellectual property, and employment matters. We intend to continue to defend the Company vigorously in such matters and when warranted, take legal action against others. Furthermore, we regularly assess contingencies to determine the degree of probability and range of possible loss for potential accrual in our financial statements. An estimated loss contingency is accrued in our financial statements if it is probable that a liability has been incurred and the amount of the loss can be reasonably estimated. Based on our assessment, we have adequately accrued an amount for contingent liabilities currently in existence. We do not accrue amounts for liabilities that we do not believe are probable or that we consider immaterial to our overall financial position.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Indemnification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indemnification arrangements generally include limited warranties and certain provisions for indemnifying customers against liabilities if our products or services infringe a third-party’s intellectual property rights. To date, we have not incurred any material costs as a result of such warranties or indemnification provisions and have not accrued any liabilities related to such obligations in the accompanying consolidated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indemnify our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on the Company’s income taxes for the periods reported is as follows: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0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1280" w:type="dxa"/>
            <w:vAlign w:val="bottom"/>
            <w:tcBorders>
              <w:top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128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(3,062)</w:t>
            </w:r>
          </w:p>
        </w:tc>
        <w:tc>
          <w:tcPr>
            <w:tcW w:w="1440" w:type="dxa"/>
            <w:vAlign w:val="bottom"/>
            <w:gridSpan w:val="2"/>
          </w:tcPr>
          <w:p>
            <w:pPr>
              <w:jc w:val="right"/>
              <w:ind w:right="11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2026 differs from the statutory rate due to a valuation allowance against deferred tax assets, offset by the impact of cash state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differs from the statutory rate due to a valuation allowance against deferred tax assets, offset by the impact of cash state and foreign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Company is not currently under examination by tax authorities.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net (loss) income per share is computed by dividing net (loss) income by the weighted average number of shares of common stock outstanding. Shares issued during the period and shares reacquired during the period are weighted for the portion of the period that they were outstanding. Diluted net (loss) income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 Diluted net (loss) income per share was the same as basic net (loss) income per share for the three months ended March 31, 2025, as shares issuable upon the exercise of stock options and warrants were anti-dilutive as a result of the net loss incurred for the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(loss) earnings per share (in thousands,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average shares outstanding</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140,058,787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139,068,831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restricted stock units and deferred stock units</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4,266,283</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average shares outstanding</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140,058,787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143,335,114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an aggregate of 19,261,204 and 16,068,993 shares underlying outstanding stock options, restricted stock units, deferred stock units, performance stock units and warrants were excluded for the diluted (loss) earnings per share calculation as they were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ind w:left="660" w:right="5900" w:hanging="652"/>
        <w:spacing w:after="0" w:line="508" w:lineRule="auto"/>
        <w:tabs>
          <w:tab w:leader="none" w:pos="35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Disclosure of Cash Flow Information </w:t>
      </w:r>
      <w:r>
        <w:rPr>
          <w:rFonts w:ascii="Times New Roman" w:cs="Times New Roman" w:eastAsia="Times New Roman" w:hAnsi="Times New Roman"/>
          <w:sz w:val="18"/>
          <w:szCs w:val="18"/>
          <w:color w:val="auto"/>
        </w:rPr>
        <w:t>Supplemental cash flow information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68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paid during the period for:</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based upon the Company’s organization structure and the way in which the operations and investments are managed and evaluated by the chief operating decision maker (“CODM”), who is the Company’s Chief Executive Officer. The CODM uses consolidated net (loss) income as the primary measure of segment profit or loss to monitor performance and allocate resources.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 The CODM does not review segment assets at a level other than that presented in the Company’s consolidated balance sheets.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the calculation of consolidated net (loss) income, which is the performance measure that is most consistent with GAAP, and the significant operating expenses included in this performance measure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cost of sales</w:t>
            </w:r>
          </w:p>
        </w:tc>
        <w:tc>
          <w:tcPr>
            <w:tcW w:w="2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12,661</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2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Approximately 100% and 92% of revenue was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for the three months ended March 31, 2026 and 2025, respectively. Total revenue by major geographic area is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w:t>
            </w:r>
          </w:p>
        </w:tc>
      </w:tr>
      <w:tr>
        <w:trPr>
          <w:trHeight w:val="223"/>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9"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color w:val="auto"/>
        </w:rPr>
        <w:t>On April 13, 2026, we announced that we entered into a Distribution Agreement (the “Distribution Agreement”) with Dilon Technologies, Inc. (“Dilon”) pursuant to which we obtained the exclusive rights to import, market, distribute and sell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 the United States.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is an FDA-approved powder-based, topical, surgical hemostatic agent used to control bleeding during surgical procedures. In connection therewith, we hired approximately 20 Dilon sales personnel to assist in the sale of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the United States. Under the terms of the Distribution Agreement, Dilon will continue to manufacture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from its current manufacturing location in France and will supply and sell it to us at a specified transfer price as provided in the Distribution Agreement, which price is subject to change under the terms of the Distribution Agreement. The Distribution Agreement does not contain any minimum purchase requirements. Under the terms of the Distribution Agreement, we paid Dilon a $5.0 million exclusivity fee, which fee is subject to repayment by Dilon under certain circumstances, including upon a termination of the Distribution Agreement, which agreement can be terminated by either party upon certain specified events.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our financial condition and results of operations. The following discussion should be read in conjunction with our condensed consolidated financial statements and accompanying notes included in this Quarterly Report on Form 10-Q and the audited consolidated financial statements and accompanying notes thereto and Management’s Discussion and Analysis of Financial Condition and Results of Operations included in our Annual Report on Form 10-K for the fiscal year ended December 31, 2025.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above in “Cautionary Statement Regarding Forward-Looking Statements” and elsewhere in this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develop, manufacture and market regenerative medicine products and medical devices for domestic and international markets. Our products serve the specialized needs of orthopedic and neurological surgeons, as well as trauma, foot and ankle, sports medicine, wound care surgeons including orthobiologics for the promotion of bone healing, amniotic tissue and collagen for both surgical repair and chronic wound care, implants and instrumentation for the treatment of spinal disease. We promote our products primarily in the United States through a direct sales force, independent distributors and stocking agents.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an extensive sales channel of direct and independent commissioned agents and stocking distributors in the United States representing some or all of our products. We also maintain a national accounts program to enable our agents to gain access to integrated delivery network hospitals and through group purchasing organizations.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investments in the expansion of our commercial team to support our new products and maximize the reach of our broad portfolio of orthobiologics solutions. We also recently hired approximately 20 sales personnel in connection with our exclusive distribution arrangement with Dilon Technologies, Inc. (“Dilon”).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December 1, 2025, we completed the sale of certain non-core assets relating to our Coflex and CoFix products and our international hardware business to Companion Spine, LLC (“Companion Spine”) for an aggregate purchase price of $21.4 million. Of the $10.7 million purchase price received during the first quarter of 2026, $2.8 million was used to repay a portion of our term debt. To assist in the transition of this business to Companion Spine, we agreed to certain transition services to Companion Spine for a limited period of time. In 2025, we recognized $20.3 million in revenue from sales of our Coflex and CoFix products and international hardware products which we sold to Companion Spine. The loss of this revenue will adversely affect our 2026 revenue.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as previously disclosed, we recognized $18.7 million in license revenue in 2025 that we indicated likely will not repeat in 2026 due primarily to changes in the reimbursement environment for our SimpliMax™ product effective January 1, 2026 and will adversely affect a portion of our product revenue in 2026. During first quarter of 2026, as anticipated, our revenue was adversely affected by such changes, including a decrease in license revenue of $3.6 million and a decrease in product revenue, primarily related to skin substitute products, of $2.0 million. The loss of this license and product revenue will continue to have an adverse impact on our revenues and other operating results, including in particular, our gross margins, during the remainder of 2026 as compared to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color w:val="auto"/>
        </w:rPr>
        <w:t>On April 13, 2026, we announced that we entered into a Distribution Agreement (the “Distribution Agreement”) with Dilon Technologies, Inc. pursuant to which we obtained the exclusive rights to import, market, distribute and sell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 the United States.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is an FDA-approved powder-based, topical, surgical hemostatic agent used to control bleeding during surgical procedures. In connection therewith, we hired approximately 20 Dilon sales personnel to assist in the sale of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 the</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United States. Under the terms of the Distribution Agreement, Dilon will continue to manufacture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from its current manufacturing location in France and will supply and sell it to us at a specified transfer price as provided in the Distribution Agreement, which price is subject to change under the terms of the Distribution Agreement. The Distribution Agreement does not contain any minimum purchase requirements. Under the terms of the Distribution Agreement, we paid Dilon a $5.0 million exclusivity fee, which fee is subject to repayment by Dilon under certain circumstances, including upon a termination of the Distribution Agreement, which agreement can be terminated by either party upon certain specified events.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March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revenue for the three months ended March 31, 2026 decreased 37% to $20.9 million compared to $32.9 million in the same period in 2025. The decrease is attributed primarily to the divestiture of Coflex/CoFix assets and the international hardware business of $5.4 million and the reduction of license revenue of $3.6 million. The remaining decrease related primarily to a decrease in revenue received from the sale of skin substitute products adversely affected by changes in the reimbursement environment effective January 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sales consists primarily of manufacturing cost, product purchase costs, and depreciation of surgical instruments. Cost of sales also includes reserves for estimated excess inventory and inventory on consignment that may be missing and not returned. Cost of sales decreased by 30%, or $3.8 million, to $8.9 million for the three months ended March 31, 2026 from $12.7 million for the prior year period. The decrease in cost of sales is primarily due to lower revenue in the current year period compared to the prior year period,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as a percentage of revenue decreased to 57.3% for the three months ended March 31, 2026 compared to 61.5% for the same period in 2025. Of this decrease, 490 basis points were due to reduction in scale and change in sales mix with 470 basis points related to the reduction in license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corporate employees, cash-based and stock-based compensation related costs, amortization, and corporate expenses for legal, accounting and other professional fees, as well as occupancy costs. General and administrative expenses decreased 17%, or $1.3 million, to $6.3 million for the three months ended March 31, 2026, compared to $7.5 million for the prior year period. Of this decrease, $1.6 million is due to the sale of certain assets relating to our Coflex and CoFix products and international hardware business to Companion Spine, partially offset by $0.2 million in additional accounting and consulting fees incurred during the current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primarily of sales commissions; personnel costs for sales and marketing employees; costs for trade shows, sales conventions and meetings; travel expenses; advertising; and other sales and marketing related costs. Sales and marketing expenses decreased 27%, or $3.0 million, to $8.2 million for the three months ended March 31, 2026, compared to $11.2 million for the prior year period. Of this decrease, $2.5 million is due to the sale of certain assets relating to our Coflex and CoFix products and international hardware business to Companion Spine. The remaining decrease is primarily due to a $0.4 million decrease in independent agent commissions expense resulting from the decline in revenue and a $0.6 million decrease in professional fees during the current year period. The decrease was partially offset by a $0.2 million increase in compensation expense related to increased headcount. We expect our sales and marketing expenses to increase in future periods due to our exclusive distribution agreement with Dilon and our recent hiring of approximately 20 sales personnel in connection therewith to assist in the sale of the HEMOBLAST® Bellows product in the United States.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internal costs for the development of new technologies. Research and development expenses were $0.4 million for each of the three months ended March 31, 2026 and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decreased $0.4 million to $0.6 million for the three months ended March 31, 2026, compared to $1.0 million for the same period in 2025. This decrease resulted primarily from reduced borrowings under our revolving line of credit, as well as prepayments totaling $10.8 million on our term loan. Based on our current outstanding borrowings, we expect that our annualized interest expense will increase approximately $0.1 million for every 25 basis points of increase to the reference rate associated with our credit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recognized $0.2 million of interest income for the three months ended March 31, 2026 related to the promissory note that we received from Companion Spine in connection with the sale of assets related to our Coflex and CoFix products to Companion Spine. While we do not expect to receive any additional interest income from this promissory note since it was repaid by Companion Spine in February 2026, we do expect to receive nominal interest income from our invested cash and cash equivalents.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$0.2 million of other income for the three months ended March 31, 2026 primarily related to certain transition services provided to Companion Spine. We expect such other income to continue for approximately three months through the remaining term of the transition services agreement with Companion Spine.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operating cash flows, private placements of equity securities and convertible debt, debt facilities, common stock rights offerings, and other debt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working capital as of March 31, 2026 and December 31,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17,179</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31,881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10,462</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62,621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78,245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5,485</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8,475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10,857</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18,773</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29,484</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working capital</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43,848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48,761</w:t>
            </w:r>
          </w:p>
        </w:tc>
      </w:tr>
      <w:tr>
        <w:trPr>
          <w:trHeight w:val="432"/>
        </w:trPr>
        <w:tc>
          <w:tcPr>
            <w:tcW w:w="4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working capital decreased by $4.9 million as of March 31, 2026 as compared to December 31, 2025, we used cash received from the Companion Spine transaction to repay some of our long-term debt, resulting in our long-term debt, less the current portion and plus premium and less issuance costs, being $8.1 million as of March 31, 2026, compared to $11.0 million as of December 31,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the end of first quarter of 2026, we used $5.0 million of our cash and cash equivalents to pay the $5.0 million exclusivity fee to Dilon under the terms of the Distribution Agreement, which fee is subject to repayment by Dilon under certain circumstances, including upon a termination of the Distribution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first three months of 2026 was $2.1 million compared to net cash provided by operating activities of $1.3 million for the first three months of 2025. This change relates primarily to the net loss in the first three months of 2026 compared to net income in the comparable prior year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first three months of 2026 was $10.2 million compared to net cash used in investing activities of $1.1 million for the first three months of 2025. This change relates primarily to the proceeds received from the sale of certain assets relating to our Coflex and CoFix products and international hardware business to Companion Spine.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first three months of 2026 was $13.3 million compared to net cash used in financing activities of $0.9 million for the first three months of 2025. This change relates primarily to $9.6 million of reduced borrowings, net of repayments, under our revolving line of credit during the current year period compared to the prior year period and a $2.8 million payment on long-term debt from the proceeds from the sale of certain assets relating to our Coflex and CoFix products and international hardware business to Companion Spine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Xtant, as guarantor, and certain of our subsidiaries, as borrowers (collectively, the “Borrowers”), are parties to a term loan credit agreement (the “Term Credit Agreement”) and revolving loan credit agreement (the “Revolving Credit Agreement” and together with the Term Loan Credit Agreement, the “Loan Agreements”) with MidCap Financial Trust and MidCap Funding IV Trust, respectively and each in its respective capacity as agent, and lenders from time to time party thereto. As of March 31, 2026, $11.2 million was outstanding under the term loan facility under the Term Credit Agreement (the “Term Facility”), reduced from $17.0 million as of December 31, 2025. This reduction was due to the final purchase price payment of $2.8 million by Companion Spine to us during the current year period in connection with the sale of certain assets relating to our Coflex and CoFix products and international hardware business to Companion Spine.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Revolving Credit Agreement provides for a secured revolving credit facility (the “Revolving Facility,” and, together with the secured term credit facility under the Term Credit Agreement, the “Facilities”) under which the Borrowers may borrow up to $17.0 million at any one time, the availability of which is determined based on a borrowing base equal to percentages of certain accounts receivable and inventory of the Borrowers in accordance with a formula set forth in the Revolving Credit Agreement. All borrowings under the Revolving Facility are subject to the satisfaction of customary conditions, including the absence of default, the accuracy of representations and warranties in all material respects, and the delivery of an updated borrowing base certificate.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Facilities have a maturity date of March 1, 2029. Each of the Borrowers, and Xtant, as guarantor, are jointly and severally liable for all of the obligations under the Facilities on the terms set forth in the Credit Agreements. The Borrowers’ obligations, and Xtant’s obligations as a guarantor, under the Credit Agreements are secured by first-priority liens on substantially all of their assets, including, without limitation, all inventory, equipment, accounts, intellectual property and other assets of Xtant and the Borrowers. As of March 31, 2026, we had $0.4 million outstanding and $11.8 million of availability under the Revolving Credit Facility.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loans and other obligations pursuant to the Credit Agreements bear interest at a per annum rate equal to the sum of the SOFR Interest Rate, as such term is defined in the Credit Agreements, plus the applicable margin of 6.50% in the case of the Term Credit Agreement, and an applicable margin of 4.50% in the case of the Revolving Credit Agreement, subject in each case to a floor of 2.50%. As of March 31, 2026, the effective rate of the Term Credit Agreement, inclusive of authorization of debt issuance costs and accretion of the final payment, was 14.80%, and the effective rate of the Revolving Credit Agreement was 8.49%.</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Agreements contain affirmative and negative covenants customarily applicable to senior secured credit facilities, including covenants that, among other things, limit or restrict the ability of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undergo a change in control and change the nature of their businesses. In addition, the Credit Agreements require us to maintain net product revenue at or above certain minimum levels and to maintain a certain minimum liquidity level, in each case as specified in the Credit Agreements. On March 26, 2026, we entered into Amendment No. 4 to Amended and Restated Credit, Security and Guaranty Agreement (Term Loan) with MidCap Financial Trust and Amendment No. 4 to Amended and Restated Credit, Security and Guaranty Agreement (Revolving Loan) with MidCap Funding IV Trust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our orthobiologics products and correspondingly adjusted the minimum net revenue amounts. As of March 31, 2026, we were in compliance with all covenants under the Credit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$12.2 million of cash and cash equivalents as of March 31, 2026, together with our anticipated operating cash flows and amounts available under the Facilities, will be sufficient to meet our anticipated cash requirements through at least May 2027. However, we may require or seek additional capital to fund our future operations and business strategy prior to May 2027. Accordingly, there is no assurance that we will not need or seek additional financing prior to such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elect to raise additional financing even before we need it if market conditions for raising additional capital are favorable. We may seek to raise additional financing through various sources, such as equity and debt financings, debt restructurings or refinancings or through strategic transactions, dispositions, collaborations or license agreements.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or our business, financial performance or prospects deteriorate.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or the restructuring or refinancing of our debt, the interests of our current stockholders may be diluted, and the terms may include discounted equity purchase prices, warrant coverage, liquidation or other preferences or rights that would adversely affect the rights of our current stockholders. If we issue common stock, we may do so at purchase prices that represent a discount to our trading price and/or we may issue warrants to the purchasers, which could further dilute our current stockholders. If we issue preferred stock, it could adversely affect the rights of our stockholders or reduce the value of our common stock. In particular, specific rights or preferences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may be required to obtain the consent of MidCap Financial Trust and MidCap Funding IV Trust under our Credit Agreements, and no assurance can be provided that they would provide such consent, which could limit our ability to raise additional financing and the terms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financial statements, which have been prepared in accordance with U.S. GAAP. There have been no changes in our critical accounting estimates for the three months ended March 31, 2026 as compared to the critical accounting estimates described in our Annual Report on Form 10-K for the fiscal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13a-15(e) under the Securities Exchange Act of 1934, as amended (the “Exchange Act”)) as of March 31, 2026. Based upon that evaluation, and as a result of the material weakness in our internal control over financial reporting discussed below, our principal executive officer and principal financial officer concluded that as of March 31, 2026, our disclosure controls and procedures were not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 in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described in our Annual Report on Form 10-K for the fiscal year ended December 31, 2025, in connection with the audit of our consolidated financial statements for the fiscal year ended December 31, 2025, we identified certain control deficiencies in the design and implementation of our internal control over financial reporting, which constituted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 specifically, our controls surrounding our evaluation of inventory net realizable value were insufficient and did not operate at an appropriate level of precision. Our review and evaluation of inventory failed to identify specific items not assessed for net realizable value under our existing control, which constitutes a material weakness as of December 31, 2025. This material weakness, if not remediated, could result in a material misstatement of one or more disclosures in our annual or interim consolidated financial statements that would not be prevented or detected in a timely manner.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oversight of the Audit Committee of the Board of Directors, is continuing to implement measures designed to improve our internal control over financial reporting to remediate the identified material weakness. The remediation actions we are taking, and expect to take, include evaluating inventory balances outside of the scope of our current process for estimating net realizable value to determine if there are other inventory items that need to be assessed for a specific reserve.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management continues to evaluate and work to remediate the material weakness, we may determine to take additional measures to address the material weakness. However, we cannot provide assurance that the measures we have taken to date, or that we may take in the future, will be sufficient to remediate the material weakness or avoid potential future material weaknesses.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steps described above, 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Our legal proceedings are discussed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condensed consolidated financial statements in this Form 10-Q.</w:t>
      </w:r>
    </w:p>
    <w:p>
      <w:pPr>
        <w:spacing w:after="0" w:line="1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as a smaller reporting company, we are not required to provide the information required by this Item 1A, we hereby disclose the following new risk factor:</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recently entered into a distribution agreement with Dilon Technologies, Inc. and hired approximately 20 sales personnel in connection therewith, which will result in increased sales and marketing costs and involves other risks, which could adversely affect our business, operating results, and financial condition.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13, 2026, we announced that we entered into a distribution agreement with Dilon Technologies, Inc. pursuant to which we obtained the exclusive rights to import, market, distribute and sell the HEMOBLAST® Bellows product in the United States and Dilon agreed to transition its existing U.S. customer base for the product to us. In connection with the agreement, we hired approximately 20 Dilon sales personnel to assist in the sale of the HEMOBLAST® Bellows product in the United States. While the agreement expands our portfolio with a unique and versatile hemostatic solution while also bolstering our own commercial capabilities with the integration of Dilon’s approximately 20-person U.S. sales team into our organization, no assurance can be provided that we will be successful in selling the HEMOBLAST® Bellows product or successfully integrating it with our portfolio. In addition, while we believe we will be able to leverage new cross-selling opportunities between the HEMOBLAST® Bellows product and our existing products, no assurance can be provided that we will be effective in doing so or otherwise realize the benefits that we anticipate receiving as a result of this new arrangement and the addition of these new sales personnel. We expect our sales and marketing expenses to increase substantially compared to prior periods beginning in our second quarter of 2026. While we anticipate that the additional revenue from the sale of the HEMOBLAST® Bellows product will offset these additional expenses, no assurance can be provided that it will or that the transition to us of Dilon’s existing U.S. customer base for the product will be successful.</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Dilon will continue to manufacture the HEMOBLAST® Bellows product from its current manufacturing location in France and will supply and sell it to us at a specified transfer price as provided in the agreement, which price is subject to change in certain circumstances. We, therefore, rely on Dilon, as the sole manufacturer, to produce the product for us and in sufficient quantities and at an appropriate transfer price. This arrangement involves risk since we do not control the manufacturing process and Dilon will remain responsible for all manufacturing decisions, as well as compliance with all applicable rules and regulations in connection therewith. In addition, since the product is manufactured in France, we are also subject to risks associated with international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paid Dilon a $5.0 million exclusivity fee upon execution of the agreement, which fee is subject to repayment by Dilon under certain circumstances, including upon a termination of the agreement. Since the agreement can be terminated by either party upon certain specified events, no assurance can be provided that the agreement will not be terminated, which would result in our loss of the U.S. distribution rights for the product and possibly not being repaid the $5.0 million exclusivity fee we paid Dilon. In addition, if the agreement terminates, we would need to reassign or terminate the additional sales personnel that we hired to sell the product.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 “Rule 10b5-1 trading arrangement” or “non-Rule 10b5-1 trading arrangement,” as each term is defined in Item 408 of SEC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60"/>
        <w:spacing w:after="0"/>
        <w:tabs>
          <w:tab w:leader="none" w:pos="57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jc w:val="both"/>
        <w:ind w:left="1100" w:hanging="764"/>
        <w:spacing w:after="0" w:line="263"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48">
        <w:r>
          <w:rPr>
            <w:rFonts w:ascii="Times New Roman" w:cs="Times New Roman" w:eastAsia="Times New Roman" w:hAnsi="Times New Roman"/>
            <w:sz w:val="18"/>
            <w:szCs w:val="18"/>
            <w:u w:val="single" w:color="auto"/>
            <w:color w:val="0000EE"/>
          </w:rPr>
          <w:t>Asset Purchase Agreement, dated July 7, 2025, among Xtant Medical Holdings, Inc., Surgalign SPV, Inc., and Companion Spine, LLC, or</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its Affiliate designee (filed as Exhibit 2.1 to the Registrant’s Current Report on Form 8-K filed with the SEC on July 8, 2025 (SEC File No.</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001-34951) and incorporated by reference herein)</w:t>
        </w:r>
      </w:hyperlink>
    </w:p>
    <w:p>
      <w:pPr>
        <w:spacing w:after="0" w:line="179" w:lineRule="exact"/>
        <w:rPr>
          <w:rFonts w:ascii="Times New Roman" w:cs="Times New Roman" w:eastAsia="Times New Roman" w:hAnsi="Times New Roman"/>
          <w:sz w:val="18"/>
          <w:szCs w:val="18"/>
          <w:u w:val="single" w:color="auto"/>
          <w:color w:val="0000EE"/>
        </w:rPr>
      </w:pPr>
    </w:p>
    <w:p>
      <w:pPr>
        <w:jc w:val="both"/>
        <w:ind w:left="1100" w:hanging="764"/>
        <w:spacing w:after="0" w:line="266"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49">
        <w:r>
          <w:rPr>
            <w:rFonts w:ascii="Times New Roman" w:cs="Times New Roman" w:eastAsia="Times New Roman" w:hAnsi="Times New Roman"/>
            <w:sz w:val="18"/>
            <w:szCs w:val="18"/>
            <w:u w:val="single" w:color="auto"/>
            <w:color w:val="0000EE"/>
          </w:rPr>
          <w:t>Amendment to Asset Purchase Agreement, dated as November 30, 2025, between Xtant Medical Holdings, Inc., Surgalign SPV, Inc., and</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Companion Spine, LLC or its Affiliate designee (filed as Exhibit 2.3 to the Registrant’s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December 3, 2025 (SEC File No. 001-34951) and incorporated by reference herein)</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00" w:hanging="764"/>
        <w:spacing w:after="0" w:line="266"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50">
        <w:r>
          <w:rPr>
            <w:rFonts w:ascii="Times New Roman" w:cs="Times New Roman" w:eastAsia="Times New Roman" w:hAnsi="Times New Roman"/>
            <w:sz w:val="18"/>
            <w:szCs w:val="18"/>
            <w:u w:val="single" w:color="auto"/>
            <w:color w:val="0000EE"/>
          </w:rPr>
          <w:t>Equity Purchase Agreement, dated July 7, 2025, among Xtant Medical Holdings, Inc., Paradigm Spine GmbH, and Companion Spine, LLC</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(filed as Exhibit 2.2 to the Registrant’s Current Report on Form 8-K filed with the SEC on July 8, 2025 (SEC File No. 001-34951) and</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incorporated by reference herein)</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00" w:hanging="719"/>
        <w:spacing w:after="0" w:line="266"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w:t>
      </w:r>
      <w:r>
        <w:rPr>
          <w:sz w:val="20"/>
          <w:szCs w:val="20"/>
          <w:color w:val="auto"/>
        </w:rPr>
        <w:tab/>
      </w:r>
      <w:hyperlink r:id="rId51">
        <w:r>
          <w:rPr>
            <w:rFonts w:ascii="Times New Roman" w:cs="Times New Roman" w:eastAsia="Times New Roman" w:hAnsi="Times New Roman"/>
            <w:sz w:val="18"/>
            <w:szCs w:val="18"/>
            <w:u w:val="single" w:color="auto"/>
            <w:color w:val="0000EE"/>
          </w:rPr>
          <w:t>Amendment to and Assignment of Equity Purchase Agreement, dated November 30, 2025, among Xtant Medical Holdings, Inc., Paradigm</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Spine GmbH, Companion Spine, LLC and Companion Spine France SAS (filed as Exhibit 2.4 to the Registrant’s Current Report on Form 8-</w:t>
        </w:r>
      </w:hyperlink>
      <w:hyperlink r:id="rId51">
        <w:r>
          <w:rPr>
            <w:rFonts w:ascii="Times New Roman" w:cs="Times New Roman" w:eastAsia="Times New Roman" w:hAnsi="Times New Roman"/>
            <w:sz w:val="18"/>
            <w:szCs w:val="18"/>
            <w:u w:val="single" w:color="auto"/>
            <w:color w:val="0000EE"/>
          </w:rPr>
          <w:t>K filed with the SEC on December 3, 2025 (SEC File No. 001-34951) and incorporated by reference herein)</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0000EE"/>
        </w:rPr>
        <w:t>Second Amendment to Equity Purchase Agreement, dated January 14, 2026, between Xtant Medical Holdings, Inc. and Companion Spine France SAS (filed herewith)</w:t>
      </w:r>
    </w:p>
    <w:p>
      <w:pPr>
        <w:spacing w:after="0" w:line="162" w:lineRule="exact"/>
        <w:rPr>
          <w:rFonts w:ascii="Times New Roman" w:cs="Times New Roman" w:eastAsia="Times New Roman" w:hAnsi="Times New Roman"/>
          <w:sz w:val="18"/>
          <w:szCs w:val="18"/>
          <w:u w:val="single" w:color="auto"/>
          <w:color w:val="0000EE"/>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2">
        <w:r>
          <w:rPr>
            <w:rFonts w:ascii="Times New Roman" w:cs="Times New Roman" w:eastAsia="Times New Roman" w:hAnsi="Times New Roman"/>
            <w:sz w:val="18"/>
            <w:szCs w:val="18"/>
            <w:u w:val="single" w:color="auto"/>
            <w:color w:val="0000EE"/>
          </w:rPr>
          <w:t>Restated Certificate of Incorporation of Xtant Medical Holdings, Inc. (filed as Exhibit 3.1 to the Registrant’s Quarterly Report on Form 10-</w:t>
        </w:r>
      </w:hyperlink>
      <w:hyperlink r:id="rId52">
        <w:r>
          <w:rPr>
            <w:rFonts w:ascii="Times New Roman" w:cs="Times New Roman" w:eastAsia="Times New Roman" w:hAnsi="Times New Roman"/>
            <w:sz w:val="18"/>
            <w:szCs w:val="18"/>
            <w:u w:val="single" w:color="auto"/>
            <w:color w:val="0000EE"/>
          </w:rPr>
          <w:t>Q for the quarterly period ended September 30, 2023 (SEC File No. 001-34951) and incorporated by reference herein).</w:t>
        </w:r>
      </w:hyperlink>
    </w:p>
    <w:p>
      <w:pPr>
        <w:spacing w:after="0" w:line="162" w:lineRule="exact"/>
        <w:rPr>
          <w:sz w:val="20"/>
          <w:szCs w:val="20"/>
          <w:color w:val="auto"/>
        </w:rPr>
      </w:pPr>
    </w:p>
    <w:p>
      <w:pPr>
        <w:jc w:val="both"/>
        <w:ind w:left="1100" w:hanging="719"/>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53">
        <w:r>
          <w:rPr>
            <w:rFonts w:ascii="Times New Roman" w:cs="Times New Roman" w:eastAsia="Times New Roman" w:hAnsi="Times New Roman"/>
            <w:sz w:val="18"/>
            <w:szCs w:val="18"/>
            <w:u w:val="single" w:color="auto"/>
            <w:color w:val="0000EE"/>
          </w:rPr>
          <w:t>Third Amended and Restated Bylaws of Xtant Medical Holdings, Inc. (Effective as of June 1, 2023) (filed as Exhibit 3.1 to the Registrant’s</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Current Report on Form 8-K filed with the SEC on May 19, 2023 (SEC File No. 001-34951) and incorporated by reference herein).</w:t>
        </w:r>
      </w:hyperlink>
    </w:p>
    <w:p>
      <w:pPr>
        <w:spacing w:after="0" w:line="162" w:lineRule="exact"/>
        <w:rPr>
          <w:sz w:val="20"/>
          <w:szCs w:val="20"/>
          <w:color w:val="auto"/>
        </w:rPr>
      </w:pPr>
    </w:p>
    <w:p>
      <w:pPr>
        <w:jc w:val="both"/>
        <w:ind w:left="1100" w:hanging="764"/>
        <w:spacing w:after="0" w:line="258"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4">
        <w:r>
          <w:rPr>
            <w:rFonts w:ascii="Times New Roman" w:cs="Times New Roman" w:eastAsia="Times New Roman" w:hAnsi="Times New Roman"/>
            <w:sz w:val="18"/>
            <w:szCs w:val="18"/>
            <w:u w:val="single" w:color="auto"/>
            <w:color w:val="0000EE"/>
          </w:rPr>
          <w:t>Amendment No. 4 to Amended and Restated Credit, Security and Guaranty Agreement (Term Loan), dated as of March 26, 2026, among</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Xtant Medical, Inc., Bacterin International, Inc., X-spine Systems, Inc., Surgalign SPV, Inc., and any additional borrower that hereafter</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becomes party thereto, Xtant Medical Holdings, Inc., as a guarantor, MidCap Financial Trust, as agent, and the other financial institutions or</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other entities from time to time parties thereto (filed as Exhibit 10.42 to the Registrant’s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December 31, 2025 (SEC File No. 001-34951) and incorporated by reference herein)</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100" w:hanging="764"/>
        <w:spacing w:after="0" w:line="258"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5">
        <w:r>
          <w:rPr>
            <w:rFonts w:ascii="Times New Roman" w:cs="Times New Roman" w:eastAsia="Times New Roman" w:hAnsi="Times New Roman"/>
            <w:sz w:val="18"/>
            <w:szCs w:val="18"/>
            <w:u w:val="single" w:color="auto"/>
            <w:color w:val="0000EE"/>
          </w:rPr>
          <w:t>Amendment No. 4 to Amended and Restated Credit, Security and Guaranty Agreement (Revolving Loan), dated as of March 26, 2026,</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among Xtant Medical, Inc., Bacterin International, Inc., X-spine Systems, Inc., Surgalign SPV, Inc., and any additional borrower that</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hereafter becomes party thereto, Xtant Medical Holdings, Inc., as a guarantor, MidCap Funding IV Trust, as agent, and the other financial</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institutions or other entities from time to time parties thereto (filed as Exhibit 10.43 to the Registrant’s Annual Report on Form 10-K for the</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year ended December 31, 2025 (SEC File No. 001-34951) and incorporated by reference herein)</w:t>
        </w:r>
      </w:hyperlink>
    </w:p>
    <w:p>
      <w:pPr>
        <w:spacing w:after="0" w:line="183" w:lineRule="exact"/>
        <w:rPr>
          <w:rFonts w:ascii="Times New Roman" w:cs="Times New Roman" w:eastAsia="Times New Roman" w:hAnsi="Times New Roman"/>
          <w:sz w:val="18"/>
          <w:szCs w:val="18"/>
          <w:u w:val="single" w:color="auto"/>
          <w:color w:val="0000EE"/>
        </w:rPr>
      </w:pPr>
    </w:p>
    <w:p>
      <w:pPr>
        <w:jc w:val="both"/>
        <w:ind w:left="1100" w:hanging="76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Exchange Act Rules 13a-14(a)/15d-14(a), as adopted pursuant to Section 302 of the Sarbanes-Oxley Act of 2002 (filed herewith).</w:t>
      </w:r>
    </w:p>
    <w:p>
      <w:pPr>
        <w:spacing w:after="0" w:line="162" w:lineRule="exact"/>
        <w:rPr>
          <w:rFonts w:ascii="Times New Roman" w:cs="Times New Roman" w:eastAsia="Times New Roman" w:hAnsi="Times New Roman"/>
          <w:sz w:val="18"/>
          <w:szCs w:val="18"/>
          <w:u w:val="single" w:color="auto"/>
          <w:color w:val="0000EE"/>
        </w:rPr>
      </w:pPr>
    </w:p>
    <w:p>
      <w:pPr>
        <w:jc w:val="both"/>
        <w:ind w:left="1100" w:hanging="76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Exchange Act Rules 13a-14(a)/15d-14(a), as adopted pursuant to Section 302 of the Sarbanes-Oxley Act of 2002 (filed herewith).</w:t>
      </w:r>
    </w:p>
    <w:p>
      <w:pPr>
        <w:spacing w:after="0" w:line="162" w:lineRule="exact"/>
        <w:rPr>
          <w:rFonts w:ascii="Times New Roman" w:cs="Times New Roman" w:eastAsia="Times New Roman" w:hAnsi="Times New Roman"/>
          <w:sz w:val="18"/>
          <w:szCs w:val="18"/>
          <w:u w:val="single" w:color="auto"/>
          <w:color w:val="0000EE"/>
        </w:rPr>
      </w:pPr>
    </w:p>
    <w:p>
      <w:pPr>
        <w:jc w:val="both"/>
        <w:ind w:left="1100" w:hanging="76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 (furnished herewith).</w:t>
      </w:r>
    </w:p>
    <w:p>
      <w:pPr>
        <w:spacing w:after="0" w:line="162" w:lineRule="exact"/>
        <w:rPr>
          <w:rFonts w:ascii="Times New Roman" w:cs="Times New Roman" w:eastAsia="Times New Roman" w:hAnsi="Times New Roman"/>
          <w:sz w:val="18"/>
          <w:szCs w:val="18"/>
          <w:u w:val="single" w:color="auto"/>
          <w:color w:val="0000EE"/>
        </w:rPr>
      </w:pPr>
    </w:p>
    <w:p>
      <w:pPr>
        <w:jc w:val="both"/>
        <w:ind w:left="1100" w:hanging="76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 2002 (furnished herewith).</w:t>
      </w:r>
    </w:p>
    <w:p>
      <w:pPr>
        <w:spacing w:after="0" w:line="162" w:lineRule="exact"/>
        <w:rPr>
          <w:rFonts w:ascii="Times New Roman" w:cs="Times New Roman" w:eastAsia="Times New Roman" w:hAnsi="Times New Roman"/>
          <w:sz w:val="18"/>
          <w:szCs w:val="18"/>
          <w:u w:val="single" w:color="auto"/>
          <w:color w:val="0000EE"/>
        </w:rPr>
      </w:pPr>
    </w:p>
    <w:p>
      <w:pPr>
        <w:jc w:val="both"/>
        <w:ind w:left="1100" w:hanging="741"/>
        <w:spacing w:after="0" w:line="26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Xtant’s Quarterly Report on Form 10-Q for the fiscal quarter ended March 31, 2026, formatted in Inline XBRL (Extensible Business Reporting Language): (i) the unaudited Condensed Consolidated Balance Sheets, (ii) the unaudited Condensed Consolidated Statements of Operations, (iii) the unaudited Condensed Consolidated Statements of Equity, (iv) the unaudited Condensed Consolidated Statements of Cash Flows, and (v) Notes to Condensed Consolidated Financial Statements (filed herewith).</w:t>
      </w:r>
    </w:p>
    <w:p>
      <w:pPr>
        <w:spacing w:after="0" w:line="180" w:lineRule="exact"/>
        <w:rPr>
          <w:rFonts w:ascii="Times New Roman" w:cs="Times New Roman" w:eastAsia="Times New Roman" w:hAnsi="Times New Roman"/>
          <w:sz w:val="18"/>
          <w:szCs w:val="18"/>
          <w:u w:val="single" w:color="auto"/>
          <w:color w:val="0000EE"/>
        </w:rPr>
      </w:pPr>
    </w:p>
    <w:p>
      <w:pPr>
        <w:ind w:left="1100" w:hanging="741"/>
        <w:spacing w:after="0"/>
        <w:tabs>
          <w:tab w:leader="none" w:pos="11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exhibits and schedules to this exhibit have been omitted pursuant to Item 601(b)(2) of Regulation S-K. The Company will furnish the omitted exhibits and schedules to the SEC upon request by the SEC.</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783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Sean E. Browne</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E. Browne</w:t>
            </w:r>
          </w:p>
        </w:tc>
      </w:tr>
      <w:tr>
        <w:trPr>
          <w:trHeight w:val="216"/>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C. Neils</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C. Neils</w:t>
            </w:r>
          </w:p>
        </w:tc>
      </w:tr>
      <w:tr>
        <w:trPr>
          <w:trHeight w:val="216"/>
        </w:trPr>
        <w:tc>
          <w:tcPr>
            <w:tcW w:w="3500" w:type="dxa"/>
            <w:vAlign w:val="bottom"/>
          </w:tcPr>
          <w:p>
            <w:pPr>
              <w:spacing w:after="0"/>
              <w:rPr>
                <w:sz w:val="18"/>
                <w:szCs w:val="18"/>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EQUITY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AMENDMENT TO EQUITY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this January 14, 2026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XTANT MEDICAL HOLDINGS, INC., a Delaware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COMPANION SPINE FRANCE SAS, a French société par actions simplifiée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as the assignee of Companion Spine, LLC.</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Seller and Buyer are parties to that certain Equity Purchase Agreement, dated as of July 7, 2025 and an amendment thereto dated November 30, 2025 as may be further amended, supplemented, or modified,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2.4(a) of the Purchase Agreement, Seller delivered the Closing Certificate setting forth, among other things, the Estimated Net Working Capital, the Estimated Net Working Capital Adjustment, and Estimated Closing Date Cash;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Estimated Net Working Capital exceeded the Target Net Working Capital by an amount equal to $1,217,000.00 and the Estimated Closing Date Cash was in the amount of $525,000.00, resulting in an increase to the Estimated Purchase Price pursuant to Section 2.3 of the Purchase Agreement in the amount of $1,742,000.00 (the “</w:t>
      </w:r>
      <w:r>
        <w:rPr>
          <w:rFonts w:ascii="Times New Roman" w:cs="Times New Roman" w:eastAsia="Times New Roman" w:hAnsi="Times New Roman"/>
          <w:sz w:val="18"/>
          <w:szCs w:val="18"/>
          <w:b w:val="1"/>
          <w:bCs w:val="1"/>
          <w:color w:val="auto"/>
        </w:rPr>
        <w:t>Estimated Purchase Price Increase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amend the timing for Buyer’s payment of the Estimated Purchase Price Increase as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capitalized terms used but not defined herein shall have the meanings set forth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the parties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56"/>
        <w:spacing w:after="0" w:line="268" w:lineRule="auto"/>
        <w:tabs>
          <w:tab w:leader="none" w:pos="8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of Estimated Purchase Price Payment Date</w:t>
      </w:r>
      <w:r>
        <w:rPr>
          <w:rFonts w:ascii="Times New Roman" w:cs="Times New Roman" w:eastAsia="Times New Roman" w:hAnsi="Times New Roman"/>
          <w:sz w:val="18"/>
          <w:szCs w:val="18"/>
          <w:color w:val="auto"/>
        </w:rPr>
        <w:t>. Buyer and Seller hereby agree that the amount of the Estimated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equal to $1,742,000.00, shall be paid by Buyer to Seller by wire transfer of immediately available funds on or before January 31, 2026 to the account or accounts designated in the Closing Certificate, or such other account(s) designated by Seller.</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Amendments</w:t>
      </w:r>
      <w:r>
        <w:rPr>
          <w:rFonts w:ascii="Times New Roman" w:cs="Times New Roman" w:eastAsia="Times New Roman" w:hAnsi="Times New Roman"/>
          <w:sz w:val="18"/>
          <w:szCs w:val="18"/>
          <w:color w:val="auto"/>
        </w:rPr>
        <w:t>. Except as expressly amended by this Amendment, the Purchase Agreement remains unmodified and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In the event of any conflict between the terms of this Amendment and the Purchase Agreement, the terms of this Amendment shall control.</w:t>
      </w:r>
    </w:p>
    <w:p>
      <w:pPr>
        <w:spacing w:after="0" w:line="15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governing the Purchase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8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Amendment may be executed in any number of counterparts (including by facsimile, .pdf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transmission), each of which shall be deemed an original, but all of which when taken together shall constitute one instrument. Electronic signatures shall have the same force and effect as original signatures.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Amendment to be executed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Browne</w:t>
            </w:r>
          </w:p>
        </w:tc>
      </w:tr>
      <w:tr>
        <w:trPr>
          <w:trHeight w:val="191"/>
        </w:trPr>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Browne</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92"/>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504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COMPANION SPINE FRANCE SAS</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 Viscogliosi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G. Viscogliosi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Amendment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Browne,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Xtant Medical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E. Browne</w:t>
      </w:r>
    </w:p>
    <w:p>
      <w:pPr>
        <w:spacing w:after="0" w:line="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Neils,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Xtant Medical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C. Neils</w:t>
      </w:r>
    </w:p>
    <w:p>
      <w:pPr>
        <w:spacing w:after="0" w:line="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C. Neils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2026 of Xtant Medical Holdings, Inc. (the “Company”), as filed with the Securities and Exchange Commission on the date hereof (the “Report”), I, Sean E. Browne,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i w:val="1"/>
          <w:iCs w:val="1"/>
          <w:color w:val="auto"/>
        </w:rPr>
        <w:t>/s/ Sean E. Browne</w:t>
      </w:r>
    </w:p>
    <w:p>
      <w:pPr>
        <w:spacing w:after="0" w:line="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2026 of Xtant Medical Holdings, Inc. (the “Company”), as filed with the Securities and Exchange Commission on the date hereof (the “Report”), I, Scott C. Neils, Chief Financial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May 13, 2026</w:t>
      </w:r>
      <w:r>
        <w:rPr>
          <w:sz w:val="20"/>
          <w:szCs w:val="20"/>
          <w:color w:val="auto"/>
        </w:rPr>
        <w:tab/>
      </w:r>
      <w:r>
        <w:rPr>
          <w:rFonts w:ascii="Times New Roman" w:cs="Times New Roman" w:eastAsia="Times New Roman" w:hAnsi="Times New Roman"/>
          <w:sz w:val="17"/>
          <w:szCs w:val="17"/>
          <w:i w:val="1"/>
          <w:iCs w:val="1"/>
          <w:color w:val="auto"/>
        </w:rPr>
        <w:t>/s/ Scott C. Neils</w:t>
      </w:r>
    </w:p>
    <w:p>
      <w:pPr>
        <w:spacing w:after="0" w:line="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C. Neils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5"/>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48" Type="http://schemas.openxmlformats.org/officeDocument/2006/relationships/hyperlink" Target="https://www.sec.gov/Archives/edgar/data/1453593/000164117225018092/ex2-1.htm" TargetMode="External"/><Relationship Id="rId49" Type="http://schemas.openxmlformats.org/officeDocument/2006/relationships/hyperlink" Target="https://www.sec.gov/Archives/edgar/data/1453593/000149315225025963/ex2-3.htm" TargetMode="External"/><Relationship Id="rId50" Type="http://schemas.openxmlformats.org/officeDocument/2006/relationships/hyperlink" Target="https://www.sec.gov/Archives/edgar/data/1453593/000164117225018092/ex2-2.htm" TargetMode="External"/><Relationship Id="rId51" Type="http://schemas.openxmlformats.org/officeDocument/2006/relationships/hyperlink" Target="https://www.sec.gov/Archives/edgar/data/1453593/000149315225025963/ex2-4.htm" TargetMode="External"/><Relationship Id="rId52" Type="http://schemas.openxmlformats.org/officeDocument/2006/relationships/hyperlink" Target="https://www.sec.gov/Archives/edgar/data/1453593/000149315223041077/ex3-1.htm" TargetMode="External"/><Relationship Id="rId53" Type="http://schemas.openxmlformats.org/officeDocument/2006/relationships/hyperlink" Target="https://www.sec.gov/Archives/edgar/data/1453593/000149315223018330/ex3-1.htm" TargetMode="External"/><Relationship Id="rId54" Type="http://schemas.openxmlformats.org/officeDocument/2006/relationships/hyperlink" Target="https://www.sec.gov/Archives/edgar/data/1453593/000149315226013792/ex10-42.htm" TargetMode="External"/><Relationship Id="rId55" Type="http://schemas.openxmlformats.org/officeDocument/2006/relationships/hyperlink" Target="https://www.sec.gov/Archives/edgar/data/1453593/000149315226013792/ex10-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2026-05-13T06:18:31Z</dcterms:created>
  <dcterms:modified xsi:type="dcterms:W3CDTF">2026-05-13T06:18:31Z</dcterms:modified>
</cp:coreProperties>
</file>