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320040</wp:posOffset>
            </wp:positionV>
            <wp:extent cx="164592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001-34951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Belgrade, Montana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59714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1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13, 2026, Xtant Medical Holdings, Inc. (the “Company”) announced its financial results for the three months ended March 31, 2026. The full text of the press release issued in connection with the announcement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report (including Exhibit 99.1) shall not be deemed “filed” for purposes of Section 18 of the Securities Exchange Act of 1934, as amended (the “Exchange Act”), or otherwise subject to the liabilities of that section, nor shall it be deemed incorporated by reference in any registration statement or other document filed by the Company under the Securities Act of 1933, as amended, or the Exchange Act, except as expressly provided by specific reference in such a filing.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supplement its consolidated financial statements prepared in accordance with United States generally accepted accounting principles (“GAAP”), the Company uses certain non-GAAP financial measures, such as non-GAAP adjusted EBITDA, which are included in the press release furnished as Exhibit 99.1 to this report. The Company defines non-GAAP adjusted EBITDA as net income (loss) from operations before depreciation and amortization expense; interest expense, net; and tax benefit (expense), and as further adjusted to add back in or exclude, non-cash compensation, divestiture/acquisition-related income and expenses, acquisition-related fair value adjustments, unrealized foreign currency translation loss or gain, and separation-related expenses, in each case as applicable.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non-GAAP adjusted EBITDA in making operating decisions because it believes this measure provides meaningful supplemental information regarding its core operational performance. Additionally, this measure gives the Company a better understanding of how it should invest in sales and marketing and research and development activities and how it should allocate resources to both ongoing and prospective business initiatives. The Company also uses non-GAAP adjusted EBITDA to help make budgeting and spending decisions, for example, among sales and marketing expenses, general and administrative expenses, and research and development expenses. Additionally, the Company believes its use of non-GAAP adjusted EBITDA facilitates management’s internal comparisons to historical operating results by factoring out potential differences caused by charges not related to its regular, ongoing business, including, without limitation, non-cash charges and certain large and unpredictable charges or gains.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above, the Company excludes the effect of the following items from its non-GAAP adjusted EBITDA for the following reasons: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Non-cash compensation</w:t>
      </w:r>
      <w:r>
        <w:rPr>
          <w:rFonts w:ascii="Times New Roman" w:cs="Times New Roman" w:eastAsia="Times New Roman" w:hAnsi="Times New Roman"/>
          <w:sz w:val="18"/>
          <w:szCs w:val="18"/>
          <w:color w:val="auto"/>
        </w:rPr>
        <w:t>. The Company excludes non-cash compensation, which is a non-cash charge related to equity awards granted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Although non-cash compensation is a recurring charge to the Company’s operations, management has excluded it because it relies on valuations based on future events, such as the market price of the Company’s common stock, that are difficult to predict and are affected by market factors that are largely not within the control of the Company. Thus, management believes that excluding non-cash compensation facilitates comparisons of the Company’s operational performance in different periods, as well as with similarly determined non-GAAP financial measures of comparable companies.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Divestiture/acquisition-related expenses and income related to transition services agreements</w:t>
      </w:r>
      <w:r>
        <w:rPr>
          <w:rFonts w:ascii="Times New Roman" w:cs="Times New Roman" w:eastAsia="Times New Roman" w:hAnsi="Times New Roman"/>
          <w:sz w:val="18"/>
          <w:szCs w:val="18"/>
          <w:color w:val="auto"/>
        </w:rPr>
        <w:t>. The Company excludes expenses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related to the Company’s divestitures and acquisitions and subsequent integration and transition activities from non-GAAP adjusted EBITDA primarily because such expenses and income are not reflective of the Company’s ongoing operating results and are not used by management to assess the core profitability of the Company’s business operations. These expenses and income include legal and accounting fees, as well fees charged by the Company in connection with post-divestiture services performed for divested operations. These expenses and income are not considered normal, recurring, cash operating expenses/income necessary to operate the Company’s business. The Company further believes that excluding these expenses and income from its non-GAAP results is useful to investors in that it allows for period-over-period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Acquisition-related fair value adjustments</w:t>
      </w:r>
      <w:r>
        <w:rPr>
          <w:rFonts w:ascii="Times New Roman" w:cs="Times New Roman" w:eastAsia="Times New Roman" w:hAnsi="Times New Roman"/>
          <w:sz w:val="18"/>
          <w:szCs w:val="18"/>
          <w:color w:val="auto"/>
        </w:rPr>
        <w:t>. The Company excludes acquisition-related fair value adjustments from non-GAAP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because such adjustments are not reflective of the Company’s ongoing operating results and are not used by management to assess the core profitability of the Company’s business operations. The Company further believes that excluding this item from its non-GAAP results is useful to investors in that it allows for period-over-period comparability.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Unrealized foreign currency translation gain or loss</w:t>
      </w:r>
      <w:r>
        <w:rPr>
          <w:rFonts w:ascii="Times New Roman" w:cs="Times New Roman" w:eastAsia="Times New Roman" w:hAnsi="Times New Roman"/>
          <w:sz w:val="18"/>
          <w:szCs w:val="18"/>
          <w:color w:val="auto"/>
        </w:rPr>
        <w:t>. The Company excludes unrealized foreign currency translation gain or loss,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non-GAAP adjusted EBITDA primarily because such gain or loss is not reflective of the Company’s ongoing operating results and is not used by management to assess the core profitability of the Company’s business operations. The Company further believes that excluding this item from its non-GAAP results is useful to investors in that it allows for period-over-period comparability.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Separation-related expens</w:t>
      </w:r>
      <w:r>
        <w:rPr>
          <w:rFonts w:ascii="Times New Roman" w:cs="Times New Roman" w:eastAsia="Times New Roman" w:hAnsi="Times New Roman"/>
          <w:sz w:val="18"/>
          <w:szCs w:val="18"/>
          <w:color w:val="auto"/>
        </w:rPr>
        <w:t>es. The Company excludes separation-related expenses primarily because such expenses are not reflective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ongoing operating results and are not used by management to assess the core profitability of the Company’s business operations. The Company further believes that excluding this item from its non-GAAP results is useful to investors in that it allows for period over-period comparability.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adjusted EBITDA is reconciled to net income (loss), the most directly comparable GAAP measure in the press release. The Company also presents in the press release EBITDA as a percentage of total revenue and adjusted EBITDA as a percentage of total revenue and reconciles these two non-GAAP measures in the press release to net income (loss) as a percentage of total revenue.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in accordance with, or an alternative for, GAAP measures and may be different from non-GAAP financial measures used by other companies. In addition, non-GAAP financial measures are not based on any comprehensive or standard set of accounting rules or principles. Accordingly, the calculation of the Company’s non-GAAP financial measures may differ from the definitions of other companies using the same or similar names, limiting, to some extent, the usefulness of such measures for comparison purposes. Non-GAAP financial measures have limitations in that they do not reflect all of the amounts associated with the Company’s financial results as determined in accordance with GAAP. Non-GAAP financial measures should only be used to evaluate the Company’s financial results in conjunction with the corresponding GAAP measures. Accordingly, the Company qualifies its use of non-GAAP financial information in a statement when non-GAAP financial information is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2026, the Company announced August 7, 2026 as the date of the Company’s 2026 Annual Meeting of Stockholders (the “2026 Annual Meeting”). The exact time and location of the 2026 Annual Meeting will be specified in the Company’s proxy statement for the 2026 Annual Meeting, which it anticipates will be printed on or about June 11, 2026 and sent or made available to stockholders commencing on or about June 12,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date of the Company’s 2026 Annual Meeting has changed by more than 30 days from the date of last year’s Annual Meeting of Stockholders, stockholders who, in accordance with Rule 14a-8 under the Securities Exchange Act of 1934, as amended (the “Exchange Act”), wish to present proposals for inclusion in the proxy materials relating to the 2026 Annual Meeting must submit their proposals so that they are received by the Company at its principal executive offices no later than the close of business on May 23, 2026, which the Company believes is a reasonable time before it prints and mails its proxy materials. The proposals must satisfy the requirements of the proxy rules promulgated by the Securities and Exchange Commission (the “SEC”) and as the rules of the SEC make clear, simply submitting a proposal does not guarantee that it will be included.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Third Amended and Restated Bylaws (the “Bylaws”) provide for an advance notice procedure with regard to nominations of persons for election to the Board of Directors and stockholder proposals to be brought before an annual meeting. Pursuant to the terms of the Bylaws, any other stockholder proposals, including director nominations, to be presented at the 2026 Annual Meeting (other than a matter brought pursuant to SEC Rule 14a-8) are required to be given in writing to the Company’s Corporate Secretary and delivered to or mailed and received by the Company no later than the close of business on May 23, 2026, the 10th day following the date of this Current Report on Form 8-K announcing the date of the 2026 Annual Meeting, and must contain information specified in the Bylaws.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if applicable, stockholders who intend to solicit proxies in support of director nominees other than the Company’s nominees at the 2026 Annual Meeting must comply with the “universal proxy rules,” Rule 14a-19 promulgated under the Exchange Act, as required by and in addition to the Bylaws, including providing written notice on a timely basis no later than June 9, 2026, which is 60 days prior the date of the 2026 Annual Meeting, and providing certain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to the Company.</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Xtant Medical Holdings, Inc. dated May 13, 2026 entitled “Xtant Medical Reports First Quarter 2026 Financial Results”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(furnished herewith)</w:t>
            </w:r>
          </w:p>
        </w:tc>
        <w:tc>
          <w:tcPr>
            <w:tcW w:w="866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C. Neils</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C. Neils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Reports First Quarter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Raises full-year 2026 revenue guidance to a range of $101-$105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Significantly strengthens balance sheet</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Enters into exclusive U.S. distribution agreement for Dilon Technologies’ HEMOBLAST® Bellows product for high-performance hemostasis; hires Dilon’s U.S. sales team</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BELGRADE, Mont., May 13, 2026 — Xtant Medical Holdings, Inc. </w:t>
      </w:r>
      <w:r>
        <w:rPr>
          <w:rFonts w:ascii="Times New Roman" w:cs="Times New Roman" w:eastAsia="Times New Roman" w:hAnsi="Times New Roman"/>
          <w:sz w:val="18"/>
          <w:szCs w:val="18"/>
          <w:color w:val="auto"/>
        </w:rPr>
        <w:t>(NYSE American: XTNT), a medical technology company focused on 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spinal and other orthopedic conditions, today reported financial and operating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total revenue of $20.9 million for the first quarter of 2026, as compared to $32.9 million for the first quarter of 2025. The decline in revenue relates primarily to the sale of assets and businesses to Companion Spine in December 2025 as well as 2025 license revenue that will not repeat in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indebtedness by $13.3 million in the first quarter of 2026, including a $10.4 million reduction in net amounts outstanding under the Company’s revolving line of credit, and a $2.8 million reduction in its term loan balance.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full-year 2026 revenue guidance to a range of $101 million to $105 million, from $95 million to $99 million previously, to reflect anticipated incremental revenue contribution from Dilon’s HEMOBLAST® Bellows hemostatic product that was licensed in April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and Recent Business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exclusive U.S. distribution agreement with privately held Dilon Technologies whereby Xtant has acquired the exclusive U.S. commercial rights to Dilon’s HEMOBLAST® Bellows product for high-performance hemostasis following certain surgical procedures. As part of the transaction, Xtant has hired Dilon’s approximately 20-person U.S. sales team.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Trivium™ Shaped, an extension of its Trivium line of premium, next-generation demineralized bone matrix allograft for bone grafting procedures. Trivium™ Shaped is available in pre-shaped configurations designed to support handling, preparation, and placement across a range of surgical applications.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final $10.7 million due from Companion Spine in March, finalizing the previously announced sale of Xtant’s non-core Coflex®/CoFix assets and its international hardware business to Companion, and resulting in a total cash purchase price of $21.4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Sean Browne, President and CEO of Xtant Medical, stated, “The first quarter of 2026 and subsequent period were pivotal for Xtant. Proceeds from the Companion Spine transaction allowed us to strengthen our balance sheet while the HEMOBLAST® Bellows distribution agreement announced in April expanded our addressable market into the multi-billion-dollar hemostatics category. We are particularly encouraged by the potential commercial synergies to be realized following the integration of Dilon’s 21-person field sales force into our own organization, positioning us to drive topline growth and margin expansion this year and beyond. These developments, together with recent product launches, position us to best serve the needs of surgeons and patients alike with our comprehensive biologics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first quarter of 2026 was $20.9 million, compared to $32.9 million for the same period in 2025. The year-over-year decline is primarily due to the sale of the company’s Coflex/CoFix assets and international hardware business to Companion Spine in December of 2025, as well as license revenue from Xtant’s Q-code and amniotic membrane agreements in the first quarter of 2025 that did not repeat in the first quarter of 2026 due to changes in the reimbursement environment.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for the first quarter of 2026 was 57.3%, compared to 61.5% for the same period in 2025. The decrease was primarily due to the cessation of Q-code high-margin license revenue from the amniotic membrane agreements that ceased at the end of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first quarter of 2026 totaled $14.9 million, compared to $19.2 million for the first quarter of 2025. The decrease was primarily due to the company’s sale of its Coflex/CoFix assets and international hardware business to Companion Spine in December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2026 net loss was $3.1 million, compared to net income of $58,000 for the first quarter of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Non-GAAP adjusted EBITDA loss for the first quarter of 2026 totaled $1.6 million, compared to positive adjusted EBITDA of $3.0 million for the same period in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adjusted EBITDA as net income/loss from operations before depreciation, amortization and interest income/expense and provision for income tax/benefit, and as further adjusted to add back in or exclude, as applicable, separation-related expenses, non-cash compensation, disposition/acquisition-related income and expenses, acquisition-related fair value adjustments, and unrealized foreign currency translation gain or loss. A calculation and reconciliation of adjusted EBITDA to net income (loss) can be found in the attached financial tables.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$12.2 million of cash and cash equivalents, total indebtedness of $12.2 million, and availability under its revolving credit facility of $11.8 million compared to $17.3 million of cash and cash equivalents, total indebtedness of $25.4 million, and availability under its revolving credit facility of $3.8 million as of December 31, 2025. The reduction in total indebtedness was due primarily to the term loan payment of $2.8 million from some of the February 2026 proceeds from Companion Spine and net repayments of $10.4 million on the revolving credit facility from cash and cash equivalents, and the resulting increase in availability under the revolving credit agreement is due to an effort to reduce interest expense by minimizing the outstanding balance on the Company’s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is today increasing its full-year 2026 revenue guidance to a range of $101 million to $105 million, from $95 million to $99 million previously, to reflect the recently announced exclusive license agreement with Dilon Technologies and anticipated incremental revenue contribution from Dilon’s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Xtant Medical will host a webcast and conference call to discuss its first quarter 2026 financial and operating results at 8:30 am ET today,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access the webcast: </w:t>
      </w:r>
      <w:r>
        <w:rPr>
          <w:rFonts w:ascii="Times New Roman" w:cs="Times New Roman" w:eastAsia="Times New Roman" w:hAnsi="Times New Roman"/>
          <w:sz w:val="18"/>
          <w:szCs w:val="18"/>
          <w:u w:val="single" w:color="auto"/>
          <w:color w:val="auto"/>
        </w:rPr>
        <w:t>https://www.webcaster5.com/Webcast/Page/3039/53872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access the conference call, dial 888-506-0062 (US) or 973-528-0011 (International) and reference Participant Access Code 638297.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the Investor section of the Company’s website at www.xtantmedical.com for a period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Xtant Medical Holdings,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Xtant Medical’s mission of honoring the gift of donation so that our patients can live as full and complete a life as possible, is the driving force behind our company. Xtant Medical Holdings, Inc. (www.xtantmedical.com) is a global medical technology company focused on the design, development, and commercialization of a comprehensive portfolio of orthobiologics serving the chronic and surgical wound care and sports medicine markets, as well as spinal implant systems. Xtant people are dedicated and talented, operating with the highest integrity to serve our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symbols ™ and ® denote trademarks and registered trademarks of Xtant Medical Holdings, Inc. or its affiliates, registered as indicated in the United States, and in other countries. All other trademarks and trade names referred to in this release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Company’s consolidated financial statements prepared in accordance with U.S. generally accepted accounting principles (GAAP), the Company uses certain non-GAAP financial measures in this release, including adjusted EBITDA, adjusted EBITDA as a percentage of total revenue. Reconciliations of the non-GAAP financial measures used in this release to the most comparable GAAP measures for the respective periods can be found in this release or tables later in this release. The Company’s management believes that the presentation of these measures provides useful information to investors. These measures may assist investors in evaluating the Company’s operations, period over period. Management uses the non-GAAP measures in this release internally for evaluation of the performance of the business, including the allocation of resources. Investors should consider non-GAAP financial measures only as a supplement to, not as a substitute for or as superior to,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statements that are predictive in nature, that depend upon or refer to future events or conditions, or that include words such as “intends,” ‘‘expects,’’ ‘‘anticipates,’’ ‘‘plans,’’ ‘‘believes,’’ ‘‘estimates,’’ “continue,” “future,” ‘‘will,’’ “potential,” “going forward,” “guidance,” similar expressions or the negative thereof, and the use of future dates. Forward-looking statements in this release include the Company’s full year 2026 revenue guidance, including anticipated incremental revenue contribution from Dilon’s HEMOBLAST® Bellows hemostatic product. The Company cautions that its forward-looking statements by their nature involve risks and uncertainties, and actual results may differ materially depending on a variety of important factors, including, among others: the Company’s future operating results, financial performance and need for additional capital; the Company’s ability to drive topline growth and margin expansion this year and beyond; the success of the distribution arrangement and the HEMOBLAST® Bellows product, including future U.S. sales and the additional U.S. sales personnel and their impact on the Company’s business and operating results; the possibility that the distribution agreement may be terminated by either party; the effect of the distribution agreement on the Company’s business, including its relationships with other distributors, independent sales representatives and personnel, and its business and operating results; the success of the Company’s expanded field sales force to improve the Company’s reach and leverage its contract portfolio and independent agent network; the Company’s ability to become operationally self-sustaining and less reliant on third-party manufacturers and suppliers; risks associated with acquisitions and dispositions; its ability to implement successfully its future growth initiatives and risks associated therewith; possible future impairment charges to long-lived assets and goodwill and write-downs of excess and obsolete inventory; its ability to continue to innovate, develop and introduce new products and the success of those products; its ability to remain competitive; its ability to engage and retain new and existing independent distributors and agents and qualified sales and other personnel and its dependence on key independent agents for a significant portion of its revenue; the effect of inflation, elevated interest rates and other recessionary factors and supply chain disruptions; the effect of product sales mix changes on its financial results; the effect of government and third-party coverage and reimbursement for its products; its ability to obtain and maintain regulatory approvals and comply with government regulations; the effect of product liability claims and other litigation to which the Company may be subject; the effect of product recalls and defects; its ability to license intellectual property on commercially reasonable terms and to maintain any such licenses and its ability to obtain and protect its intellectual property and proprietary rights and operate without infringing the rights of others; its ability to service its debt, comply with debt covenants, and access additional indebtedness or financing on favorable terms or at all, if and when needed; and other factors described in its Annual Report on Form 10-K for the year ended December 31, 2025 to be filed with the Securities and Exchange Commission (SEC) on March 30, 2026 and subsequent SEC reports, including its Quarterly Report on Form 10-Q for the quarterly period ended March 31, 2026 to be filed with the SEC on May 13, 2026. Investors are encouraged to read the Company’s filings with the SEC, available at www.sec.gov, for a discussion of these and other risks and uncertainties. The Company undertakes no obligation to release publicly any revisions to any forward-looking statements to reflect events or circumstances after the date hereof or to reflect the occurrence of unanticipated events, except as required by law. All forward-looking statements attributable to the Company or persons acting on its behalf are expressly qualified in their entirety by this cautionary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Windsor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rwindsor@lifescipartners.com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Tables Follow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number of shares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17,053</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r>
      <w:tr>
        <w:trPr>
          <w:trHeight w:val="198"/>
        </w:trPr>
        <w:tc>
          <w:tcPr>
            <w:tcW w:w="6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$2,115 and $2,165,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17,179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17,803</w:t>
            </w:r>
          </w:p>
        </w:tc>
        <w:tc>
          <w:tcPr>
            <w:tcW w:w="80" w:type="dxa"/>
            <w:vAlign w:val="bottom"/>
            <w:shd w:val="clear" w:color="auto" w:fill="CCEEFF"/>
          </w:tcPr>
          <w:p>
            <w:pPr>
              <w:spacing w:after="0"/>
              <w:rPr>
                <w:sz w:val="20"/>
                <w:szCs w:val="20"/>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30,263</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receivable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10,462</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r>
      <w:tr>
        <w:trPr>
          <w:trHeight w:val="223"/>
        </w:trPr>
        <w:tc>
          <w:tcPr>
            <w:tcW w:w="680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3,844</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10,626</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10,857</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obligation, less current portion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plus premium and less issuance costs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$0.000001 par value; 10,000,000 shares authorized; no shares issued and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$0.000001 par value; 300,000,000 shares authorized; 140,068,260 shares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2026 and 140,039,557 shares issued and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306,175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305,439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(257,575)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(254,486)</w:t>
            </w:r>
          </w:p>
        </w:tc>
      </w:tr>
      <w:tr>
        <w:trPr>
          <w:trHeight w:val="209"/>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20,884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29,284</w:t>
            </w:r>
          </w:p>
        </w:tc>
      </w:tr>
      <w:tr>
        <w:trPr>
          <w:trHeight w:val="22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3,620</w:t>
            </w:r>
          </w:p>
        </w:tc>
      </w:tr>
      <w:tr>
        <w:trPr>
          <w:trHeight w:val="20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12,661</w:t>
            </w:r>
          </w:p>
        </w:tc>
      </w:tr>
      <w:tr>
        <w:trPr>
          <w:trHeight w:val="209"/>
        </w:trPr>
        <w:tc>
          <w:tcPr>
            <w:tcW w:w="6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7,533</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11,204</w:t>
            </w:r>
          </w:p>
        </w:tc>
      </w:tr>
      <w:tr>
        <w:trPr>
          <w:trHeight w:val="230"/>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w:t>
            </w:r>
          </w:p>
        </w:tc>
      </w:tr>
      <w:tr>
        <w:trPr>
          <w:trHeight w:val="209"/>
        </w:trPr>
        <w:tc>
          <w:tcPr>
            <w:tcW w:w="6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1,063</w:t>
            </w:r>
          </w:p>
        </w:tc>
      </w:tr>
      <w:tr>
        <w:trPr>
          <w:trHeight w:val="209"/>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from Operations Before Provision for Income Taxes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6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 Current and Deferred</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140,058,787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139,068,831</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140,058,787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143,335,114</w:t>
            </w:r>
          </w:p>
        </w:tc>
      </w:tr>
      <w:tr>
        <w:trPr>
          <w:trHeight w:val="432"/>
        </w:trPr>
        <w:tc>
          <w:tcPr>
            <w:tcW w:w="6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52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(3,089)</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reserve on accounts receivable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10,368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25,158</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6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 of taxes from withholding of common stock on settlement of restricted stock</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by financing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Reconciliation of cash and cash equivalents and restricted cash reported in the condensed</w:t>
            </w: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12,137</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 reported in condensed consolidated balance sheets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NON-GAAP CONSOLIDATED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6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(3,089)</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8"/>
                <w:szCs w:val="18"/>
                <w:color w:val="auto"/>
              </w:rPr>
            </w:pPr>
          </w:p>
        </w:tc>
        <w:tc>
          <w:tcPr>
            <w:tcW w:w="10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380</w:t>
            </w:r>
          </w:p>
        </w:tc>
        <w:tc>
          <w:tcPr>
            <w:tcW w:w="1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Non-GAAP EBITDA</w:t>
            </w:r>
          </w:p>
        </w:tc>
        <w:tc>
          <w:tcPr>
            <w:tcW w:w="1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20" w:type="dxa"/>
            <w:vAlign w:val="bottom"/>
            <w:tcBorders>
              <w:bottom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tcBorders>
              <w:bottom w:val="single" w:sz="8" w:color="CCEEFF"/>
            </w:tcBorders>
          </w:tcPr>
          <w:p>
            <w:pPr>
              <w:spacing w:after="0"/>
              <w:rPr>
                <w:sz w:val="22"/>
                <w:szCs w:val="22"/>
                <w:color w:val="auto"/>
              </w:rPr>
            </w:pPr>
          </w:p>
        </w:tc>
      </w:tr>
      <w:tr>
        <w:trPr>
          <w:trHeight w:val="197"/>
        </w:trPr>
        <w:tc>
          <w:tcPr>
            <w:tcW w:w="68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Income/Total Revenue</w:t>
            </w:r>
          </w:p>
        </w:tc>
        <w:tc>
          <w:tcPr>
            <w:tcW w:w="1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EBITDA/Total Revenue</w:t>
            </w:r>
          </w:p>
        </w:tc>
        <w:tc>
          <w:tcPr>
            <w:tcW w:w="1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 CALCULATION</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746</w:t>
            </w: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Divestiture/acquisition-related (income) expenses</w:t>
            </w:r>
          </w:p>
        </w:tc>
        <w:tc>
          <w:tcPr>
            <w:tcW w:w="1280" w:type="dxa"/>
            <w:vAlign w:val="bottom"/>
          </w:tcPr>
          <w:p>
            <w:pPr>
              <w:spacing w:after="0"/>
              <w:rPr>
                <w:sz w:val="18"/>
                <w:szCs w:val="18"/>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fair value adjustments</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1280" w:type="dxa"/>
            <w:vAlign w:val="bottom"/>
          </w:tcPr>
          <w:p>
            <w:pPr>
              <w:spacing w:after="0"/>
              <w:rPr>
                <w:sz w:val="18"/>
                <w:szCs w:val="18"/>
                <w:color w:val="auto"/>
              </w:rPr>
            </w:pPr>
          </w:p>
        </w:tc>
        <w:tc>
          <w:tcPr>
            <w:tcW w:w="10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Separation related expenses</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8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Adjusted EBITDA</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20" w:type="dxa"/>
            <w:vAlign w:val="bottom"/>
            <w:tcBorders>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Adjusted EBITDA/Total Revenue</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432"/>
        </w:trPr>
        <w:tc>
          <w:tcPr>
            <w:tcW w:w="6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2026-05-13T06:07:48Z</dcterms:created>
  <dcterms:modified xsi:type="dcterms:W3CDTF">2026-05-13T06:07:48Z</dcterms:modified>
</cp:coreProperties>
</file>