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rPr>
      </w:pPr>
      <w:bookmarkStart w:id="0" w:name="form8-k.htm"/>
      <w:bookmarkStart w:id="1" w:name="ksform8k"/>
      <w:bookmarkEnd w:id="0"/>
      <w:bookmarkEnd w:id="1"/>
      <w:r>
        <w:rPr>
          <w:caps/>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36"/>
        </w:rPr>
      </w:pPr>
      <w:r>
        <w:rPr>
          <w:rFonts w:ascii="Times New Roman;Times;Serif" w:hAnsi="Times New Roman;Times;Serif"/>
          <w:b/>
          <w:i w:val="false"/>
          <w:caps/>
          <w:sz w:val="36"/>
        </w:rPr>
        <w:t>UNITED STATES</w:t>
      </w:r>
    </w:p>
    <w:p>
      <w:pPr>
        <w:pStyle w:val="TextBody"/>
        <w:bidi w:val="0"/>
        <w:spacing w:before="0" w:after="0"/>
        <w:jc w:val="center"/>
        <w:rPr>
          <w:rFonts w:ascii="Times New Roman;Times;Serif" w:hAnsi="Times New Roman;Times;Serif"/>
          <w:b/>
          <w:i w:val="false"/>
          <w:caps/>
          <w:sz w:val="36"/>
        </w:rPr>
      </w:pPr>
      <w:r>
        <w:rPr>
          <w:rFonts w:ascii="Times New Roman;Times;Serif" w:hAnsi="Times New Roman;Times;Serif"/>
          <w:b/>
          <w:i w:val="false"/>
          <w:caps/>
          <w:sz w:val="36"/>
        </w:rPr>
        <w:t>SECURITIES AND EXCHANGE COMMISSION</w:t>
      </w:r>
    </w:p>
    <w:p>
      <w:pPr>
        <w:pStyle w:val="TextBody"/>
        <w:bidi w:val="0"/>
        <w:spacing w:before="0" w:after="0"/>
        <w:jc w:val="center"/>
        <w:rPr>
          <w:rFonts w:ascii="Times New Roman;Times;Serif" w:hAnsi="Times New Roman;Times;Serif"/>
          <w:b/>
          <w:i w:val="false"/>
          <w:caps/>
          <w:sz w:val="24"/>
        </w:rPr>
      </w:pPr>
      <w:r>
        <w:rPr>
          <w:rFonts w:ascii="Times New Roman;Times;Serif" w:hAnsi="Times New Roman;Times;Serif"/>
          <w:b/>
          <w:i w:val="false"/>
          <w:caps/>
          <w:sz w:val="24"/>
        </w:rPr>
        <w:t>Washington, D.C. 20549</w:t>
      </w:r>
    </w:p>
    <w:p>
      <w:pPr>
        <w:pStyle w:val="TextBody"/>
        <w:bidi w:val="0"/>
        <w:spacing w:before="0" w:after="0"/>
        <w:jc w:val="center"/>
        <w:rPr>
          <w:caps/>
        </w:rPr>
      </w:pPr>
      <w:r>
        <w:rPr>
          <w:caps/>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36"/>
        </w:rPr>
      </w:pPr>
      <w:r>
        <w:rPr>
          <w:rFonts w:ascii="Times New Roman;Times;Serif" w:hAnsi="Times New Roman;Times;Serif"/>
          <w:b/>
          <w:i w:val="false"/>
          <w:caps/>
          <w:sz w:val="36"/>
        </w:rPr>
        <w:t xml:space="preserve">FORM </w:t>
      </w:r>
      <w:bookmarkStart w:id="2" w:name="xdx_90A_edei--DocumentType_c20260807__20"/>
      <w:bookmarkEnd w:id="2"/>
      <w:r>
        <w:rPr>
          <w:rFonts w:ascii="Times New Roman;Times;Serif" w:hAnsi="Times New Roman;Times;Serif"/>
          <w:b/>
          <w:i w:val="false"/>
          <w:caps/>
          <w:sz w:val="36"/>
        </w:rPr>
        <w:t>8-K</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August 7,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rPr>
      </w:pPr>
      <w:r>
        <w:rPr>
          <w:caps/>
        </w:rPr>
        <w:t> </w:t>
      </w:r>
    </w:p>
    <w:p>
      <w:pPr>
        <w:pStyle w:val="TextBody"/>
        <w:bidi w:val="0"/>
        <w:spacing w:before="0" w:after="0"/>
        <w:jc w:val="center"/>
        <w:rPr>
          <w:caps/>
        </w:rPr>
      </w:pPr>
      <w:r>
        <w:rPr>
          <w:caps/>
        </w:rPr>
        <w:drawing>
          <wp:inline distT="0" distB="0" distL="0" distR="0">
            <wp:extent cx="285750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819150"/>
                    </a:xfrm>
                    <a:prstGeom prst="rect">
                      <a:avLst/>
                    </a:prstGeom>
                  </pic:spPr>
                </pic:pic>
              </a:graphicData>
            </a:graphic>
          </wp:inline>
        </w:drawing>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36"/>
        </w:rPr>
      </w:pPr>
      <w:bookmarkStart w:id="4" w:name="xdx_90A_edei--EntityRegistrantName_c2026"/>
      <w:bookmarkEnd w:id="4"/>
      <w:r>
        <w:rPr>
          <w:rFonts w:ascii="Times New Roman;Times;Serif" w:hAnsi="Times New Roman;Times;Serif"/>
          <w:b/>
          <w:i w:val="false"/>
          <w:caps/>
          <w:sz w:val="36"/>
        </w:rPr>
        <w:t>XTANT MEDICAL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ind w:left="0" w:right="0" w:hanging="0"/>
              <w:jc w:val="left"/>
              <w:rPr/>
            </w:pPr>
            <w:r>
              <w:rPr/>
              <w:t> </w:t>
            </w:r>
          </w:p>
        </w:tc>
        <w:tc>
          <w:tcPr>
            <w:tcW w:w="1100" w:type="dxa"/>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bookmarkStart w:id="6" w:name="xdx_90A_edei--EntityFileNumber_c20260807"/>
            <w:bookmarkEnd w:id="6"/>
            <w:r>
              <w:rPr>
                <w:rFonts w:ascii="Times New Roman;Times;Serif" w:hAnsi="Times New Roman;Times;Serif"/>
                <w:b/>
                <w:i w:val="false"/>
                <w:caps w:val="false"/>
                <w:smallCaps w:val="false"/>
                <w:sz w:val="20"/>
              </w:rPr>
              <w:t>001-34951</w:t>
            </w:r>
          </w:p>
        </w:tc>
        <w:tc>
          <w:tcPr>
            <w:tcW w:w="60" w:type="dxa"/>
            <w:tcBorders/>
            <w:vAlign w:val="center"/>
          </w:tcPr>
          <w:p>
            <w:pPr>
              <w:pStyle w:val="TableContents"/>
              <w:bidi w:val="0"/>
              <w:spacing w:before="0" w:after="283"/>
              <w:ind w:left="0" w:right="0" w:hanging="0"/>
              <w:jc w:val="left"/>
              <w:rPr/>
            </w:pPr>
            <w:r>
              <w:rPr/>
              <w:t> </w:t>
            </w:r>
          </w:p>
        </w:tc>
        <w:tc>
          <w:tcPr>
            <w:tcW w:w="1535" w:type="dxa"/>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20-5313323</w:t>
            </w:r>
          </w:p>
        </w:tc>
      </w:tr>
      <w:tr>
        <w:trPr/>
        <w:tc>
          <w:tcPr>
            <w:tcW w:w="216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ind w:left="0" w:right="0" w:hanging="0"/>
              <w:jc w:val="left"/>
              <w:rPr/>
            </w:pPr>
            <w:r>
              <w:rPr/>
              <w:t> </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ind w:left="0" w:right="0" w:hanging="0"/>
              <w:jc w:val="left"/>
              <w:rPr/>
            </w:pPr>
            <w:r>
              <w:rPr/>
              <w:t> </w:t>
            </w:r>
          </w:p>
        </w:tc>
        <w:tc>
          <w:tcPr>
            <w:tcW w:w="153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283"/>
        <w:jc w:val="left"/>
        <w:rPr/>
      </w:pPr>
      <w:r>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664 Cruiser Lane</w:t>
            </w:r>
          </w:p>
          <w:p>
            <w:pPr>
              <w:pStyle w:val="TableContents"/>
              <w:bidi w:val="0"/>
              <w:spacing w:before="0" w:after="283"/>
              <w:ind w:left="0" w:right="0" w:hanging="0"/>
              <w:jc w:val="center"/>
              <w:rPr>
                <w:rFonts w:ascii="Times New Roman;Times;Serif" w:hAnsi="Times New Roman;Times;Serif"/>
                <w:b/>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Belgrade, </w:t>
            </w:r>
            <w:bookmarkStart w:id="10" w:name="xdx_904_edei--EntityAddressStateOrProvin"/>
            <w:bookmarkEnd w:id="10"/>
            <w:r>
              <w:rPr>
                <w:rFonts w:ascii="Times New Roman;Times;Serif" w:hAnsi="Times New Roman;Times;Serif"/>
                <w:b/>
                <w:i w:val="false"/>
                <w:caps w:val="false"/>
                <w:smallCaps w:val="false"/>
                <w:sz w:val="20"/>
              </w:rPr>
              <w:t>Montana</w:t>
            </w:r>
          </w:p>
        </w:tc>
        <w:tc>
          <w:tcPr>
            <w:tcW w:w="60" w:type="dxa"/>
            <w:tcBorders/>
            <w:vAlign w:val="center"/>
          </w:tcPr>
          <w:p>
            <w:pPr>
              <w:pStyle w:val="TableContents"/>
              <w:bidi w:val="0"/>
              <w:spacing w:before="0" w:after="283"/>
              <w:ind w:left="0" w:right="0" w:hanging="0"/>
              <w:jc w:val="left"/>
              <w:rPr/>
            </w:pPr>
            <w:r>
              <w:rPr/>
              <w:t> </w:t>
            </w:r>
          </w:p>
        </w:tc>
        <w:tc>
          <w:tcPr>
            <w:tcW w:w="920" w:type="dxa"/>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bookmarkStart w:id="11" w:name="xdx_90F_edei--EntityAddressPostalZipCode"/>
            <w:bookmarkEnd w:id="11"/>
            <w:r>
              <w:rPr>
                <w:rFonts w:ascii="Times New Roman;Times;Serif" w:hAnsi="Times New Roman;Times;Serif"/>
                <w:b/>
                <w:i w:val="false"/>
                <w:caps w:val="false"/>
                <w:smallCaps w:val="false"/>
                <w:sz w:val="20"/>
              </w:rPr>
              <w:t>59714</w:t>
            </w:r>
          </w:p>
        </w:tc>
      </w:tr>
      <w:tr>
        <w:trPr/>
        <w:tc>
          <w:tcPr>
            <w:tcW w:w="3215"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ind w:left="0" w:right="0" w:hanging="0"/>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2" w:name="xdx_904_edei--CityAreaCode_c20260807__20"/>
      <w:bookmarkEnd w:id="12"/>
      <w:r>
        <w:rPr>
          <w:rFonts w:ascii="Times New Roman;Times;Serif" w:hAnsi="Times New Roman;Times;Serif"/>
          <w:b/>
          <w:i w:val="false"/>
          <w:caps/>
          <w:sz w:val="20"/>
        </w:rPr>
        <w:t xml:space="preserve">(406) </w:t>
      </w:r>
      <w:bookmarkStart w:id="13" w:name="xdx_90B_edei--LocalPhoneNumber_c20260807"/>
      <w:bookmarkEnd w:id="13"/>
      <w:r>
        <w:rPr>
          <w:rFonts w:ascii="Times New Roman;Times;Serif" w:hAnsi="Times New Roman;Times;Serif"/>
          <w:b/>
          <w:i w:val="false"/>
          <w:caps/>
          <w:sz w:val="20"/>
        </w:rPr>
        <w:t>388-0480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283"/>
              <w:ind w:left="0" w:right="0" w:hanging="0"/>
              <w:jc w:val="both"/>
              <w:rPr/>
            </w:pPr>
            <w:bookmarkStart w:id="14" w:name="xdx_90F_edei--WrittenCommunications_c202"/>
            <w:bookmarkEnd w:id="14"/>
            <w:r>
              <w:rPr/>
              <w:t>☐</w:t>
            </w:r>
          </w:p>
        </w:tc>
        <w:tc>
          <w:tcPr>
            <w:tcW w:w="905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30" w:type="dxa"/>
            <w:tcBorders/>
            <w:vAlign w:val="center"/>
          </w:tcPr>
          <w:p>
            <w:pPr>
              <w:pStyle w:val="TableContents"/>
              <w:bidi w:val="0"/>
              <w:spacing w:before="0" w:after="283"/>
              <w:ind w:left="0" w:right="0" w:hanging="0"/>
              <w:jc w:val="both"/>
              <w:rPr/>
            </w:pPr>
            <w:r>
              <w:rPr/>
              <w:t> </w:t>
            </w:r>
          </w:p>
        </w:tc>
        <w:tc>
          <w:tcPr>
            <w:tcW w:w="9050" w:type="dxa"/>
            <w:tcBorders/>
            <w:vAlign w:val="center"/>
          </w:tcPr>
          <w:p>
            <w:pPr>
              <w:pStyle w:val="TableContents"/>
              <w:bidi w:val="0"/>
              <w:spacing w:before="0" w:after="283"/>
              <w:ind w:left="0" w:right="0" w:hanging="0"/>
              <w:jc w:val="both"/>
              <w:rPr/>
            </w:pPr>
            <w:r>
              <w:rPr/>
              <w:t> </w:t>
            </w:r>
          </w:p>
        </w:tc>
      </w:tr>
      <w:tr>
        <w:trPr/>
        <w:tc>
          <w:tcPr>
            <w:tcW w:w="230" w:type="dxa"/>
            <w:tcBorders/>
            <w:vAlign w:val="center"/>
          </w:tcPr>
          <w:p>
            <w:pPr>
              <w:pStyle w:val="TableContents"/>
              <w:bidi w:val="0"/>
              <w:spacing w:before="0" w:after="283"/>
              <w:ind w:left="0" w:right="0" w:hanging="0"/>
              <w:jc w:val="both"/>
              <w:rPr/>
            </w:pPr>
            <w:bookmarkStart w:id="15" w:name="xdx_902_edei--SolicitingMaterial_c202608"/>
            <w:bookmarkEnd w:id="15"/>
            <w:r>
              <w:rPr/>
              <w:t>☐</w:t>
            </w:r>
          </w:p>
        </w:tc>
        <w:tc>
          <w:tcPr>
            <w:tcW w:w="905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30" w:type="dxa"/>
            <w:tcBorders/>
            <w:vAlign w:val="center"/>
          </w:tcPr>
          <w:p>
            <w:pPr>
              <w:pStyle w:val="TableContents"/>
              <w:bidi w:val="0"/>
              <w:spacing w:before="0" w:after="283"/>
              <w:ind w:left="0" w:right="0" w:hanging="0"/>
              <w:jc w:val="both"/>
              <w:rPr/>
            </w:pPr>
            <w:r>
              <w:rPr/>
              <w:t> </w:t>
            </w:r>
          </w:p>
        </w:tc>
        <w:tc>
          <w:tcPr>
            <w:tcW w:w="9050" w:type="dxa"/>
            <w:tcBorders/>
            <w:vAlign w:val="center"/>
          </w:tcPr>
          <w:p>
            <w:pPr>
              <w:pStyle w:val="TableContents"/>
              <w:bidi w:val="0"/>
              <w:spacing w:before="0" w:after="283"/>
              <w:ind w:left="0" w:right="0" w:hanging="0"/>
              <w:jc w:val="both"/>
              <w:rPr/>
            </w:pPr>
            <w:r>
              <w:rPr/>
              <w:t> </w:t>
            </w:r>
          </w:p>
        </w:tc>
      </w:tr>
      <w:tr>
        <w:trPr/>
        <w:tc>
          <w:tcPr>
            <w:tcW w:w="230" w:type="dxa"/>
            <w:tcBorders/>
            <w:vAlign w:val="center"/>
          </w:tcPr>
          <w:p>
            <w:pPr>
              <w:pStyle w:val="TableContents"/>
              <w:bidi w:val="0"/>
              <w:spacing w:before="0" w:after="283"/>
              <w:ind w:left="0" w:right="0" w:hanging="0"/>
              <w:jc w:val="both"/>
              <w:rPr/>
            </w:pPr>
            <w:bookmarkStart w:id="16" w:name="xdx_90A_edei--PreCommencementTenderOffer"/>
            <w:bookmarkEnd w:id="16"/>
            <w:r>
              <w:rPr/>
              <w:t>☐</w:t>
            </w:r>
          </w:p>
        </w:tc>
        <w:tc>
          <w:tcPr>
            <w:tcW w:w="905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30" w:type="dxa"/>
            <w:tcBorders/>
            <w:vAlign w:val="center"/>
          </w:tcPr>
          <w:p>
            <w:pPr>
              <w:pStyle w:val="TableContents"/>
              <w:bidi w:val="0"/>
              <w:spacing w:before="0" w:after="283"/>
              <w:ind w:left="0" w:right="0" w:hanging="0"/>
              <w:jc w:val="both"/>
              <w:rPr/>
            </w:pPr>
            <w:r>
              <w:rPr/>
              <w:t> </w:t>
            </w:r>
          </w:p>
        </w:tc>
        <w:tc>
          <w:tcPr>
            <w:tcW w:w="9050" w:type="dxa"/>
            <w:tcBorders/>
            <w:vAlign w:val="center"/>
          </w:tcPr>
          <w:p>
            <w:pPr>
              <w:pStyle w:val="TableContents"/>
              <w:bidi w:val="0"/>
              <w:spacing w:before="0" w:after="283"/>
              <w:ind w:left="0" w:right="0" w:hanging="0"/>
              <w:jc w:val="both"/>
              <w:rPr/>
            </w:pPr>
            <w:r>
              <w:rPr/>
              <w:t> </w:t>
            </w:r>
          </w:p>
        </w:tc>
      </w:tr>
      <w:tr>
        <w:trPr/>
        <w:tc>
          <w:tcPr>
            <w:tcW w:w="230" w:type="dxa"/>
            <w:tcBorders/>
            <w:vAlign w:val="center"/>
          </w:tcPr>
          <w:p>
            <w:pPr>
              <w:pStyle w:val="TableContents"/>
              <w:bidi w:val="0"/>
              <w:spacing w:before="0" w:after="283"/>
              <w:ind w:left="0" w:right="0" w:hanging="0"/>
              <w:jc w:val="both"/>
              <w:rPr/>
            </w:pPr>
            <w:bookmarkStart w:id="17" w:name="xdx_902_edei--PreCommencementIssuerTende"/>
            <w:bookmarkEnd w:id="17"/>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both"/>
        <w:rPr>
          <w:caps w:val="false"/>
          <w:smallCaps w:val="false"/>
        </w:rPr>
      </w:pPr>
      <w:r>
        <w:rPr>
          <w:caps w:val="false"/>
          <w:smallCaps w:val="false"/>
        </w:rPr>
        <w:t> </w:t>
      </w:r>
    </w:p>
    <w:tbl>
      <w:tblPr>
        <w:tblW w:w="9045" w:type="dxa"/>
        <w:jc w:val="left"/>
        <w:tblInd w:w="0" w:type="dxa"/>
        <w:tblLayout w:type="fixed"/>
        <w:tblCellMar>
          <w:top w:w="0" w:type="dxa"/>
          <w:left w:w="0" w:type="dxa"/>
          <w:bottom w:w="28" w:type="dxa"/>
          <w:right w:w="0" w:type="dxa"/>
        </w:tblCellMar>
      </w:tblPr>
      <w:tblGrid>
        <w:gridCol w:w="3800"/>
        <w:gridCol w:w="60"/>
        <w:gridCol w:w="1535"/>
        <w:gridCol w:w="60"/>
        <w:gridCol w:w="3590"/>
      </w:tblGrid>
      <w:tr>
        <w:trPr/>
        <w:tc>
          <w:tcPr>
            <w:tcW w:w="3800"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535"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3590"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800"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bookmarkStart w:id="18" w:name="xdx_904_edei--Security12bTitle_c20260807"/>
            <w:bookmarkEnd w:id="18"/>
            <w:r>
              <w:rPr>
                <w:rFonts w:ascii="Times New Roman;Times;Serif" w:hAnsi="Times New Roman;Times;Serif"/>
                <w:b w:val="false"/>
                <w:i w:val="false"/>
                <w:caps w:val="false"/>
                <w:smallCaps w:val="false"/>
                <w:sz w:val="20"/>
              </w:rPr>
              <w:t>Common stock, par value $0.000001 per share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35" w:type="dxa"/>
            <w:tcBorders/>
            <w:tcMar>
              <w:bottom w:w="0"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bookmarkStart w:id="19" w:name="xdx_907_edei--TradingSymbol_c20260807__2"/>
            <w:bookmarkEnd w:id="19"/>
            <w:r>
              <w:rPr>
                <w:rFonts w:ascii="Times New Roman;Times;Serif" w:hAnsi="Times New Roman;Times;Serif"/>
                <w:b w:val="false"/>
                <w:i w:val="false"/>
                <w:caps w:val="false"/>
                <w:smallCaps w:val="false"/>
                <w:sz w:val="20"/>
              </w:rPr>
              <w:t>XTNT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SecurityExchangeName_c2026"/>
            <w:bookmarkEnd w:id="20"/>
            <w:r>
              <w:rPr>
                <w:rFonts w:ascii="Times New Roman;Times;Serif" w:hAnsi="Times New Roman;Times;Serif"/>
                <w:b w:val="false"/>
                <w:i w:val="false"/>
                <w:caps w:val="false"/>
                <w:smallCaps w:val="false"/>
                <w:sz w:val="20"/>
              </w:rPr>
              <w:t>NYSE American LLC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64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830"/>
        <w:gridCol w:w="4430"/>
      </w:tblGrid>
      <w:tr>
        <w:trPr/>
        <w:tc>
          <w:tcPr>
            <w:tcW w:w="830" w:type="dxa"/>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w:t>
            </w:r>
          </w:p>
        </w:tc>
        <w:tc>
          <w:tcPr>
            <w:tcW w:w="44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Submission of Matters to a Vote of Security Holders.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Xtant Medical Holdings, Inc. (the “Company”) held an Annual Meeting of Stockholders (the “Annual Meeting”) on August 7, 2026. As of the close of business on June 9, 2026, the record date for the Annual Meeting, there were 140,262,960 shares of the Company’s common stock, par value $0.000001 per share (the “Common Stock”), outstanding and entitled to vote at the Annual Meeting. Each share of Common Stock was entitled to one vote. Stockholders holding an aggregate of 104,456,998 shares of Common Stock entitled to vote at the Annual Meeting, representing 74.47% of the outstanding shares of Common Stock as of the record date, and which constituted a quorum thereof, were present in person or represented by proxy at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the Company’s stockholders considered three proposals, each of which is described in more detail in the Company’s definitive proxy statement for the Annual Meeting as filed with the Securities and Exchange Commission on June 23, 2026 (the “2026 Proxy Statement”). The final results of such stockholder voting on each proposal brought before the Annual Meeting are set forth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9"/>
        <w:gridCol w:w="9216"/>
      </w:tblGrid>
      <w:tr>
        <w:trPr/>
        <w:tc>
          <w:tcPr>
            <w:tcW w:w="989"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b/>
                <w:sz w:val="20"/>
              </w:rPr>
              <w:t>Proposal One</w:t>
            </w:r>
            <w:r>
              <w:rPr>
                <w:rFonts w:ascii="Times New Roman;Times;Serif" w:hAnsi="Times New Roman;Times;Serif"/>
                <w:sz w:val="20"/>
              </w:rPr>
              <w:t xml:space="preserve"> - </w:t>
            </w:r>
          </w:p>
        </w:tc>
        <w:tc>
          <w:tcPr>
            <w:tcW w:w="92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Election of Directors. </w:t>
            </w:r>
            <w:r>
              <w:rPr>
                <w:rFonts w:ascii="Times New Roman;Times;Serif" w:hAnsi="Times New Roman;Times;Serif"/>
                <w:sz w:val="20"/>
              </w:rPr>
              <w:t>The six nominees proposed by the Company’s Board of Directors were elected to serve as directors until the next annual meeting of stockholders and until their respective successors have been duly elected and qualified by the following final voting results:</w:t>
            </w:r>
          </w:p>
        </w:tc>
      </w:tr>
    </w:tbl>
    <w:p>
      <w:pPr>
        <w:pStyle w:val="TextBody"/>
        <w:bidi w:val="0"/>
        <w:spacing w:before="0" w:after="0"/>
        <w:ind w:left="1800" w:right="0" w:hanging="1800"/>
        <w:jc w:val="left"/>
        <w:rPr>
          <w:caps w:val="false"/>
          <w:smallCaps w:val="false"/>
        </w:rPr>
      </w:pPr>
      <w:r>
        <w:rPr>
          <w:caps w:val="false"/>
          <w:smallCaps w:val="false"/>
        </w:rPr>
        <w:t> </w:t>
      </w:r>
    </w:p>
    <w:tbl>
      <w:tblPr>
        <w:tblW w:w="6005" w:type="dxa"/>
        <w:jc w:val="left"/>
        <w:tblInd w:w="0" w:type="dxa"/>
        <w:tblLayout w:type="fixed"/>
        <w:tblCellMar>
          <w:top w:w="0" w:type="dxa"/>
          <w:left w:w="0" w:type="dxa"/>
          <w:bottom w:w="0" w:type="dxa"/>
          <w:right w:w="0" w:type="dxa"/>
        </w:tblCellMar>
      </w:tblPr>
      <w:tblGrid>
        <w:gridCol w:w="2000"/>
        <w:gridCol w:w="60"/>
        <w:gridCol w:w="950"/>
        <w:gridCol w:w="60"/>
        <w:gridCol w:w="1310"/>
        <w:gridCol w:w="60"/>
        <w:gridCol w:w="1565"/>
      </w:tblGrid>
      <w:tr>
        <w:trPr/>
        <w:tc>
          <w:tcPr>
            <w:tcW w:w="200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Withheld</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K. Bakewell</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80,444,952</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228,383</w:t>
            </w:r>
          </w:p>
        </w:tc>
        <w:tc>
          <w:tcPr>
            <w:tcW w:w="6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23,783,663</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Jonn R. Beeson</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79,698,307</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975,028</w:t>
            </w:r>
          </w:p>
        </w:tc>
        <w:tc>
          <w:tcPr>
            <w:tcW w:w="60"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23,783,663</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E. Browne</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80,428,295</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245,040</w:t>
            </w:r>
          </w:p>
        </w:tc>
        <w:tc>
          <w:tcPr>
            <w:tcW w:w="6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23,783,663</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Abhinav Jain</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80,335,481</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337,854</w:t>
            </w:r>
          </w:p>
        </w:tc>
        <w:tc>
          <w:tcPr>
            <w:tcW w:w="60"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23,783,663</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Tyler P. Lipschultz</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80,450,301</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223,034</w:t>
            </w:r>
          </w:p>
        </w:tc>
        <w:tc>
          <w:tcPr>
            <w:tcW w:w="6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23,783,663</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Stavros G. Vizirgianakis</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79,590,709</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1,082,626</w:t>
            </w:r>
          </w:p>
        </w:tc>
        <w:tc>
          <w:tcPr>
            <w:tcW w:w="60"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23,783,663</w:t>
            </w:r>
          </w:p>
        </w:tc>
      </w:tr>
    </w:tbl>
    <w:p>
      <w:pPr>
        <w:pStyle w:val="TextBody"/>
        <w:bidi w:val="0"/>
        <w:spacing w:before="0" w:after="0"/>
        <w:ind w:left="1800" w:right="0" w:hanging="18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5"/>
        <w:gridCol w:w="9270"/>
      </w:tblGrid>
      <w:tr>
        <w:trPr/>
        <w:tc>
          <w:tcPr>
            <w:tcW w:w="93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b/>
                <w:sz w:val="20"/>
              </w:rPr>
              <w:t>Proposal Two</w:t>
            </w:r>
            <w:r>
              <w:rPr>
                <w:rFonts w:ascii="Times New Roman;Times;Serif" w:hAnsi="Times New Roman;Times;Serif"/>
                <w:sz w:val="20"/>
              </w:rPr>
              <w:t xml:space="preserve"> -</w:t>
            </w:r>
          </w:p>
        </w:tc>
        <w:tc>
          <w:tcPr>
            <w:tcW w:w="92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Ratification of Appointment of Independent Registered Public Accounting Firm.</w:t>
            </w:r>
            <w:r>
              <w:rPr>
                <w:rFonts w:ascii="Times New Roman;Times;Serif" w:hAnsi="Times New Roman;Times;Serif"/>
              </w:rPr>
              <w:t xml:space="preserve"> The Company’s stockholders ratified the appointment of Grant Thornton LLP as the Company’s independent registered public accounting firm for the year ending December 31, 2026 by the following final voting results:</w:t>
            </w:r>
          </w:p>
        </w:tc>
      </w:tr>
    </w:tbl>
    <w:p>
      <w:pPr>
        <w:pStyle w:val="TextBody"/>
        <w:bidi w:val="0"/>
        <w:spacing w:before="0" w:after="0"/>
        <w:ind w:left="1800" w:right="0" w:hanging="1800"/>
        <w:jc w:val="left"/>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1070"/>
        <w:gridCol w:w="60"/>
        <w:gridCol w:w="1175"/>
        <w:gridCol w:w="60"/>
        <w:gridCol w:w="995"/>
        <w:gridCol w:w="60"/>
        <w:gridCol w:w="1565"/>
      </w:tblGrid>
      <w:tr>
        <w:trPr/>
        <w:tc>
          <w:tcPr>
            <w:tcW w:w="107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vAlign w:val="center"/>
          </w:tcPr>
          <w:p>
            <w:pPr>
              <w:pStyle w:val="TableContents"/>
              <w:bidi w:val="0"/>
              <w:spacing w:before="0" w:after="283"/>
              <w:ind w:left="0" w:right="0" w:hanging="0"/>
              <w:jc w:val="left"/>
              <w:rPr/>
            </w:pPr>
            <w:r>
              <w:rPr/>
              <w:t> </w:t>
            </w:r>
          </w:p>
        </w:tc>
        <w:tc>
          <w:tcPr>
            <w:tcW w:w="1175" w:type="dxa"/>
            <w:tcBorders/>
            <w:vAlign w:val="center"/>
          </w:tcPr>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vAlign w:val="center"/>
          </w:tcPr>
          <w:p>
            <w:pPr>
              <w:pStyle w:val="TableContents"/>
              <w:bidi w:val="0"/>
              <w:spacing w:before="0" w:after="283"/>
              <w:ind w:left="0" w:right="0" w:hanging="0"/>
              <w:jc w:val="left"/>
              <w:rPr/>
            </w:pPr>
            <w:r>
              <w:rPr/>
              <w:t> </w:t>
            </w:r>
          </w:p>
        </w:tc>
        <w:tc>
          <w:tcPr>
            <w:tcW w:w="995" w:type="dxa"/>
            <w:tcBorders/>
            <w:vAlign w:val="center"/>
          </w:tcPr>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vAlign w:val="center"/>
          </w:tcPr>
          <w:p>
            <w:pPr>
              <w:pStyle w:val="TableContents"/>
              <w:bidi w:val="0"/>
              <w:spacing w:before="0" w:after="283"/>
              <w:ind w:left="0" w:right="0" w:hanging="0"/>
              <w:jc w:val="left"/>
              <w:rPr/>
            </w:pPr>
            <w:r>
              <w:rPr/>
              <w:t> </w:t>
            </w:r>
          </w:p>
        </w:tc>
        <w:tc>
          <w:tcPr>
            <w:tcW w:w="156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0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104,245,812</w:t>
            </w:r>
          </w:p>
        </w:tc>
        <w:tc>
          <w:tcPr>
            <w:tcW w:w="60"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30,112</w:t>
            </w:r>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181,074</w:t>
            </w:r>
          </w:p>
        </w:tc>
        <w:tc>
          <w:tcPr>
            <w:tcW w:w="60" w:type="dxa"/>
            <w:tcBorders/>
            <w:shd w:fill="CCEEFF" w:val="clear"/>
            <w:vAlign w:val="center"/>
          </w:tcPr>
          <w:p>
            <w:pPr>
              <w:pStyle w:val="TableContents"/>
              <w:bidi w:val="0"/>
              <w:spacing w:before="0" w:after="283"/>
              <w:ind w:left="0" w:right="0" w:hanging="0"/>
              <w:jc w:val="left"/>
              <w:rPr/>
            </w:pPr>
            <w:r>
              <w:rPr/>
              <w:t> </w:t>
            </w:r>
          </w:p>
        </w:tc>
        <w:tc>
          <w:tcPr>
            <w:tcW w:w="15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1800" w:right="0" w:hanging="18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6"/>
        <w:gridCol w:w="9179"/>
      </w:tblGrid>
      <w:tr>
        <w:trPr/>
        <w:tc>
          <w:tcPr>
            <w:tcW w:w="1026"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b/>
                <w:sz w:val="20"/>
              </w:rPr>
              <w:t>Proposal Three</w:t>
            </w:r>
            <w:r>
              <w:rPr>
                <w:rFonts w:ascii="Times New Roman;Times;Serif" w:hAnsi="Times New Roman;Times;Serif"/>
                <w:sz w:val="20"/>
              </w:rPr>
              <w:t xml:space="preserve"> -</w:t>
            </w:r>
          </w:p>
        </w:tc>
        <w:tc>
          <w:tcPr>
            <w:tcW w:w="91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Advisory Vote on Executive Compensation. </w:t>
            </w:r>
            <w:r>
              <w:rPr>
                <w:rFonts w:ascii="Times New Roman;Times;Serif" w:hAnsi="Times New Roman;Times;Serif"/>
              </w:rPr>
              <w:t>The Company’s stockholders approved, on an advisory basis, the compensation of the Company’s executive officers named in the 2026 Proxy Statement by the following final voting results:</w:t>
            </w:r>
          </w:p>
        </w:tc>
      </w:tr>
    </w:tbl>
    <w:p>
      <w:pPr>
        <w:pStyle w:val="TextBody"/>
        <w:bidi w:val="0"/>
        <w:spacing w:before="0" w:after="0"/>
        <w:ind w:left="1800" w:right="0" w:hanging="1800"/>
        <w:jc w:val="left"/>
        <w:rPr>
          <w:caps w:val="false"/>
          <w:smallCaps w:val="false"/>
        </w:rPr>
      </w:pPr>
      <w:r>
        <w:rPr>
          <w:caps w:val="false"/>
          <w:smallCaps w:val="false"/>
        </w:rPr>
        <w:t>  </w:t>
      </w:r>
    </w:p>
    <w:tbl>
      <w:tblPr>
        <w:tblW w:w="4880" w:type="dxa"/>
        <w:jc w:val="left"/>
        <w:tblInd w:w="0" w:type="dxa"/>
        <w:tblLayout w:type="fixed"/>
        <w:tblCellMar>
          <w:top w:w="0" w:type="dxa"/>
          <w:left w:w="0" w:type="dxa"/>
          <w:bottom w:w="0" w:type="dxa"/>
          <w:right w:w="0" w:type="dxa"/>
        </w:tblCellMar>
      </w:tblPr>
      <w:tblGrid>
        <w:gridCol w:w="965"/>
        <w:gridCol w:w="60"/>
        <w:gridCol w:w="1175"/>
        <w:gridCol w:w="60"/>
        <w:gridCol w:w="995"/>
        <w:gridCol w:w="60"/>
        <w:gridCol w:w="1565"/>
      </w:tblGrid>
      <w:tr>
        <w:trPr/>
        <w:tc>
          <w:tcPr>
            <w:tcW w:w="96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vAlign w:val="center"/>
          </w:tcPr>
          <w:p>
            <w:pPr>
              <w:pStyle w:val="TableContents"/>
              <w:bidi w:val="0"/>
              <w:spacing w:before="0" w:after="283"/>
              <w:ind w:left="0" w:right="0" w:hanging="0"/>
              <w:jc w:val="left"/>
              <w:rPr/>
            </w:pPr>
            <w:r>
              <w:rPr/>
              <w:t> </w:t>
            </w:r>
          </w:p>
        </w:tc>
        <w:tc>
          <w:tcPr>
            <w:tcW w:w="1175" w:type="dxa"/>
            <w:tcBorders/>
            <w:vAlign w:val="center"/>
          </w:tcPr>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vAlign w:val="center"/>
          </w:tcPr>
          <w:p>
            <w:pPr>
              <w:pStyle w:val="TableContents"/>
              <w:bidi w:val="0"/>
              <w:spacing w:before="0" w:after="283"/>
              <w:ind w:left="0" w:right="0" w:hanging="0"/>
              <w:jc w:val="left"/>
              <w:rPr/>
            </w:pPr>
            <w:r>
              <w:rPr/>
              <w:t> </w:t>
            </w:r>
          </w:p>
        </w:tc>
        <w:tc>
          <w:tcPr>
            <w:tcW w:w="995" w:type="dxa"/>
            <w:tcBorders/>
            <w:vAlign w:val="center"/>
          </w:tcPr>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vAlign w:val="center"/>
          </w:tcPr>
          <w:p>
            <w:pPr>
              <w:pStyle w:val="TableContents"/>
              <w:bidi w:val="0"/>
              <w:spacing w:before="0" w:after="283"/>
              <w:ind w:left="0" w:right="0" w:hanging="0"/>
              <w:jc w:val="left"/>
              <w:rPr/>
            </w:pPr>
            <w:r>
              <w:rPr/>
              <w:t> </w:t>
            </w:r>
          </w:p>
        </w:tc>
        <w:tc>
          <w:tcPr>
            <w:tcW w:w="156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9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79,416,901</w:t>
            </w:r>
          </w:p>
        </w:tc>
        <w:tc>
          <w:tcPr>
            <w:tcW w:w="60"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1,030,090</w:t>
            </w:r>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226,344</w:t>
            </w:r>
          </w:p>
        </w:tc>
        <w:tc>
          <w:tcPr>
            <w:tcW w:w="60" w:type="dxa"/>
            <w:tcBorders/>
            <w:shd w:fill="CCEEFF" w:val="clear"/>
            <w:vAlign w:val="center"/>
          </w:tcPr>
          <w:p>
            <w:pPr>
              <w:pStyle w:val="TableContents"/>
              <w:bidi w:val="0"/>
              <w:spacing w:before="0" w:after="283"/>
              <w:ind w:left="0" w:right="0" w:hanging="0"/>
              <w:jc w:val="left"/>
              <w:rPr/>
            </w:pPr>
            <w:r>
              <w:rPr/>
              <w:t> </w:t>
            </w:r>
          </w:p>
        </w:tc>
        <w:tc>
          <w:tcPr>
            <w:tcW w:w="15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23,783,663</w:t>
            </w:r>
          </w:p>
        </w:tc>
      </w:tr>
    </w:tbl>
    <w:p>
      <w:pPr>
        <w:pStyle w:val="TextBody"/>
        <w:bidi w:val="0"/>
        <w:spacing w:before="0" w:after="283"/>
        <w:jc w:val="left"/>
        <w:rPr/>
      </w:pPr>
      <w:r>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995"/>
        <w:gridCol w:w="60"/>
        <w:gridCol w:w="7925"/>
      </w:tblGrid>
      <w:tr>
        <w:trPr/>
        <w:tc>
          <w:tcPr>
            <w:tcW w:w="9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ind w:left="0" w:right="0" w:hanging="0"/>
              <w:jc w:val="left"/>
              <w:rPr/>
            </w:pPr>
            <w:r>
              <w:rPr/>
              <w:t> </w:t>
            </w:r>
          </w:p>
        </w:tc>
        <w:tc>
          <w:tcPr>
            <w:tcW w:w="792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ind w:left="0" w:right="0" w:hanging="0"/>
              <w:jc w:val="left"/>
              <w:rPr/>
            </w:pPr>
            <w:r>
              <w:rPr/>
              <w:t> </w:t>
            </w:r>
          </w:p>
        </w:tc>
        <w:tc>
          <w:tcPr>
            <w:tcW w:w="7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this Current Report on Form 8-K, Formatted in Inline XBRL (filed herewith)</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3289" w:type="dxa"/>
        <w:jc w:val="left"/>
        <w:tblInd w:w="0" w:type="dxa"/>
        <w:tblLayout w:type="fixed"/>
        <w:tblCellMar>
          <w:top w:w="0" w:type="dxa"/>
          <w:left w:w="0" w:type="dxa"/>
          <w:bottom w:w="0" w:type="dxa"/>
          <w:right w:w="0" w:type="dxa"/>
        </w:tblCellMar>
      </w:tblPr>
      <w:tblGrid>
        <w:gridCol w:w="60"/>
        <w:gridCol w:w="511"/>
        <w:gridCol w:w="2718"/>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2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XTANT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MEDICAL HOLDINGS, INC.</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1" w:type="dxa"/>
            <w:tcBorders/>
            <w:vAlign w:val="center"/>
          </w:tcPr>
          <w:p>
            <w:pPr>
              <w:pStyle w:val="TableContents"/>
              <w:bidi w:val="0"/>
              <w:spacing w:before="0" w:after="283"/>
              <w:jc w:val="both"/>
              <w:rPr>
                <w:caps w:val="false"/>
                <w:smallCaps w:val="false"/>
              </w:rPr>
            </w:pPr>
            <w:r>
              <w:rPr>
                <w:caps w:val="false"/>
                <w:smallCaps w:val="false"/>
              </w:rPr>
              <w:t> </w:t>
            </w:r>
          </w:p>
        </w:tc>
        <w:tc>
          <w:tcPr>
            <w:tcW w:w="27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718"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Scott Neils</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1" w:type="dxa"/>
            <w:tcBorders/>
            <w:vAlign w:val="center"/>
          </w:tcPr>
          <w:p>
            <w:pPr>
              <w:pStyle w:val="TableContents"/>
              <w:bidi w:val="0"/>
              <w:spacing w:before="0" w:after="283"/>
              <w:jc w:val="both"/>
              <w:rPr>
                <w:caps w:val="false"/>
                <w:smallCaps w:val="false"/>
              </w:rPr>
            </w:pPr>
            <w:r>
              <w:rPr>
                <w:caps w:val="false"/>
                <w:smallCaps w:val="false"/>
              </w:rPr>
              <w:t> </w:t>
            </w:r>
          </w:p>
        </w:tc>
        <w:tc>
          <w:tcPr>
            <w:tcW w:w="27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Neils</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1" w:type="dxa"/>
            <w:tcBorders/>
            <w:vAlign w:val="center"/>
          </w:tcPr>
          <w:p>
            <w:pPr>
              <w:pStyle w:val="TableContents"/>
              <w:bidi w:val="0"/>
              <w:spacing w:before="0" w:after="283"/>
              <w:jc w:val="both"/>
              <w:rPr>
                <w:caps w:val="false"/>
                <w:smallCaps w:val="false"/>
              </w:rPr>
            </w:pPr>
            <w:r>
              <w:rPr>
                <w:caps w:val="false"/>
                <w:smallCaps w:val="false"/>
              </w:rPr>
              <w:t> </w:t>
            </w:r>
          </w:p>
        </w:tc>
        <w:tc>
          <w:tcPr>
            <w:tcW w:w="271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r>
    </w:tbl>
    <w:p>
      <w:pPr>
        <w:pStyle w:val="TextBody"/>
        <w:bidi w:val="0"/>
        <w:spacing w:before="0" w:after="0"/>
        <w:ind w:left="459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759</Words>
  <Characters>4254</Characters>
  <CharactersWithSpaces>5015</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