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1799590</wp:posOffset>
            </wp:positionH>
            <wp:positionV relativeFrom="page">
              <wp:posOffset>1569720</wp:posOffset>
            </wp:positionV>
            <wp:extent cx="4171950" cy="405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71950" cy="405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3260"/>
        <w:spacing w:after="0"/>
        <w:rPr>
          <w:sz w:val="20"/>
          <w:szCs w:val="20"/>
          <w:color w:val="auto"/>
        </w:rPr>
      </w:pPr>
      <w:r>
        <w:rPr>
          <w:rFonts w:ascii="Tahoma" w:cs="Tahoma" w:eastAsia="Tahoma" w:hAnsi="Tahoma"/>
          <w:sz w:val="36"/>
          <w:szCs w:val="36"/>
          <w:b w:val="1"/>
          <w:bCs w:val="1"/>
          <w:i w:val="1"/>
          <w:iCs w:val="1"/>
          <w:color w:val="auto"/>
        </w:rPr>
        <w:t>XTANT MEDICAL HOLDINGS, INC.</w:t>
      </w:r>
    </w:p>
    <w:p>
      <w:pPr>
        <w:sectPr>
          <w:pgSz w:w="12240" w:h="15840" w:orient="portrait"/>
          <w:cols w:equalWidth="0" w:num="1">
            <w:col w:w="9380"/>
          </w:cols>
          <w:pgMar w:left="1440" w:top="1440" w:right="1420" w:bottom="1440" w:gutter="0" w:footer="0" w:header="0"/>
        </w:sectPr>
      </w:pPr>
    </w:p>
    <w:p>
      <w:pPr>
        <w:spacing w:after="0" w:line="240" w:lineRule="exact"/>
        <w:rPr>
          <w:sz w:val="24"/>
          <w:szCs w:val="24"/>
          <w:color w:val="auto"/>
        </w:rPr>
      </w:pPr>
    </w:p>
    <w:p>
      <w:pPr>
        <w:ind w:left="5240"/>
        <w:spacing w:after="0"/>
        <w:rPr>
          <w:sz w:val="20"/>
          <w:szCs w:val="20"/>
          <w:color w:val="auto"/>
        </w:rPr>
      </w:pPr>
      <w:r>
        <w:rPr>
          <w:rFonts w:ascii="Tahoma" w:cs="Tahoma" w:eastAsia="Tahoma" w:hAnsi="Tahoma"/>
          <w:sz w:val="35"/>
          <w:szCs w:val="35"/>
          <w:b w:val="1"/>
          <w:bCs w:val="1"/>
          <w:i w:val="1"/>
          <w:iCs w:val="1"/>
          <w:color w:val="auto"/>
        </w:rPr>
        <w:t>2025 ANNUAL REPORT</w:t>
      </w:r>
    </w:p>
    <w:p>
      <w:pPr>
        <w:sectPr>
          <w:pgSz w:w="12240" w:h="15840" w:orient="portrait"/>
          <w:cols w:equalWidth="0" w:num="1">
            <w:col w:w="9380"/>
          </w:cols>
          <w:pgMar w:left="1440" w:top="1440" w:right="1420" w:bottom="1440" w:gutter="0" w:footer="0" w:header="0"/>
          <w:type w:val="continuous"/>
        </w:sectPr>
      </w:pPr>
    </w:p>
    <w:p>
      <w:pPr>
        <w:spacing w:after="0" w:line="252" w:lineRule="exact"/>
        <w:rPr>
          <w:sz w:val="24"/>
          <w:szCs w:val="24"/>
          <w:color w:val="auto"/>
        </w:rPr>
      </w:pPr>
    </w:p>
    <w:p>
      <w:pPr>
        <w:ind w:left="7320"/>
        <w:spacing w:after="0"/>
        <w:rPr>
          <w:sz w:val="20"/>
          <w:szCs w:val="20"/>
          <w:color w:val="auto"/>
        </w:rPr>
      </w:pPr>
      <w:r>
        <w:rPr>
          <w:rFonts w:ascii="Tahoma" w:cs="Tahoma" w:eastAsia="Tahoma" w:hAnsi="Tahoma"/>
          <w:sz w:val="36"/>
          <w:szCs w:val="36"/>
          <w:b w:val="1"/>
          <w:bCs w:val="1"/>
          <w:i w:val="1"/>
          <w:iCs w:val="1"/>
          <w:color w:val="auto"/>
        </w:rPr>
        <w:t>FORM 10-K</w:t>
      </w:r>
    </w:p>
    <w:p>
      <w:pPr>
        <w:sectPr>
          <w:pgSz w:w="12240" w:h="15840" w:orient="portrait"/>
          <w:cols w:equalWidth="0" w:num="1">
            <w:col w:w="9380"/>
          </w:cols>
          <w:pgMar w:left="1440" w:top="1440" w:right="142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2724150</wp:posOffset>
            </wp:positionH>
            <wp:positionV relativeFrom="page">
              <wp:posOffset>610235</wp:posOffset>
            </wp:positionV>
            <wp:extent cx="2317750" cy="546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17750"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Dear Fellow Stockholders,</w:t>
      </w:r>
    </w:p>
    <w:p>
      <w:pPr>
        <w:spacing w:after="0" w:line="244"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2025 was a transformational year for Xtant Medical as we leveraged certain opportunities and exited the year as a leaner, stronger, and more focused company. In 2016, we believe we are well positioned to manage the challenges we are facing and capitalize on the many opportunities we have and which underpin our strategic initiatives for the year.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A Transformational Year</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Fiscal year 2025 delivered full-year revenue of $134 million, representing growth of 14% over 2024. More importantly, we achieved net income of $5 million and non-GAAP adjusted EBITDA of $16 million — a dramatic turnaround from a net loss of $16 million and a non-GAAP adjusted EBITDA loss of approximately $2 million in 2024.</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43"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color w:val="auto"/>
        </w:rPr>
        <w:t>The most meaningful milestone of 2025 was achieving positive cash flow and positive net earnings for the full year — goals we have been working toward through disciplined financial management. Starting from a difficult liquidity position at the end of 2024, we made steady progress each quarter during 2025, resulting in us entering into 2026 in a solid financial position. Specifically, in 2025, we:</w:t>
      </w:r>
    </w:p>
    <w:p>
      <w:pPr>
        <w:spacing w:after="0" w:line="200" w:lineRule="exact"/>
        <w:rPr>
          <w:sz w:val="20"/>
          <w:szCs w:val="20"/>
          <w:color w:val="auto"/>
        </w:rPr>
      </w:pPr>
    </w:p>
    <w:p>
      <w:pPr>
        <w:ind w:left="720" w:hanging="360"/>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Achieved positive net income of $5 million, compared to a net loss of $16 million in 2024.</w:t>
      </w:r>
    </w:p>
    <w:p>
      <w:pPr>
        <w:spacing w:after="0" w:line="253" w:lineRule="exact"/>
        <w:rPr>
          <w:rFonts w:ascii="Arial" w:cs="Arial" w:eastAsia="Arial" w:hAnsi="Arial"/>
          <w:sz w:val="20"/>
          <w:szCs w:val="20"/>
          <w:color w:val="auto"/>
        </w:rPr>
      </w:pPr>
    </w:p>
    <w:p>
      <w:pPr>
        <w:ind w:left="720" w:right="40" w:hanging="360"/>
        <w:spacing w:after="0" w:line="283"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Generated adjusted EBITDA of $16 million, compared to an adjusted EBITDA loss of $2 million in the prior year.</w:t>
      </w:r>
    </w:p>
    <w:p>
      <w:pPr>
        <w:spacing w:after="0" w:line="170" w:lineRule="exact"/>
        <w:rPr>
          <w:rFonts w:ascii="Arial" w:cs="Arial" w:eastAsia="Arial" w:hAnsi="Arial"/>
          <w:sz w:val="20"/>
          <w:szCs w:val="20"/>
          <w:color w:val="auto"/>
        </w:rPr>
      </w:pPr>
    </w:p>
    <w:p>
      <w:pPr>
        <w:ind w:left="720" w:right="880" w:hanging="360"/>
        <w:spacing w:after="0" w:line="283"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Strengthened our balance sheet, ending the year with over $17 million in cash and cash equivalents.</w:t>
      </w:r>
    </w:p>
    <w:p>
      <w:pPr>
        <w:spacing w:after="0" w:line="171" w:lineRule="exact"/>
        <w:rPr>
          <w:rFonts w:ascii="Arial" w:cs="Arial" w:eastAsia="Arial" w:hAnsi="Arial"/>
          <w:sz w:val="20"/>
          <w:szCs w:val="20"/>
          <w:color w:val="auto"/>
        </w:rPr>
      </w:pPr>
    </w:p>
    <w:p>
      <w:pPr>
        <w:ind w:left="720" w:right="180" w:hanging="360"/>
        <w:spacing w:after="0" w:line="283"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Completed the divestiture of our non-core Coflex® and CoFix assets and international hardware business to Companion Spine for over $21 million in total consideration.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Achievements</w:t>
      </w:r>
    </w:p>
    <w:p>
      <w:pPr>
        <w:spacing w:after="0" w:line="243"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On the operational front, 2025 was a year of significant transformation as we made bold, but sometimes difficult, decisions that we believe will pay off for years to come:</w:t>
      </w:r>
    </w:p>
    <w:p>
      <w:pPr>
        <w:spacing w:after="0" w:line="170" w:lineRule="exact"/>
        <w:rPr>
          <w:sz w:val="20"/>
          <w:szCs w:val="20"/>
          <w:color w:val="auto"/>
        </w:rPr>
      </w:pPr>
    </w:p>
    <w:p>
      <w:pPr>
        <w:ind w:left="720" w:hanging="360"/>
        <w:spacing w:after="0" w:line="26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the vertical integration of our biologics business, giving us greater control over product quality, cost structure, and supply chain reliability, and becoming a meaningful competitive differentiator and key driver to improving our margins.</w:t>
      </w:r>
    </w:p>
    <w:p>
      <w:pPr>
        <w:spacing w:after="0" w:line="191" w:lineRule="exact"/>
        <w:rPr>
          <w:rFonts w:ascii="Arial" w:cs="Arial" w:eastAsia="Arial" w:hAnsi="Arial"/>
          <w:sz w:val="20"/>
          <w:szCs w:val="20"/>
          <w:color w:val="auto"/>
        </w:rPr>
      </w:pPr>
    </w:p>
    <w:p>
      <w:pPr>
        <w:ind w:left="720" w:right="120" w:hanging="360"/>
        <w:spacing w:after="0" w:line="311" w:lineRule="auto"/>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color w:val="auto"/>
        </w:rPr>
        <w:t>Successfully divested our underperforming non-core Coflex® and CoFix assets and international hardware business, sharpening our focus on our core, high-margin biologics business.</w:t>
      </w:r>
    </w:p>
    <w:p>
      <w:pPr>
        <w:spacing w:after="0" w:line="146" w:lineRule="exact"/>
        <w:rPr>
          <w:rFonts w:ascii="Arial" w:cs="Arial" w:eastAsia="Arial" w:hAnsi="Arial"/>
          <w:sz w:val="19"/>
          <w:szCs w:val="19"/>
          <w:color w:val="auto"/>
        </w:rPr>
      </w:pPr>
    </w:p>
    <w:p>
      <w:pPr>
        <w:ind w:left="720" w:right="120" w:hanging="360"/>
        <w:spacing w:after="0" w:line="283"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Closed our Greenville, NC facility and are in the process of moving the production of our nanOss products to our Belgrade, MT facility.</w:t>
      </w:r>
    </w:p>
    <w:p>
      <w:pPr>
        <w:spacing w:after="0" w:line="171" w:lineRule="exact"/>
        <w:rPr>
          <w:rFonts w:ascii="Arial" w:cs="Arial" w:eastAsia="Arial" w:hAnsi="Arial"/>
          <w:sz w:val="20"/>
          <w:szCs w:val="20"/>
          <w:color w:val="auto"/>
        </w:rPr>
      </w:pPr>
    </w:p>
    <w:p>
      <w:pPr>
        <w:ind w:left="720" w:right="20" w:hanging="360"/>
        <w:spacing w:after="0" w:line="26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Discontinued our Millstone third-party logistics arrangement which our Surgalign spine fixation products were managed and distributed, which we believe will dramatically improve our service of these products and reduce costs.</w:t>
      </w:r>
    </w:p>
    <w:p>
      <w:pPr>
        <w:sectPr>
          <w:pgSz w:w="12240" w:h="15840" w:orient="portrait"/>
          <w:cols w:equalWidth="0" w:num="1">
            <w:col w:w="9360"/>
          </w:cols>
          <w:pgMar w:left="1440" w:top="1440" w:right="1440" w:bottom="923"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2724150</wp:posOffset>
            </wp:positionH>
            <wp:positionV relativeFrom="page">
              <wp:posOffset>610235</wp:posOffset>
            </wp:positionV>
            <wp:extent cx="2317750" cy="546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17750" cy="5461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720" w:right="420" w:hanging="360"/>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Launched five new products, including OsteoFactor Pro, Trivium, FibreX, nanOss Strata, and CollagenX, expanding our biologics portfolio and addressable market.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Performance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Our commercial results in 2025 were mixed:</w:t>
      </w:r>
    </w:p>
    <w:p>
      <w:pPr>
        <w:spacing w:after="0" w:line="252" w:lineRule="exact"/>
        <w:rPr>
          <w:sz w:val="20"/>
          <w:szCs w:val="20"/>
          <w:color w:val="auto"/>
        </w:rPr>
      </w:pPr>
    </w:p>
    <w:p>
      <w:pPr>
        <w:ind w:left="720" w:right="80" w:hanging="360"/>
        <w:spacing w:after="0" w:line="262"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private label channel stood out, growing by approximately $10 million by taking advantage of certain opportunities to utilize our expanded processing capabilities, and representing a significant and underutilized opportunity for us.</w:t>
      </w:r>
    </w:p>
    <w:p>
      <w:pPr>
        <w:spacing w:after="0" w:line="191" w:lineRule="exact"/>
        <w:rPr>
          <w:rFonts w:ascii="Arial" w:cs="Arial" w:eastAsia="Arial" w:hAnsi="Arial"/>
          <w:sz w:val="20"/>
          <w:szCs w:val="20"/>
          <w:color w:val="auto"/>
        </w:rPr>
      </w:pPr>
    </w:p>
    <w:p>
      <w:pPr>
        <w:ind w:left="720" w:right="80" w:hanging="360"/>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made meaningful progress re-focusing our commercial organization around growing our core biologics business, a realignment that we believe positions us well for 2026 and future years.</w:t>
      </w:r>
    </w:p>
    <w:p>
      <w:pPr>
        <w:spacing w:after="0" w:line="170" w:lineRule="exact"/>
        <w:rPr>
          <w:rFonts w:ascii="Arial" w:cs="Arial" w:eastAsia="Arial" w:hAnsi="Arial"/>
          <w:sz w:val="20"/>
          <w:szCs w:val="20"/>
          <w:color w:val="auto"/>
        </w:rPr>
      </w:pPr>
    </w:p>
    <w:p>
      <w:pPr>
        <w:ind w:left="720" w:right="280" w:hanging="360"/>
        <w:spacing w:after="0" w:line="262"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added four new regional sales representatives toward year-end and the beginning of 2026, which we believe was necessary to help build the commercial infrastructure we need to drive future growth.</w:t>
      </w:r>
    </w:p>
    <w:p>
      <w:pPr>
        <w:spacing w:after="0" w:line="190" w:lineRule="exact"/>
        <w:rPr>
          <w:rFonts w:ascii="Arial" w:cs="Arial" w:eastAsia="Arial" w:hAnsi="Arial"/>
          <w:sz w:val="20"/>
          <w:szCs w:val="20"/>
          <w:color w:val="auto"/>
        </w:rPr>
      </w:pPr>
    </w:p>
    <w:p>
      <w:pPr>
        <w:ind w:left="720" w:right="100" w:hanging="360"/>
        <w:spacing w:after="0" w:line="261"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Although we lost share with our Independent Agent (IA) channel during 2025, rebuilding and growing this channel is a top priority for 2026, and we have taken and continue to take deliberate steps to address this need.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The Year of Execution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view 2026 as a year of execution, including the following strategic initiatives: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Grow Our Independent Agent Business</w:t>
      </w:r>
    </w:p>
    <w:p>
      <w:pPr>
        <w:spacing w:after="0" w:line="243"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Re-energizing and growing our IA channel is our most important near-term commercial priority. We are investing across all revenue-generating levers necessary to make this happen, including growing our sales management personnel, building greater regional presence and depth with National Accounts to drive institutional adoption at scale across hospital systems and large practice groups, and providing stronger marketing support.</w:t>
      </w:r>
    </w:p>
    <w:p>
      <w:pPr>
        <w:spacing w:after="0" w:line="19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April 2026, we obtained the exclusive distribution rights from Dilon Technologies, Inc. to import, market, distribute and sell the HEMOBLAST® Bellows product in the United States, which is an FDA-approved powder-based, topical, surgical hemostatic agent used to control bleeding during surgical procedures. As part of this arrangement, we hired approximately 20 former Dilon sales personnel. We believe the addition of these sales personnel, who have call points in areas outside of our normal spine and orthopedic areas, and eventually will be selling all of our Xtant biologics products, will prove to be instrumental in our ability to diversify into high-value adjacent markets and drive significant growth within our IA channel.</w:t>
      </w:r>
    </w:p>
    <w:p>
      <w:pPr>
        <w:spacing w:after="0" w:line="191" w:lineRule="exact"/>
        <w:rPr>
          <w:sz w:val="20"/>
          <w:szCs w:val="20"/>
          <w:color w:val="auto"/>
        </w:rPr>
      </w:pPr>
    </w:p>
    <w:p>
      <w:pPr>
        <w:ind w:right="1080"/>
        <w:spacing w:after="0" w:line="298" w:lineRule="auto"/>
        <w:tabs>
          <w:tab w:leader="none" w:pos="222"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Focus on our Biologics Products Through Continued New Product Development and Production Optimization</w:t>
      </w:r>
    </w:p>
    <w:p>
      <w:pPr>
        <w:spacing w:after="0" w:line="132"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We intend to continue to build on our innovation track record in 2026, with a few high-priority new product launches, including:</w:t>
      </w:r>
    </w:p>
    <w:p>
      <w:pPr>
        <w:spacing w:after="0" w:line="170" w:lineRule="exact"/>
        <w:rPr>
          <w:sz w:val="20"/>
          <w:szCs w:val="20"/>
          <w:color w:val="auto"/>
        </w:rPr>
      </w:pPr>
    </w:p>
    <w:p>
      <w:pPr>
        <w:ind w:left="720" w:right="320" w:hanging="360"/>
        <w:spacing w:after="0" w:line="283"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Trivium Shaped (Molded Trivium): A line extension of our Trivium platform offering pre-shaped graft configurations in boats and strips, which we just launched in May 2026.</w:t>
      </w:r>
    </w:p>
    <w:p>
      <w:pPr>
        <w:sectPr>
          <w:pgSz w:w="12240" w:h="15840" w:orient="portrait"/>
          <w:cols w:equalWidth="0" w:num="1">
            <w:col w:w="9360"/>
          </w:cols>
          <w:pgMar w:left="14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2724150</wp:posOffset>
            </wp:positionH>
            <wp:positionV relativeFrom="page">
              <wp:posOffset>610235</wp:posOffset>
            </wp:positionV>
            <wp:extent cx="2317750" cy="54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17750" cy="5461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720" w:right="240" w:hanging="360"/>
        <w:spacing w:after="0" w:line="26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Ematrix Collagen (CollagenX Pro): Our internally developed collagen particulate for surgical wound closure, which we are working with the FDA to define the 510(k) pathway and anticipate commercial availability in fourth quarter of 2026 or first quarter of 2027.</w:t>
      </w:r>
    </w:p>
    <w:p>
      <w:pPr>
        <w:spacing w:after="0" w:line="192" w:lineRule="exact"/>
        <w:rPr>
          <w:rFonts w:ascii="Arial" w:cs="Arial" w:eastAsia="Arial" w:hAnsi="Arial"/>
          <w:sz w:val="20"/>
          <w:szCs w:val="20"/>
          <w:color w:val="auto"/>
        </w:rPr>
      </w:pPr>
    </w:p>
    <w:p>
      <w:pPr>
        <w:ind w:left="720" w:right="60" w:hanging="360"/>
        <w:spacing w:after="0" w:line="283"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Flowable Fiber Graft Gun: A line extension for MIS delivery of our DBM fiber product, targeted for fourth quarter of 2026.</w:t>
      </w:r>
    </w:p>
    <w:p>
      <w:pPr>
        <w:spacing w:after="0" w:line="15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We also intend to continue our product optimization efforts, including bringing in-house the manufacturing of our nanOss and Ematrix products at our facility in Belgrade, MT and other process improvement initiatives.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Address Increased Private Label Demand For Our Full Offering of Biologics</w:t>
      </w:r>
    </w:p>
    <w:p>
      <w:pPr>
        <w:spacing w:after="0" w:line="244" w:lineRule="exact"/>
        <w:rPr>
          <w:sz w:val="20"/>
          <w:szCs w:val="20"/>
          <w:color w:val="auto"/>
        </w:rPr>
      </w:pPr>
    </w:p>
    <w:p>
      <w:pPr>
        <w:jc w:val="both"/>
        <w:ind w:right="240"/>
        <w:spacing w:after="0" w:line="254" w:lineRule="auto"/>
        <w:rPr>
          <w:sz w:val="20"/>
          <w:szCs w:val="20"/>
          <w:color w:val="auto"/>
        </w:rPr>
      </w:pPr>
      <w:r>
        <w:rPr>
          <w:rFonts w:ascii="Arial" w:cs="Arial" w:eastAsia="Arial" w:hAnsi="Arial"/>
          <w:sz w:val="20"/>
          <w:szCs w:val="20"/>
          <w:color w:val="auto"/>
        </w:rPr>
        <w:t>Our private label channel represents one of our most significant and underutilized growth opportunities. With a robust and expanding pipeline of prospective partners across our product categories, we believe we are still only scratching the surface of what this channel can contribute; and, therefore, growing our private label biologics revenue in 2026 is a core priority.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Closing Thoughts</w:t>
      </w:r>
    </w:p>
    <w:p>
      <w:pPr>
        <w:spacing w:after="0" w:line="24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 xml:space="preserve">I want to close by saying thank you — to our employees and independent agents, who demonstrated remarkable resilience and commitment through a year of significant change; to our surgeons and clinical partners, who trust us to deliver innovative, high-quality solutions that improve patient outcomes; and to you, our stockholders, for your continued confidence and support. Most of all, thanks to our donors and donor families who make possible our mission to </w:t>
      </w:r>
      <w:r>
        <w:rPr>
          <w:rFonts w:ascii="Arial" w:cs="Arial" w:eastAsia="Arial" w:hAnsi="Arial"/>
          <w:sz w:val="20"/>
          <w:szCs w:val="20"/>
          <w:i w:val="1"/>
          <w:iCs w:val="1"/>
          <w:color w:val="auto"/>
        </w:rPr>
        <w:t>Honor the gift of donation by allowing our patients to live</w:t>
      </w:r>
      <w:r>
        <w:rPr>
          <w:rFonts w:ascii="Arial" w:cs="Arial" w:eastAsia="Arial" w:hAnsi="Arial"/>
          <w:sz w:val="20"/>
          <w:szCs w:val="20"/>
          <w:color w:val="auto"/>
        </w:rPr>
        <w:t xml:space="preserve"> </w:t>
      </w:r>
      <w:r>
        <w:rPr>
          <w:rFonts w:ascii="Arial" w:cs="Arial" w:eastAsia="Arial" w:hAnsi="Arial"/>
          <w:sz w:val="20"/>
          <w:szCs w:val="20"/>
          <w:i w:val="1"/>
          <w:iCs w:val="1"/>
          <w:color w:val="auto"/>
        </w:rPr>
        <w:t>as full and complete a life as possible.</w:t>
      </w:r>
    </w:p>
    <w:p>
      <w:pPr>
        <w:spacing w:after="0" w:line="194" w:lineRule="exact"/>
        <w:rPr>
          <w:sz w:val="20"/>
          <w:szCs w:val="20"/>
          <w:color w:val="auto"/>
        </w:rPr>
      </w:pPr>
    </w:p>
    <w:p>
      <w:pPr>
        <w:jc w:val="both"/>
        <w:ind w:right="240"/>
        <w:spacing w:after="0" w:line="261" w:lineRule="auto"/>
        <w:rPr>
          <w:sz w:val="20"/>
          <w:szCs w:val="20"/>
          <w:color w:val="auto"/>
        </w:rPr>
      </w:pPr>
      <w:r>
        <w:rPr>
          <w:rFonts w:ascii="Arial" w:cs="Arial" w:eastAsia="Arial" w:hAnsi="Arial"/>
          <w:sz w:val="20"/>
          <w:szCs w:val="20"/>
          <w:color w:val="auto"/>
        </w:rPr>
        <w:t>We are not the same company we were two years ago. We are leaner, more focused, and increasingly recognized as a leader in regenerative biologics. The work of 2025 set the table. The work of 2026 is to execute — and we intend to do exactly that.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updating you on our continued progress.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27940</wp:posOffset>
            </wp:positionV>
            <wp:extent cx="1521460" cy="587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Sean Browne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President and Chief Executive Officer</w:t>
      </w:r>
    </w:p>
    <w:p>
      <w:pPr>
        <w:sectPr>
          <w:pgSz w:w="12240" w:h="15840" w:orient="portrait"/>
          <w:cols w:equalWidth="0" w:num="1">
            <w:col w:w="9360"/>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5" w:name="page6"/>
    <w:bookmarkEnd w:id="5"/>
    <w:p>
      <w:pPr>
        <w:jc w:val="center"/>
        <w:ind w:right="12"/>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731520</wp:posOffset>
                </wp:positionH>
                <wp:positionV relativeFrom="page">
                  <wp:posOffset>567690</wp:posOffset>
                </wp:positionV>
                <wp:extent cx="63093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5319">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6pt,44.7pt" to="554.4pt,44.7pt" o:allowincell="f" strokecolor="#000000" strokeweight="0.4188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-184785</wp:posOffset>
                </wp:positionV>
                <wp:extent cx="63093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532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499pt" to="496.8pt,-14.5499pt" o:allowincell="f" strokecolor="#000000" strokeweight="0.4191pt"/>
            </w:pict>
          </mc:Fallback>
        </mc:AlternateContent>
      </w:r>
    </w:p>
    <w:p>
      <w:pPr>
        <w:spacing w:after="0" w:line="2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2"/>
        <w:spacing w:after="0" w:line="238" w:lineRule="auto"/>
        <w:rPr>
          <w:sz w:val="20"/>
          <w:szCs w:val="20"/>
          <w:color w:val="auto"/>
        </w:rPr>
      </w:pPr>
      <w:r>
        <w:rPr>
          <w:rFonts w:ascii="Times New Roman" w:cs="Times New Roman" w:eastAsia="Times New Roman" w:hAnsi="Times New Roman"/>
          <w:sz w:val="24"/>
          <w:szCs w:val="24"/>
          <w:b w:val="1"/>
          <w:bCs w:val="1"/>
          <w:color w:val="auto"/>
        </w:rPr>
        <w:t>Washington, D.C. 20549</w:t>
      </w:r>
    </w:p>
    <w:p>
      <w:pPr>
        <w:ind w:left="3468"/>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jc w:val="center"/>
        <w:ind w:right="12"/>
        <w:spacing w:after="0" w:line="239" w:lineRule="auto"/>
        <w:rPr>
          <w:sz w:val="20"/>
          <w:szCs w:val="20"/>
          <w:color w:val="auto"/>
        </w:rPr>
      </w:pPr>
      <w:r>
        <w:rPr>
          <w:rFonts w:ascii="Times New Roman" w:cs="Times New Roman" w:eastAsia="Times New Roman" w:hAnsi="Times New Roman"/>
          <w:sz w:val="32"/>
          <w:szCs w:val="32"/>
          <w:b w:val="1"/>
          <w:bCs w:val="1"/>
          <w:color w:val="auto"/>
        </w:rPr>
        <w:t>FORM 10-K</w:t>
      </w:r>
    </w:p>
    <w:p>
      <w:pPr>
        <w:ind w:left="8"/>
        <w:spacing w:after="0" w:line="231" w:lineRule="auto"/>
        <w:rPr>
          <w:sz w:val="20"/>
          <w:szCs w:val="20"/>
          <w:color w:val="auto"/>
        </w:rPr>
      </w:pPr>
      <w:r>
        <w:rPr>
          <w:rFonts w:ascii="Times New Roman" w:cs="Times New Roman" w:eastAsia="Times New Roman" w:hAnsi="Times New Roman"/>
          <w:sz w:val="18"/>
          <w:szCs w:val="18"/>
          <w:color w:val="auto"/>
        </w:rPr>
        <w:t>(Mark One)</w:t>
      </w:r>
    </w:p>
    <w:p>
      <w:pPr>
        <w:ind w:left="428" w:hanging="428"/>
        <w:spacing w:after="0" w:line="205" w:lineRule="auto"/>
        <w:tabs>
          <w:tab w:leader="none" w:pos="428" w:val="left"/>
        </w:tabs>
        <w:numPr>
          <w:ilvl w:val="0"/>
          <w:numId w:val="8"/>
        </w:numPr>
        <w:rPr>
          <w:rFonts w:ascii="PMingLiU" w:cs="PMingLiU" w:eastAsia="PMingLiU" w:hAnsi="PMingLiU"/>
          <w:sz w:val="32"/>
          <w:szCs w:val="3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 w:lineRule="exact"/>
        <w:rPr>
          <w:rFonts w:ascii="PMingLiU" w:cs="PMingLiU" w:eastAsia="PMingLiU" w:hAnsi="PMingLiU"/>
          <w:sz w:val="32"/>
          <w:szCs w:val="32"/>
          <w:color w:val="auto"/>
        </w:rPr>
      </w:pPr>
    </w:p>
    <w:p>
      <w:pPr>
        <w:ind w:left="3088"/>
        <w:spacing w:after="0"/>
        <w:rPr>
          <w:rFonts w:ascii="PMingLiU" w:cs="PMingLiU" w:eastAsia="PMingLiU" w:hAnsi="PMingLiU"/>
          <w:sz w:val="32"/>
          <w:szCs w:val="32"/>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or</w:t>
      </w:r>
    </w:p>
    <w:p>
      <w:pPr>
        <w:ind w:left="428" w:hanging="428"/>
        <w:spacing w:after="0" w:line="205" w:lineRule="auto"/>
        <w:tabs>
          <w:tab w:leader="none" w:pos="428" w:val="left"/>
        </w:tabs>
        <w:numPr>
          <w:ilvl w:val="0"/>
          <w:numId w:val="9"/>
        </w:numPr>
        <w:rPr>
          <w:rFonts w:ascii="PMingLiU" w:cs="PMingLiU" w:eastAsia="PMingLiU" w:hAnsi="PMingLiU"/>
          <w:sz w:val="32"/>
          <w:szCs w:val="3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 w:lineRule="exact"/>
        <w:rPr>
          <w:rFonts w:ascii="PMingLiU" w:cs="PMingLiU" w:eastAsia="PMingLiU" w:hAnsi="PMingLiU"/>
          <w:sz w:val="32"/>
          <w:szCs w:val="32"/>
          <w:color w:val="auto"/>
        </w:rPr>
      </w:pPr>
    </w:p>
    <w:p>
      <w:pPr>
        <w:ind w:left="1928"/>
        <w:spacing w:after="0"/>
        <w:rPr>
          <w:rFonts w:ascii="PMingLiU" w:cs="PMingLiU" w:eastAsia="PMingLiU" w:hAnsi="PMingLiU"/>
          <w:sz w:val="32"/>
          <w:szCs w:val="32"/>
          <w:color w:val="auto"/>
        </w:rPr>
      </w:pPr>
      <w:r>
        <w:rPr>
          <w:rFonts w:ascii="Times New Roman" w:cs="Times New Roman" w:eastAsia="Times New Roman" w:hAnsi="Times New Roman"/>
          <w:sz w:val="20"/>
          <w:szCs w:val="20"/>
          <w:color w:val="auto"/>
        </w:rPr>
        <w:t>For the transition period from ________________ to __________________</w:t>
      </w:r>
    </w:p>
    <w:p>
      <w:pPr>
        <w:spacing w:after="0" w:line="38"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20"/>
          <w:szCs w:val="20"/>
          <w:b w:val="1"/>
          <w:bCs w:val="1"/>
          <w:color w:val="auto"/>
        </w:rPr>
        <w:t>Commission file number 001-34951</w:t>
      </w:r>
    </w:p>
    <w:p>
      <w:pPr>
        <w:spacing w:after="0" w:line="32"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20"/>
          <w:szCs w:val="20"/>
          <w:b w:val="1"/>
          <w:bCs w:val="1"/>
          <w:i w:val="1"/>
          <w:iCs w:val="1"/>
          <w:color w:val="auto"/>
        </w:rPr>
        <w:t>____________________</w:t>
      </w:r>
    </w:p>
    <w:p>
      <w:pPr>
        <w:spacing w:after="0" w:line="7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bl>
      <w:tblPr>
        <w:tblLayout w:type="fixed"/>
        <w:tblInd w:w="608" w:type="dxa"/>
        <w:tblCellMar>
          <w:top w:w="0" w:type="dxa"/>
          <w:left w:w="0" w:type="dxa"/>
          <w:bottom w:w="0" w:type="dxa"/>
          <w:right w:w="0" w:type="dxa"/>
        </w:tblCellMar>
      </w:tblPr>
      <w:tr>
        <w:trPr>
          <w:trHeight w:val="181"/>
        </w:trPr>
        <w:tc>
          <w:tcPr>
            <w:tcW w:w="5540" w:type="dxa"/>
            <w:vAlign w:val="bottom"/>
          </w:tcPr>
          <w:p>
            <w:pPr>
              <w:jc w:val="center"/>
              <w:ind w:right="903"/>
              <w:spacing w:after="0" w:line="181"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3340" w:type="dxa"/>
            <w:vAlign w:val="bottom"/>
          </w:tcPr>
          <w:p>
            <w:pPr>
              <w:jc w:val="right"/>
              <w:ind w:right="803"/>
              <w:spacing w:after="0" w:line="181" w:lineRule="exact"/>
              <w:rPr>
                <w:sz w:val="20"/>
                <w:szCs w:val="20"/>
                <w:color w:val="auto"/>
              </w:rPr>
            </w:pPr>
            <w:r>
              <w:rPr>
                <w:rFonts w:ascii="Times New Roman" w:cs="Times New Roman" w:eastAsia="Times New Roman" w:hAnsi="Times New Roman"/>
                <w:sz w:val="20"/>
                <w:szCs w:val="20"/>
                <w:b w:val="1"/>
                <w:bCs w:val="1"/>
                <w:color w:val="auto"/>
              </w:rPr>
              <w:t>20-5313323</w:t>
            </w:r>
          </w:p>
        </w:tc>
      </w:tr>
      <w:tr>
        <w:trPr>
          <w:trHeight w:val="274"/>
        </w:trPr>
        <w:tc>
          <w:tcPr>
            <w:tcW w:w="5540" w:type="dxa"/>
            <w:vAlign w:val="bottom"/>
          </w:tcPr>
          <w:p>
            <w:pPr>
              <w:jc w:val="center"/>
              <w:ind w:right="903"/>
              <w:spacing w:after="0"/>
              <w:rPr>
                <w:sz w:val="20"/>
                <w:szCs w:val="20"/>
                <w:color w:val="auto"/>
              </w:rPr>
            </w:pPr>
            <w:r>
              <w:rPr>
                <w:rFonts w:ascii="Times New Roman" w:cs="Times New Roman" w:eastAsia="Times New Roman" w:hAnsi="Times New Roman"/>
                <w:sz w:val="19"/>
                <w:szCs w:val="19"/>
                <w:color w:val="auto"/>
                <w:w w:val="99"/>
              </w:rPr>
              <w:t>(State or other jurisdiction of incorporation or organization)</w:t>
            </w:r>
          </w:p>
        </w:tc>
        <w:tc>
          <w:tcPr>
            <w:tcW w:w="334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w w:val="99"/>
              </w:rPr>
              <w:t>(I.R.S. Employer Identification No.)</w:t>
            </w:r>
          </w:p>
        </w:tc>
      </w:tr>
      <w:tr>
        <w:trPr>
          <w:trHeight w:val="229"/>
        </w:trPr>
        <w:tc>
          <w:tcPr>
            <w:tcW w:w="5540" w:type="dxa"/>
            <w:vAlign w:val="bottom"/>
          </w:tcPr>
          <w:p>
            <w:pPr>
              <w:jc w:val="center"/>
              <w:ind w:right="903"/>
              <w:spacing w:after="0"/>
              <w:rPr>
                <w:sz w:val="20"/>
                <w:szCs w:val="20"/>
                <w:color w:val="auto"/>
              </w:rPr>
            </w:pPr>
            <w:r>
              <w:rPr>
                <w:rFonts w:ascii="Times New Roman" w:cs="Times New Roman" w:eastAsia="Times New Roman" w:hAnsi="Times New Roman"/>
                <w:sz w:val="20"/>
                <w:szCs w:val="20"/>
                <w:b w:val="1"/>
                <w:bCs w:val="1"/>
                <w:color w:val="auto"/>
              </w:rPr>
              <w:t>664 Cruiser Lane</w:t>
            </w:r>
          </w:p>
        </w:tc>
        <w:tc>
          <w:tcPr>
            <w:tcW w:w="3340" w:type="dxa"/>
            <w:vAlign w:val="bottom"/>
          </w:tcPr>
          <w:p>
            <w:pPr>
              <w:jc w:val="right"/>
              <w:ind w:right="1043"/>
              <w:spacing w:after="0"/>
              <w:rPr>
                <w:sz w:val="20"/>
                <w:szCs w:val="20"/>
                <w:color w:val="auto"/>
              </w:rPr>
            </w:pPr>
            <w:r>
              <w:rPr>
                <w:rFonts w:ascii="Times New Roman" w:cs="Times New Roman" w:eastAsia="Times New Roman" w:hAnsi="Times New Roman"/>
                <w:sz w:val="20"/>
                <w:szCs w:val="20"/>
                <w:b w:val="1"/>
                <w:bCs w:val="1"/>
                <w:color w:val="auto"/>
              </w:rPr>
              <w:t>59714</w:t>
            </w:r>
          </w:p>
        </w:tc>
      </w:tr>
      <w:tr>
        <w:trPr>
          <w:trHeight w:val="234"/>
        </w:trPr>
        <w:tc>
          <w:tcPr>
            <w:tcW w:w="5540" w:type="dxa"/>
            <w:vAlign w:val="bottom"/>
          </w:tcPr>
          <w:p>
            <w:pPr>
              <w:jc w:val="center"/>
              <w:ind w:right="903"/>
              <w:spacing w:after="0"/>
              <w:rPr>
                <w:sz w:val="20"/>
                <w:szCs w:val="20"/>
                <w:color w:val="auto"/>
              </w:rPr>
            </w:pPr>
            <w:r>
              <w:rPr>
                <w:rFonts w:ascii="Times New Roman" w:cs="Times New Roman" w:eastAsia="Times New Roman" w:hAnsi="Times New Roman"/>
                <w:sz w:val="20"/>
                <w:szCs w:val="20"/>
                <w:b w:val="1"/>
                <w:bCs w:val="1"/>
                <w:color w:val="auto"/>
              </w:rPr>
              <w:t>Belgrade, Montana</w:t>
            </w:r>
          </w:p>
        </w:tc>
        <w:tc>
          <w:tcPr>
            <w:tcW w:w="334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(Zip Code)</w:t>
            </w:r>
          </w:p>
        </w:tc>
      </w:tr>
      <w:tr>
        <w:trPr>
          <w:trHeight w:val="214"/>
        </w:trPr>
        <w:tc>
          <w:tcPr>
            <w:tcW w:w="5540" w:type="dxa"/>
            <w:vAlign w:val="bottom"/>
          </w:tcPr>
          <w:p>
            <w:pPr>
              <w:jc w:val="center"/>
              <w:ind w:right="903"/>
              <w:spacing w:after="0" w:line="214" w:lineRule="exact"/>
              <w:rPr>
                <w:sz w:val="20"/>
                <w:szCs w:val="20"/>
                <w:color w:val="auto"/>
              </w:rPr>
            </w:pPr>
            <w:r>
              <w:rPr>
                <w:rFonts w:ascii="Times New Roman" w:cs="Times New Roman" w:eastAsia="Times New Roman" w:hAnsi="Times New Roman"/>
                <w:sz w:val="19"/>
                <w:szCs w:val="19"/>
                <w:color w:val="auto"/>
              </w:rPr>
              <w:t>(Address of principal executive offices)</w:t>
            </w:r>
          </w:p>
        </w:tc>
        <w:tc>
          <w:tcPr>
            <w:tcW w:w="3340" w:type="dxa"/>
            <w:vAlign w:val="bottom"/>
          </w:tcPr>
          <w:p>
            <w:pPr>
              <w:spacing w:after="0"/>
              <w:rPr>
                <w:sz w:val="18"/>
                <w:szCs w:val="18"/>
                <w:color w:val="auto"/>
              </w:rPr>
            </w:pPr>
          </w:p>
        </w:tc>
      </w:tr>
      <w:tr>
        <w:trPr>
          <w:trHeight w:val="263"/>
        </w:trPr>
        <w:tc>
          <w:tcPr>
            <w:tcW w:w="5540" w:type="dxa"/>
            <w:vAlign w:val="bottom"/>
          </w:tcPr>
          <w:p>
            <w:pPr>
              <w:jc w:val="right"/>
              <w:ind w:right="463"/>
              <w:spacing w:after="0"/>
              <w:rPr>
                <w:sz w:val="20"/>
                <w:szCs w:val="20"/>
                <w:color w:val="auto"/>
              </w:rPr>
            </w:pPr>
            <w:r>
              <w:rPr>
                <w:rFonts w:ascii="Times New Roman" w:cs="Times New Roman" w:eastAsia="Times New Roman" w:hAnsi="Times New Roman"/>
                <w:sz w:val="20"/>
                <w:szCs w:val="20"/>
                <w:b w:val="1"/>
                <w:bCs w:val="1"/>
                <w:color w:val="auto"/>
              </w:rPr>
              <w:t>(406) 388-0480</w:t>
            </w:r>
          </w:p>
        </w:tc>
        <w:tc>
          <w:tcPr>
            <w:tcW w:w="3340" w:type="dxa"/>
            <w:vAlign w:val="bottom"/>
          </w:tcPr>
          <w:p>
            <w:pPr>
              <w:spacing w:after="0"/>
              <w:rPr>
                <w:sz w:val="22"/>
                <w:szCs w:val="22"/>
                <w:color w:val="auto"/>
              </w:rPr>
            </w:pPr>
          </w:p>
        </w:tc>
      </w:tr>
    </w:tbl>
    <w:p>
      <w:pPr>
        <w:ind w:left="2948"/>
        <w:spacing w:after="0"/>
        <w:rPr>
          <w:sz w:val="20"/>
          <w:szCs w:val="20"/>
          <w:color w:val="auto"/>
        </w:rPr>
      </w:pPr>
      <w:r>
        <w:rPr>
          <w:rFonts w:ascii="Times New Roman" w:cs="Times New Roman" w:eastAsia="Times New Roman" w:hAnsi="Times New Roman"/>
          <w:sz w:val="19"/>
          <w:szCs w:val="19"/>
          <w:color w:val="auto"/>
        </w:rPr>
        <w:t>(Registrant’s telephone number, including area code)</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pacing w:after="0" w:line="222" w:lineRule="exact"/>
        <w:rPr>
          <w:sz w:val="20"/>
          <w:szCs w:val="20"/>
          <w:color w:val="auto"/>
        </w:rPr>
      </w:pPr>
    </w:p>
    <w:tbl>
      <w:tblPr>
        <w:tblLayout w:type="fixed"/>
        <w:tblInd w:w="88" w:type="dxa"/>
        <w:tblCellMar>
          <w:top w:w="0" w:type="dxa"/>
          <w:left w:w="0" w:type="dxa"/>
          <w:bottom w:w="0" w:type="dxa"/>
          <w:right w:w="0" w:type="dxa"/>
        </w:tblCellMar>
      </w:tblP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Title of each class</w:t>
            </w:r>
          </w:p>
        </w:tc>
        <w:tc>
          <w:tcPr>
            <w:tcW w:w="160" w:type="dxa"/>
            <w:vAlign w:val="bottom"/>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Trading Symbol(s)</w:t>
            </w:r>
          </w:p>
        </w:tc>
        <w:tc>
          <w:tcPr>
            <w:tcW w:w="160" w:type="dxa"/>
            <w:vAlign w:val="bottom"/>
          </w:tcPr>
          <w:p>
            <w:pPr>
              <w:spacing w:after="0"/>
              <w:rPr>
                <w:sz w:val="22"/>
                <w:szCs w:val="22"/>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58"/>
        </w:trPr>
        <w:tc>
          <w:tcPr>
            <w:tcW w:w="3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Common stock, par value $0.000001 per share</w:t>
            </w:r>
          </w:p>
        </w:tc>
        <w:tc>
          <w:tcPr>
            <w:tcW w:w="16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XTNT</w:t>
            </w:r>
          </w:p>
        </w:tc>
        <w:tc>
          <w:tcPr>
            <w:tcW w:w="16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NYSE American LLC</w:t>
            </w:r>
          </w:p>
        </w:tc>
      </w:tr>
    </w:tbl>
    <w:p>
      <w:pPr>
        <w:spacing w:after="0" w:line="7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9"/>
          <w:szCs w:val="19"/>
          <w:color w:val="auto"/>
        </w:rPr>
        <w:t>Securities registered pursuant to Section 12(g) of the Act:</w:t>
      </w:r>
    </w:p>
    <w:p>
      <w:pPr>
        <w:spacing w:after="0" w:line="2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9"/>
          <w:szCs w:val="19"/>
          <w:b w:val="1"/>
          <w:bCs w:val="1"/>
          <w:color w:val="auto"/>
        </w:rPr>
        <w:t>None</w:t>
      </w:r>
    </w:p>
    <w:p>
      <w:pPr>
        <w:spacing w:after="0" w:line="36" w:lineRule="exact"/>
        <w:rPr>
          <w:sz w:val="20"/>
          <w:szCs w:val="20"/>
          <w:color w:val="auto"/>
        </w:rPr>
      </w:pPr>
    </w:p>
    <w:p>
      <w:pPr>
        <w:ind w:left="348" w:right="980" w:firstLine="4"/>
        <w:spacing w:after="0" w:line="301"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jc w:val="both"/>
        <w:ind w:left="8" w:right="20" w:firstLine="342"/>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26" w:lineRule="exact"/>
        <w:rPr>
          <w:sz w:val="20"/>
          <w:szCs w:val="20"/>
          <w:color w:val="auto"/>
        </w:rPr>
      </w:pPr>
    </w:p>
    <w:p>
      <w:pPr>
        <w:jc w:val="both"/>
        <w:ind w:left="8" w:right="20" w:firstLine="342"/>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26" w:lineRule="exact"/>
        <w:rPr>
          <w:sz w:val="20"/>
          <w:szCs w:val="20"/>
          <w:color w:val="auto"/>
        </w:rPr>
      </w:pPr>
    </w:p>
    <w:p>
      <w:pPr>
        <w:jc w:val="both"/>
        <w:ind w:left="8" w:firstLine="345"/>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 w:lineRule="exact"/>
        <w:rPr>
          <w:sz w:val="20"/>
          <w:szCs w:val="20"/>
          <w:color w:val="auto"/>
        </w:rPr>
      </w:pPr>
    </w:p>
    <w:p>
      <w:pPr>
        <w:jc w:val="right"/>
        <w:ind w:left="48" w:right="20"/>
        <w:spacing w:after="0" w:line="245" w:lineRule="auto"/>
        <w:rPr>
          <w:sz w:val="20"/>
          <w:szCs w:val="20"/>
          <w:color w:val="auto"/>
        </w:rPr>
      </w:pPr>
      <w:r>
        <w:rPr>
          <w:rFonts w:ascii="Times New Roman" w:cs="Times New Roman" w:eastAsia="Times New Roman" w:hAnsi="Times New Roman"/>
          <w:sz w:val="16"/>
          <w:szCs w:val="16"/>
          <w:color w:val="auto"/>
        </w:rPr>
        <w:t xml:space="preserve">Large accelerated filer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Accelerated filer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Non- accelerated filer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Smaller reporting company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Emerging growth company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If an emerging growth company, indicate by check mark if the registrant has elected not to use the extended transition period for complying with any</w:t>
      </w:r>
    </w:p>
    <w:p>
      <w:pPr>
        <w:ind w:left="8"/>
        <w:spacing w:after="0" w:line="237" w:lineRule="auto"/>
        <w:rPr>
          <w:sz w:val="20"/>
          <w:szCs w:val="20"/>
          <w:color w:val="auto"/>
        </w:rPr>
      </w:pPr>
      <w:r>
        <w:rPr>
          <w:rFonts w:ascii="Times New Roman" w:cs="Times New Roman" w:eastAsia="Times New Roman" w:hAnsi="Times New Roman"/>
          <w:sz w:val="16"/>
          <w:szCs w:val="16"/>
          <w:color w:val="auto"/>
        </w:rPr>
        <w:t xml:space="preserve">new or revised financial accounting standards provided pursuant to Section 13(a) of the Exchange Act. </w:t>
      </w:r>
      <w:r>
        <w:rPr>
          <w:rFonts w:ascii="PMingLiU" w:cs="PMingLiU" w:eastAsia="PMingLiU" w:hAnsi="PMingLiU"/>
          <w:sz w:val="16"/>
          <w:szCs w:val="16"/>
          <w:color w:val="auto"/>
        </w:rPr>
        <w:t></w:t>
      </w:r>
    </w:p>
    <w:p>
      <w:pPr>
        <w:spacing w:after="0" w:line="33" w:lineRule="exact"/>
        <w:rPr>
          <w:sz w:val="20"/>
          <w:szCs w:val="20"/>
          <w:color w:val="auto"/>
        </w:rPr>
      </w:pPr>
    </w:p>
    <w:p>
      <w:pPr>
        <w:jc w:val="both"/>
        <w:ind w:left="8" w:right="20" w:firstLine="346"/>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6"/>
          <w:szCs w:val="16"/>
          <w:color w:val="auto"/>
        </w:rPr>
        <w:t></w:t>
      </w:r>
    </w:p>
    <w:p>
      <w:pPr>
        <w:spacing w:after="0" w:line="26" w:lineRule="exact"/>
        <w:rPr>
          <w:sz w:val="20"/>
          <w:szCs w:val="20"/>
          <w:color w:val="auto"/>
        </w:rPr>
      </w:pPr>
    </w:p>
    <w:p>
      <w:pPr>
        <w:jc w:val="both"/>
        <w:ind w:left="8" w:right="20" w:firstLine="345"/>
        <w:spacing w:after="0" w:line="26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15" w:lineRule="exact"/>
        <w:rPr>
          <w:sz w:val="20"/>
          <w:szCs w:val="20"/>
          <w:color w:val="auto"/>
        </w:rPr>
      </w:pPr>
    </w:p>
    <w:p>
      <w:pPr>
        <w:jc w:val="both"/>
        <w:ind w:left="8" w:right="20" w:firstLine="346"/>
        <w:spacing w:after="0" w:line="26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t>
      </w:r>
    </w:p>
    <w:p>
      <w:pPr>
        <w:spacing w:after="0" w:line="15"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49" w:lineRule="exact"/>
        <w:rPr>
          <w:sz w:val="20"/>
          <w:szCs w:val="20"/>
          <w:color w:val="auto"/>
        </w:rPr>
      </w:pPr>
    </w:p>
    <w:p>
      <w:pPr>
        <w:jc w:val="both"/>
        <w:ind w:left="8" w:right="20" w:firstLine="346"/>
        <w:spacing w:after="0" w:line="276" w:lineRule="auto"/>
        <w:rPr>
          <w:sz w:val="20"/>
          <w:szCs w:val="20"/>
          <w:color w:val="auto"/>
        </w:rPr>
      </w:pPr>
      <w:r>
        <w:rPr>
          <w:rFonts w:ascii="Times New Roman" w:cs="Times New Roman" w:eastAsia="Times New Roman" w:hAnsi="Times New Roman"/>
          <w:sz w:val="16"/>
          <w:szCs w:val="16"/>
          <w:color w:val="auto"/>
        </w:rPr>
        <w:t>The aggregate market value of the common stock held by non -affiliates as of June 30, 2025 was $45.0 million (based on the closing price of the Company’s common stock on the last business day of the Company’s most recently completed second fiscal quarter, as reported on the NYSE American).</w:t>
      </w:r>
    </w:p>
    <w:p>
      <w:pPr>
        <w:spacing w:after="0" w:line="5"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6"/>
          <w:szCs w:val="16"/>
          <w:color w:val="auto"/>
        </w:rPr>
        <w:t>The number of shares of the Company’s common stock, $0.000001 par value, outstanding as of March 25, 2026 was 140,068,260.</w:t>
      </w:r>
    </w:p>
    <w:p>
      <w:pPr>
        <w:spacing w:after="0" w:line="56" w:lineRule="exact"/>
        <w:rPr>
          <w:sz w:val="20"/>
          <w:szCs w:val="20"/>
          <w:color w:val="auto"/>
        </w:rPr>
      </w:pPr>
    </w:p>
    <w:p>
      <w:pPr>
        <w:ind w:left="3128"/>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200025</wp:posOffset>
                </wp:positionV>
                <wp:extent cx="634746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74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5.75pt" to="498.3pt,15.7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181610</wp:posOffset>
                </wp:positionV>
                <wp:extent cx="634746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74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4.3pt" to="498.3pt,14.3pt" o:allowincell="f" strokecolor="#000000" strokeweight="0.72pt"/>
            </w:pict>
          </mc:Fallback>
        </mc:AlternateContent>
      </w:r>
    </w:p>
    <w:p>
      <w:pPr>
        <w:sectPr>
          <w:pgSz w:w="12240" w:h="15840" w:orient="portrait"/>
          <w:cols w:equalWidth="0" w:num="1">
            <w:col w:w="9948"/>
          </w:cols>
          <w:pgMar w:left="1152" w:top="892" w:right="1140" w:bottom="1036" w:gutter="0" w:footer="0" w:header="0"/>
        </w:sectPr>
      </w:pPr>
    </w:p>
    <w:bookmarkStart w:id="6" w:name="page7"/>
    <w:bookmarkEnd w:id="6"/>
    <w:p>
      <w:pPr>
        <w:ind w:left="3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3" w:lineRule="exact"/>
        <w:rPr>
          <w:sz w:val="20"/>
          <w:szCs w:val="20"/>
          <w:color w:val="auto"/>
        </w:rPr>
      </w:pPr>
    </w:p>
    <w:p>
      <w:pPr>
        <w:spacing w:after="0"/>
        <w:tabs>
          <w:tab w:leader="dot" w:pos="9220" w:val="left"/>
        </w:tabs>
        <w:rPr>
          <w:sz w:val="20"/>
          <w:szCs w:val="20"/>
          <w:color w:val="auto"/>
        </w:rPr>
      </w:pPr>
      <w:r>
        <w:rPr>
          <w:rFonts w:ascii="Times New Roman" w:cs="Times New Roman" w:eastAsia="Times New Roman" w:hAnsi="Times New Roman"/>
          <w:sz w:val="20"/>
          <w:szCs w:val="20"/>
          <w:color w:val="auto"/>
        </w:rPr>
        <w:t>PART I CAUTIONARY STATEMENT REGARDING FORWARD-LOOKING STATEMENTS</w:t>
      </w:r>
      <w:r>
        <w:rPr>
          <w:sz w:val="20"/>
          <w:szCs w:val="20"/>
          <w:color w:val="auto"/>
        </w:rPr>
        <w:tab/>
      </w:r>
      <w:r>
        <w:rPr>
          <w:rFonts w:ascii="Times New Roman" w:cs="Times New Roman" w:eastAsia="Times New Roman" w:hAnsi="Times New Roman"/>
          <w:sz w:val="20"/>
          <w:szCs w:val="20"/>
          <w:color w:val="auto"/>
        </w:rPr>
        <w:t>1</w:t>
      </w:r>
    </w:p>
    <w:p>
      <w:pPr>
        <w:spacing w:after="0" w:line="240" w:lineRule="exact"/>
        <w:rPr>
          <w:sz w:val="20"/>
          <w:szCs w:val="20"/>
          <w:color w:val="auto"/>
        </w:rPr>
      </w:pPr>
    </w:p>
    <w:p>
      <w:pPr>
        <w:spacing w:after="0"/>
        <w:tabs>
          <w:tab w:leader="dot" w:pos="9220" w:val="left"/>
        </w:tabs>
        <w:rPr>
          <w:sz w:val="20"/>
          <w:szCs w:val="20"/>
          <w:color w:val="auto"/>
        </w:rPr>
      </w:pPr>
      <w:r>
        <w:rPr>
          <w:rFonts w:ascii="Times New Roman" w:cs="Times New Roman" w:eastAsia="Times New Roman" w:hAnsi="Times New Roman"/>
          <w:sz w:val="20"/>
          <w:szCs w:val="20"/>
          <w:color w:val="auto"/>
        </w:rPr>
        <w:t>PART I</w:t>
      </w:r>
      <w:r>
        <w:rPr>
          <w:sz w:val="20"/>
          <w:szCs w:val="20"/>
          <w:color w:val="auto"/>
        </w:rPr>
        <w:tab/>
      </w:r>
      <w:r>
        <w:rPr>
          <w:rFonts w:ascii="Times New Roman" w:cs="Times New Roman" w:eastAsia="Times New Roman" w:hAnsi="Times New Roman"/>
          <w:sz w:val="20"/>
          <w:szCs w:val="20"/>
          <w:color w:val="auto"/>
        </w:rPr>
        <w:t>2</w:t>
      </w:r>
    </w:p>
    <w:p>
      <w:pPr>
        <w:spacing w:after="0" w:line="28" w:lineRule="exact"/>
        <w:rPr>
          <w:sz w:val="20"/>
          <w:szCs w:val="20"/>
          <w:color w:val="auto"/>
        </w:rPr>
      </w:pPr>
    </w:p>
    <w:p>
      <w:pPr>
        <w:ind w:left="360"/>
        <w:spacing w:after="0"/>
        <w:tabs>
          <w:tab w:leader="none" w:pos="1240" w:val="left"/>
          <w:tab w:leader="dot" w:pos="92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2</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1 A.  Risk Factors</w:t>
      </w:r>
      <w:r>
        <w:rPr>
          <w:sz w:val="20"/>
          <w:szCs w:val="20"/>
          <w:color w:val="auto"/>
        </w:rPr>
        <w:tab/>
      </w:r>
      <w:r>
        <w:rPr>
          <w:rFonts w:ascii="Times New Roman" w:cs="Times New Roman" w:eastAsia="Times New Roman" w:hAnsi="Times New Roman"/>
          <w:sz w:val="20"/>
          <w:szCs w:val="20"/>
          <w:color w:val="auto"/>
        </w:rPr>
        <w:t>17</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1 B.  Unresolved Staff Comments</w:t>
      </w:r>
      <w:r>
        <w:rPr>
          <w:sz w:val="20"/>
          <w:szCs w:val="20"/>
          <w:color w:val="auto"/>
        </w:rPr>
        <w:tab/>
      </w:r>
      <w:r>
        <w:rPr>
          <w:rFonts w:ascii="Times New Roman" w:cs="Times New Roman" w:eastAsia="Times New Roman" w:hAnsi="Times New Roman"/>
          <w:sz w:val="20"/>
          <w:szCs w:val="20"/>
          <w:color w:val="auto"/>
        </w:rPr>
        <w:t>48</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1 C.  Cybersecurity</w:t>
      </w:r>
      <w:r>
        <w:rPr>
          <w:sz w:val="20"/>
          <w:szCs w:val="20"/>
          <w:color w:val="auto"/>
        </w:rPr>
        <w:tab/>
      </w:r>
      <w:r>
        <w:rPr>
          <w:rFonts w:ascii="Times New Roman" w:cs="Times New Roman" w:eastAsia="Times New Roman" w:hAnsi="Times New Roman"/>
          <w:sz w:val="20"/>
          <w:szCs w:val="20"/>
          <w:color w:val="auto"/>
        </w:rPr>
        <w:t>48</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50</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51</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51</w:t>
      </w:r>
    </w:p>
    <w:p>
      <w:pPr>
        <w:spacing w:after="0" w:line="211" w:lineRule="exact"/>
        <w:rPr>
          <w:sz w:val="20"/>
          <w:szCs w:val="20"/>
          <w:color w:val="auto"/>
        </w:rPr>
      </w:pPr>
    </w:p>
    <w:p>
      <w:pPr>
        <w:spacing w:after="0"/>
        <w:tabs>
          <w:tab w:leader="dot" w:pos="9120" w:val="left"/>
        </w:tabs>
        <w:rPr>
          <w:sz w:val="20"/>
          <w:szCs w:val="20"/>
          <w:color w:val="auto"/>
        </w:rPr>
      </w:pPr>
      <w:r>
        <w:rPr>
          <w:rFonts w:ascii="Times New Roman" w:cs="Times New Roman" w:eastAsia="Times New Roman" w:hAnsi="Times New Roman"/>
          <w:sz w:val="20"/>
          <w:szCs w:val="20"/>
          <w:color w:val="auto"/>
        </w:rPr>
        <w:t>PART II</w:t>
      </w:r>
      <w:r>
        <w:rPr>
          <w:sz w:val="20"/>
          <w:szCs w:val="20"/>
          <w:color w:val="auto"/>
        </w:rPr>
        <w:tab/>
      </w:r>
      <w:r>
        <w:rPr>
          <w:rFonts w:ascii="Times New Roman" w:cs="Times New Roman" w:eastAsia="Times New Roman" w:hAnsi="Times New Roman"/>
          <w:sz w:val="20"/>
          <w:szCs w:val="20"/>
          <w:color w:val="auto"/>
        </w:rPr>
        <w:t>52</w:t>
      </w:r>
    </w:p>
    <w:p>
      <w:pPr>
        <w:spacing w:after="0" w:line="28"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w:t>
      </w:r>
    </w:p>
    <w:p>
      <w:pPr>
        <w:ind w:left="1260"/>
        <w:spacing w:after="0"/>
        <w:tabs>
          <w:tab w:leader="dot" w:pos="9120" w:val="left"/>
        </w:tabs>
        <w:rPr>
          <w:sz w:val="20"/>
          <w:szCs w:val="20"/>
          <w:color w:val="auto"/>
        </w:rPr>
      </w:pPr>
      <w:r>
        <w:rPr>
          <w:rFonts w:ascii="Times New Roman" w:cs="Times New Roman" w:eastAsia="Times New Roman" w:hAnsi="Times New Roman"/>
          <w:sz w:val="20"/>
          <w:szCs w:val="20"/>
          <w:color w:val="auto"/>
        </w:rPr>
        <w:t>of Equity Securities</w:t>
      </w:r>
      <w:r>
        <w:rPr>
          <w:sz w:val="20"/>
          <w:szCs w:val="20"/>
          <w:color w:val="auto"/>
        </w:rPr>
        <w:tab/>
      </w:r>
      <w:r>
        <w:rPr>
          <w:rFonts w:ascii="Times New Roman" w:cs="Times New Roman" w:eastAsia="Times New Roman" w:hAnsi="Times New Roman"/>
          <w:sz w:val="20"/>
          <w:szCs w:val="20"/>
          <w:color w:val="auto"/>
        </w:rPr>
        <w:t>52</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52</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53</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7 A.  Quantitative and Qualitative Disclosures About Market Risk</w:t>
      </w:r>
      <w:r>
        <w:rPr>
          <w:sz w:val="20"/>
          <w:szCs w:val="20"/>
          <w:color w:val="auto"/>
        </w:rPr>
        <w:tab/>
      </w:r>
      <w:r>
        <w:rPr>
          <w:rFonts w:ascii="Times New Roman" w:cs="Times New Roman" w:eastAsia="Times New Roman" w:hAnsi="Times New Roman"/>
          <w:sz w:val="20"/>
          <w:szCs w:val="20"/>
          <w:color w:val="auto"/>
        </w:rPr>
        <w:t>60</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61</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89</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9 A.  Controls and Procedures</w:t>
      </w:r>
      <w:r>
        <w:rPr>
          <w:sz w:val="20"/>
          <w:szCs w:val="20"/>
          <w:color w:val="auto"/>
        </w:rPr>
        <w:tab/>
      </w:r>
      <w:r>
        <w:rPr>
          <w:rFonts w:ascii="Times New Roman" w:cs="Times New Roman" w:eastAsia="Times New Roman" w:hAnsi="Times New Roman"/>
          <w:sz w:val="20"/>
          <w:szCs w:val="20"/>
          <w:color w:val="auto"/>
        </w:rPr>
        <w:t>89</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9 B.  Other Information</w:t>
      </w:r>
      <w:r>
        <w:rPr>
          <w:sz w:val="20"/>
          <w:szCs w:val="20"/>
          <w:color w:val="auto"/>
        </w:rPr>
        <w:tab/>
      </w:r>
      <w:r>
        <w:rPr>
          <w:rFonts w:ascii="Times New Roman" w:cs="Times New Roman" w:eastAsia="Times New Roman" w:hAnsi="Times New Roman"/>
          <w:sz w:val="20"/>
          <w:szCs w:val="20"/>
          <w:color w:val="auto"/>
        </w:rPr>
        <w:t>90</w:t>
      </w:r>
    </w:p>
    <w:p>
      <w:pPr>
        <w:ind w:left="360"/>
        <w:spacing w:after="0"/>
        <w:tabs>
          <w:tab w:leader="dot" w:pos="9120" w:val="left"/>
        </w:tabs>
        <w:rPr>
          <w:sz w:val="20"/>
          <w:szCs w:val="20"/>
          <w:color w:val="auto"/>
        </w:rPr>
      </w:pPr>
      <w:r>
        <w:rPr>
          <w:rFonts w:ascii="Times New Roman" w:cs="Times New Roman" w:eastAsia="Times New Roman" w:hAnsi="Times New Roman"/>
          <w:sz w:val="20"/>
          <w:szCs w:val="20"/>
          <w:color w:val="auto"/>
        </w:rPr>
        <w:t>Item 9 C.  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91</w:t>
      </w:r>
    </w:p>
    <w:p>
      <w:pPr>
        <w:spacing w:after="0" w:line="211" w:lineRule="exact"/>
        <w:rPr>
          <w:sz w:val="20"/>
          <w:szCs w:val="20"/>
          <w:color w:val="auto"/>
        </w:rPr>
      </w:pPr>
    </w:p>
    <w:p>
      <w:pPr>
        <w:spacing w:after="0"/>
        <w:tabs>
          <w:tab w:leader="dot" w:pos="9120" w:val="left"/>
        </w:tabs>
        <w:rPr>
          <w:sz w:val="20"/>
          <w:szCs w:val="20"/>
          <w:color w:val="auto"/>
        </w:rPr>
      </w:pPr>
      <w:r>
        <w:rPr>
          <w:rFonts w:ascii="Times New Roman" w:cs="Times New Roman" w:eastAsia="Times New Roman" w:hAnsi="Times New Roman"/>
          <w:sz w:val="20"/>
          <w:szCs w:val="20"/>
          <w:color w:val="auto"/>
        </w:rPr>
        <w:t>PART III</w:t>
      </w:r>
      <w:r>
        <w:rPr>
          <w:sz w:val="20"/>
          <w:szCs w:val="20"/>
          <w:color w:val="auto"/>
        </w:rPr>
        <w:tab/>
      </w:r>
      <w:r>
        <w:rPr>
          <w:rFonts w:ascii="Times New Roman" w:cs="Times New Roman" w:eastAsia="Times New Roman" w:hAnsi="Times New Roman"/>
          <w:sz w:val="20"/>
          <w:szCs w:val="20"/>
          <w:color w:val="auto"/>
        </w:rPr>
        <w:t>92</w:t>
      </w:r>
    </w:p>
    <w:p>
      <w:pPr>
        <w:spacing w:after="0" w:line="28" w:lineRule="exact"/>
        <w:rPr>
          <w:sz w:val="20"/>
          <w:szCs w:val="20"/>
          <w:color w:val="auto"/>
        </w:rPr>
      </w:pP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92</w:t>
      </w:r>
    </w:p>
    <w:p>
      <w:pPr>
        <w:ind w:left="360"/>
        <w:spacing w:after="0"/>
        <w:tabs>
          <w:tab w:leader="none" w:pos="1240" w:val="left"/>
          <w:tab w:leader="dot" w:pos="912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99</w:t>
      </w:r>
    </w:p>
    <w:p>
      <w:pPr>
        <w:ind w:left="360"/>
        <w:spacing w:after="0"/>
        <w:tabs>
          <w:tab w:leader="none" w:pos="124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ind w:left="1260"/>
        <w:spacing w:after="0"/>
        <w:tabs>
          <w:tab w:leader="dot" w:pos="902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109</w:t>
      </w:r>
    </w:p>
    <w:p>
      <w:pPr>
        <w:ind w:left="360"/>
        <w:spacing w:after="0"/>
        <w:tabs>
          <w:tab w:leader="none" w:pos="1240" w:val="left"/>
          <w:tab w:leader="dot" w:pos="902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111</w:t>
      </w:r>
    </w:p>
    <w:p>
      <w:pPr>
        <w:ind w:left="360"/>
        <w:spacing w:after="0"/>
        <w:tabs>
          <w:tab w:leader="none" w:pos="1240" w:val="left"/>
          <w:tab w:leader="dot" w:pos="9020" w:val="left"/>
        </w:tabs>
        <w:rPr>
          <w:sz w:val="20"/>
          <w:szCs w:val="20"/>
          <w:color w:val="auto"/>
        </w:rPr>
      </w:pPr>
      <w:r>
        <w:rPr>
          <w:rFonts w:ascii="Times New Roman" w:cs="Times New Roman" w:eastAsia="Times New Roman" w:hAnsi="Times New Roman"/>
          <w:sz w:val="20"/>
          <w:szCs w:val="20"/>
          <w:color w:val="auto"/>
        </w:rPr>
        <w:t>Item 14.</w:t>
        <w:tab/>
        <w:t>Principal Accountant Fees and Services</w:t>
      </w:r>
      <w:r>
        <w:rPr>
          <w:sz w:val="20"/>
          <w:szCs w:val="20"/>
          <w:color w:val="auto"/>
        </w:rPr>
        <w:tab/>
      </w:r>
      <w:r>
        <w:rPr>
          <w:rFonts w:ascii="Times New Roman" w:cs="Times New Roman" w:eastAsia="Times New Roman" w:hAnsi="Times New Roman"/>
          <w:sz w:val="20"/>
          <w:szCs w:val="20"/>
          <w:color w:val="auto"/>
        </w:rPr>
        <w:t>114</w:t>
      </w:r>
    </w:p>
    <w:p>
      <w:pPr>
        <w:spacing w:after="0" w:line="212" w:lineRule="exact"/>
        <w:rPr>
          <w:sz w:val="20"/>
          <w:szCs w:val="20"/>
          <w:color w:val="auto"/>
        </w:rPr>
      </w:pPr>
    </w:p>
    <w:p>
      <w:pPr>
        <w:spacing w:after="0"/>
        <w:tabs>
          <w:tab w:leader="dot" w:pos="9020" w:val="left"/>
        </w:tabs>
        <w:rPr>
          <w:sz w:val="20"/>
          <w:szCs w:val="20"/>
          <w:color w:val="auto"/>
        </w:rPr>
      </w:pPr>
      <w:r>
        <w:rPr>
          <w:rFonts w:ascii="Times New Roman" w:cs="Times New Roman" w:eastAsia="Times New Roman" w:hAnsi="Times New Roman"/>
          <w:sz w:val="20"/>
          <w:szCs w:val="20"/>
          <w:color w:val="auto"/>
        </w:rPr>
        <w:t>PART IV</w:t>
      </w:r>
      <w:r>
        <w:rPr>
          <w:sz w:val="20"/>
          <w:szCs w:val="20"/>
          <w:color w:val="auto"/>
        </w:rPr>
        <w:tab/>
      </w:r>
      <w:r>
        <w:rPr>
          <w:rFonts w:ascii="Times New Roman" w:cs="Times New Roman" w:eastAsia="Times New Roman" w:hAnsi="Times New Roman"/>
          <w:sz w:val="20"/>
          <w:szCs w:val="20"/>
          <w:color w:val="auto"/>
        </w:rPr>
        <w:t>115</w:t>
      </w:r>
    </w:p>
    <w:p>
      <w:pPr>
        <w:spacing w:after="0" w:line="28" w:lineRule="exact"/>
        <w:rPr>
          <w:sz w:val="20"/>
          <w:szCs w:val="20"/>
          <w:color w:val="auto"/>
        </w:rPr>
      </w:pPr>
    </w:p>
    <w:p>
      <w:pPr>
        <w:ind w:left="360"/>
        <w:spacing w:after="0"/>
        <w:tabs>
          <w:tab w:leader="none" w:pos="1240" w:val="left"/>
          <w:tab w:leader="dot" w:pos="9020" w:val="left"/>
        </w:tabs>
        <w:rPr>
          <w:sz w:val="20"/>
          <w:szCs w:val="20"/>
          <w:color w:val="auto"/>
        </w:rPr>
      </w:pPr>
      <w:r>
        <w:rPr>
          <w:rFonts w:ascii="Times New Roman" w:cs="Times New Roman" w:eastAsia="Times New Roman" w:hAnsi="Times New Roman"/>
          <w:sz w:val="20"/>
          <w:szCs w:val="20"/>
          <w:color w:val="auto"/>
        </w:rPr>
        <w:t>Item 15.</w:t>
        <w:tab/>
        <w:t>Exhibit and Financial Statement Schedules</w:t>
      </w:r>
      <w:r>
        <w:rPr>
          <w:sz w:val="20"/>
          <w:szCs w:val="20"/>
          <w:color w:val="auto"/>
        </w:rPr>
        <w:tab/>
      </w:r>
      <w:r>
        <w:rPr>
          <w:rFonts w:ascii="Times New Roman" w:cs="Times New Roman" w:eastAsia="Times New Roman" w:hAnsi="Times New Roman"/>
          <w:sz w:val="20"/>
          <w:szCs w:val="20"/>
          <w:color w:val="auto"/>
        </w:rPr>
        <w:t>115</w:t>
      </w:r>
    </w:p>
    <w:p>
      <w:pPr>
        <w:ind w:left="360"/>
        <w:spacing w:after="0"/>
        <w:tabs>
          <w:tab w:leader="none" w:pos="1240" w:val="left"/>
          <w:tab w:leader="dot" w:pos="902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121</w:t>
      </w:r>
    </w:p>
    <w:p>
      <w:pPr>
        <w:spacing w:after="0" w:line="24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This Annual Report on Form 10-K contains certain forward-looking statements within the meaning of Section 27A of the Securities Act of 1933, as amended, and Section 21E of the Securities Exchange Act of 1934, as amended (“Exchange Act”), and are subject to the safe harbor created by those sections. For more information, see “</w:t>
      </w:r>
      <w:r>
        <w:rPr>
          <w:rFonts w:ascii="Times New Roman" w:cs="Times New Roman" w:eastAsia="Times New Roman" w:hAnsi="Times New Roman"/>
          <w:sz w:val="20"/>
          <w:szCs w:val="20"/>
          <w:i w:val="1"/>
          <w:iCs w:val="1"/>
          <w:color w:val="auto"/>
        </w:rPr>
        <w:t>Cautionary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Statement Regarding Forward-Looking Statements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used in this report, the terms “we,” “us,” “our,” “Xtant,” “Xtant Medical,” and the “Company” mean Xtant Medical Holdings, Inc. and our consolidated wholly owned subsidiaries, unless the context indicates another meaning.</w:t>
      </w:r>
    </w:p>
    <w:p>
      <w:pPr>
        <w:spacing w:after="0" w:line="18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own various unregistered trademarks and service marks, including our corporate logo. Solely for convenience, the trademarks and trade names in this report are referred to without the ® and ™ symbols, but such references should not be construed as any indicator that the owner of such trademarks and trade names will not assert, to the fullest extent under applicable law, their rights thereto. We do not intend the use or display of other companies’ trademarks and trade names to imply a relationship with, or endorsement or sponsorship of us by, any other companies. We include our website address throughout this report for reference only.</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information contained on or connected to our website is not incorporated by reference into this report.</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are a “smaller reporting company” as that term is defined in Rule 12b-2 promulgated under the Exchange Act. Accordingly, this report reflects the scaled reporting requirements of smaller reporting companies as set forth in Regulation S-K, promulgated under the Exchange Act.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360"/>
          </w:cols>
          <w:pgMar w:left="1440" w:top="1128" w:right="1440" w:bottom="175"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ICAUTIONARY STATEMENT REGARDING FORWARD-LOOKING STATEMENTS</w:t>
      </w:r>
    </w:p>
    <w:p>
      <w:pPr>
        <w:spacing w:after="0" w:line="24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statements contained in this Annual Report on Form 10-K that are not purely historical are forward-looking statements within the meaning of the Private Securities Litigation Reform Act of 1995. Our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and “would,” as well as similar expressions, may identify forward-looking statements, but the absence of these words does not mean that a statement is not forward looking.</w:t>
      </w:r>
    </w:p>
    <w:p>
      <w:pPr>
        <w:spacing w:after="0" w:line="206"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 xml:space="preserve">A forward-looking statement is neither a prediction nor a guarantee of future events or circumstances and those future events or circumstances may not occur. You should not place undue reliance on forward-looking statements, which speak only as of the date of this Form 10-K. The forward-looking statements contained in this Form 10-K are based on currently available operating, financial and competitive information and our current expectations and beliefs concerning future developments and their potential effects on us. These forward-looking statements involve a number of risks, uncertainties, or assumptions, many of which are beyond our control, which may cause actual results or performance to be materially different from those expressed or implied by these forward-looking statements. These risks and uncertainties include, but are not limited to, those factors described in the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section of this Form 10-K. Should one or more of these risks or uncertainties materialize, or should any of our assumptions prove incorrect, actual results may vary in material respects from those projected in these forward-looking statements. We are including this cautionary statement to make applicable and take advantage of the safe harbor provisions of the Private Securities Litigation Reform Act of 1995 for forward-looking statements. We undertake no obligation to update or revise any forward-looking statements, whether as a result of new information, future events, or otherwise, except as may be required under applicable securities laws.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5"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Xtant Medical Holdings, Inc. is a global medical technology company focused on the design, development, and commercialization of a comprehensive portfolio of orthobiologics and spinal implant fixation systems to facilitate spinal fusion in complex spine, deformity, and degenerative procedures. Our products are used by orthopedic spine surgeons and neurosurgeons to treat a variety of spinal disorders in the cervical, thoracolumbar, and interbody spine. In addition, Xtant’s biologics are utilized in trauma, foot and ankle, sports medicine, total joint, along with several surgical repair and wound care applications.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promote our products in the United States through independent distributors and stocking agents, supported by direct employees. We have an extensive sales channel of independent commissioned agents and stocking distributors in the United States representing some or all of our products. We also maintain a national accounts program to enable our agents to gain access to integrated delivery network (“IDN”) hospitals and through group purchasing organizations (“GPOs”). We have biologics contracts with major GPOs, as well as extensive access to IDNs across the United States for both biologics and spine hardware systems. While our focus is the United States market, we promote and sell our products internationally through stocking distribution partners in Europe, Canada, Mexico, South America, and certain Pacific region countries. We have recently made and intend to continue to make measured and targeted investments in the expansion of our commercial team to support our new products and maximize the reach of our broad portfolio of orthobiologics solutions.</w:t>
      </w:r>
    </w:p>
    <w:p>
      <w:pPr>
        <w:spacing w:after="0" w:line="201"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0"/>
          <w:szCs w:val="20"/>
          <w:color w:val="auto"/>
        </w:rPr>
        <w:t>We have focused and intend to continue to focus primarily on four key growth initiatives: (1) introduce new products, including our recently launched nanOss Strata™, an advanced synthetic bone graft designed to closely resemble natural bone; CollagenX™, a bovine collagen particulate product for surgical wound closure; OsteoFactor Pro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an allogenic growth factor solution; and Trivium™, a next-generation demineralized bone matrix, in addition to our introductions in 2024: Cortera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Posterior Fixation System, viable bone matrix; OsteoVive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Plus, and amniotic membrane allografts, SimpliGraft™ and SimpliMax™; (2) expand our distribution network; (3) penetrate adjacent markets; and (4) leverage our growth platform with technology and strategic acquisitions. While the intent of these four key growth initiatives is to increase our future revenues, no assurance can be provided that we will be successful in implementing these growth initiatives or increasing our future revenues.</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Since one of our key growth initiatives is to leverage our growth platform with technology and strategic acquisitions and explore other strategic transactions with respect to our products and our company, including licenses, business collaborations and other business combinations or transactions with other companies, we, as a matter of course, often engage in discussions with third parties regarding such matters.</w:t>
      </w:r>
    </w:p>
    <w:p>
      <w:pPr>
        <w:spacing w:after="0" w:line="19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As discussed in more detail elsewhere in this report, we recognized $18.7 million in license revenue in 2025 that likely will not repeat in 2026 due primarily to changes in the reimbursement environment for our SimpliMax™ product effective January 1, 2026 and which changes also will adversely affect a portion of our product revenue in 2026. The loss of this license and product revenue will have an adverse impact on our 2026 revenues and other operating results, including in particular, our gross margins.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Coflex/CoFix Assets and International Hardware Business</w:t>
      </w:r>
    </w:p>
    <w:p>
      <w:pPr>
        <w:spacing w:after="0" w:line="24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On December 1, 2025, we completed the sale of certain assets relating to our Coflex and CoFix products (the “Coflex/CoFix Divestiture”) to Companion Spine, LLC and one of its affiliates, Companion Spine SAS (collectively, “Companion Spine”), pursuant to an Asset Purchase Agreement dated July 7, 2025 (the “Coflex/CoFix Agreement”). The total purchase price of the Coflex/CoFix Divestiture was $17.5 million (subject to a closing inventory valuation adjustment set forth in the Coflex/CoFix Agreement). Of the total purchase price, an aggregate of $7.5 million was paid to us in cash as non-refundable deposits during third and fourth quarters of 2025, $1.8 million was paid to us in cash at the closing, and $8.2 million was paid to us as an unsecured promissory note issued by Companion Spine to us at the closing (the “Companion Spine Note”). Pursuant to subsequent amendments to the Coflex/CoFix Agreement,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16" w:right="1440" w:bottom="175" w:gutter="0" w:footer="0" w:header="0"/>
          <w:type w:val="continuous"/>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0"/>
          <w:szCs w:val="20"/>
          <w:color w:val="auto"/>
        </w:rPr>
        <w:t>the maturity date of the Companion Spine Note was extended to January 31, 2026. The outstanding principal balance of the Companion Spine Note, together with the related accrued interest, totaling $8.5 million, was paid to us on February 27, 2026.</w:t>
      </w:r>
    </w:p>
    <w:p>
      <w:pPr>
        <w:spacing w:after="0" w:line="18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Also, on December 1, 2025, we completed the sale of all of our shares of equity securities of Paradigm Spine GmbH, one of our then wholly owned subsidiaries engaged in the operation of our hardware business outside of the United States (“Paradigm”), which constituted 100% of the issued and outstanding shares of equity securities of Paradigm (the “Paradigm Divestiture” and together with the Coflex/CoFix Divestiture, the “Divestitures”), to Companion Spine SAS pursuant to an Equity Purchase Agreement dated July 7, 2025 between us, Paradigm and Companion Spine (the “Paradigm Agreement” and together with the Coflex/CoFix Agreement, the “Divestiture Agreements”). The total purchase price of the Paradigm Divestiture was $3.9 million (the “Paradigm Purchase Price”), $1.7 million of which was paid to us in cash at the closing of the Paradigm Divestiture and $2.2 million of which was paid to us on February 27, 2026 in settlement of the net working capital and other purchase price adjustments.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aggregate purchase price associated with the two Divestitures was $21.4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and Market Overview</w:t>
      </w:r>
    </w:p>
    <w:p>
      <w:pPr>
        <w:spacing w:after="0" w:line="24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orthopedic biomaterials market includes organic, inorganic, and synthetic materials designed for implantation or application in or near bone to support healing and structural restoration. These materials are used to facilitate bone growth, augment areas with insufficient bone tissue, and provide structural support during the repair process. Orthopedic biomaterials are commonly used as alternatives to autograft tissue, reducing the need for harvesting bone from a secondary site in the patient.</w:t>
      </w:r>
    </w:p>
    <w:p>
      <w:pPr>
        <w:spacing w:after="0" w:line="19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Fixation is often instrumental in allowing the body to heal and regenerate tissue. Fixation provides the constructive support necessary for reestablishing stability, by immobilizing the regenerative site, and relieving stress. Fixation also can help hold the biomaterial in place in order to achieve a better outcome. Examples of fixation products can include, but are not limited to, plates, screws, pins, rods, spacers, and staples. Fixation products may be made from various metals and polymer materials.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Orthobiologics Products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Our primary biomaterial products are described below, and along with other allografts, are used across a range of orthopedic and clinical applications.</w:t>
      </w:r>
    </w:p>
    <w:p>
      <w:pPr>
        <w:spacing w:after="0" w:line="181" w:lineRule="exact"/>
        <w:rPr>
          <w:sz w:val="20"/>
          <w:szCs w:val="20"/>
          <w:color w:val="auto"/>
        </w:rPr>
      </w:pPr>
    </w:p>
    <w:p>
      <w:pPr>
        <w:jc w:val="both"/>
        <w:ind w:left="1080" w:hanging="360"/>
        <w:spacing w:after="0" w:line="247" w:lineRule="auto"/>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OsteoSponge is a 100% human demineralized bone matrix (“DBM”) derived from trabecular bone. It provides a natural scaffold for cellular in-growth and exposes bone-forming proteins to support the healing process. Its malleable structure allows it to conform to and fill defects. OsteoSponge’s mechanical and osteoconductive properties make it suitable for a range of orthopedic applications, including spine, neurological, cranio/maxillofacial, trauma, plastic/reconstructive, and other procedures requiring new bone formation.</w:t>
      </w:r>
    </w:p>
    <w:p>
      <w:pPr>
        <w:spacing w:after="0" w:line="93" w:lineRule="exact"/>
        <w:rPr>
          <w:rFonts w:ascii="Arial" w:cs="Arial" w:eastAsia="Arial" w:hAnsi="Arial"/>
          <w:sz w:val="20"/>
          <w:szCs w:val="20"/>
          <w:color w:val="auto"/>
        </w:rPr>
      </w:pPr>
    </w:p>
    <w:p>
      <w:pPr>
        <w:jc w:val="both"/>
        <w:ind w:left="1080" w:hanging="360"/>
        <w:spacing w:after="0" w:line="247" w:lineRule="auto"/>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OsteoSelect DBM Putty is a moldable demineralized bone matrix used to fill bony voids. The product is manufactured using a low dose, low temperature gamma sterilization method intended to provide device level sterility while maintaining its validated osteoinductive potential. OsteoSelect DBM Putty is cleared for use as a bone void filler and bone graft substitute in defects not intrinsic to structural stability, including surgically created and traumatic osseous defects, and may be used in the extremities, pelvis, and posterolateral spine.</w:t>
      </w:r>
    </w:p>
    <w:p>
      <w:pPr>
        <w:spacing w:after="0" w:line="93" w:lineRule="exact"/>
        <w:rPr>
          <w:rFonts w:ascii="Arial" w:cs="Arial" w:eastAsia="Arial" w:hAnsi="Arial"/>
          <w:sz w:val="20"/>
          <w:szCs w:val="20"/>
          <w:color w:val="auto"/>
        </w:rPr>
      </w:pPr>
    </w:p>
    <w:p>
      <w:pPr>
        <w:jc w:val="both"/>
        <w:ind w:left="1080" w:hanging="360"/>
        <w:spacing w:after="0" w:line="259" w:lineRule="auto"/>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OsteoSelect PLUS DBM Putty combines the cohesive characteristics of OsteoSelect DBM Putty with demineralized cortical chunks. OsteoSelect PLUS is designed to deliver differentiated handling properties and ensure patient safety through validated, terminal sterilization.</w:t>
      </w:r>
    </w:p>
    <w:p>
      <w:pPr>
        <w:spacing w:after="0" w:line="78"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3Demin is a line of allograft bone products composed of 100% demineralized cortical bone. These allografts are processed to enhance osteoconductivity and retain the osteoinductive potential of human bone. The products exhibit malleable handling characteristics, are provided sterile, and can be hydrated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left="1080"/>
        <w:spacing w:after="0" w:line="278" w:lineRule="auto"/>
        <w:rPr>
          <w:sz w:val="20"/>
          <w:szCs w:val="20"/>
          <w:color w:val="auto"/>
        </w:rPr>
      </w:pPr>
      <w:r>
        <w:rPr>
          <w:rFonts w:ascii="Times New Roman" w:cs="Times New Roman" w:eastAsia="Times New Roman" w:hAnsi="Times New Roman"/>
          <w:sz w:val="20"/>
          <w:szCs w:val="20"/>
          <w:color w:val="auto"/>
        </w:rPr>
        <w:t>with biocompatible liquids for use in a range of bone grafting applications. 3Demin allografts are most commonly utilized in spinal fusion procedures.</w:t>
      </w:r>
    </w:p>
    <w:p>
      <w:pPr>
        <w:spacing w:after="0" w:line="61" w:lineRule="exact"/>
        <w:rPr>
          <w:sz w:val="20"/>
          <w:szCs w:val="20"/>
          <w:color w:val="auto"/>
        </w:rPr>
      </w:pPr>
    </w:p>
    <w:p>
      <w:pPr>
        <w:jc w:val="both"/>
        <w:ind w:left="1080" w:hanging="360"/>
        <w:spacing w:after="0" w:line="249"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OsteoFactor Pro is an allograft that retains a broad spectrum of naturally occurring growth factors present in human bone. Unlike products formulated with a single recombinant or isolated growth factor, OsteoFactor Pro contains multiple proteins and peptides associated with bone formation and remodeling. The product may be used as a stand alone graft or combined with our other allograft scaffolds to enhance the osteoinductive potential of those grafts.</w:t>
      </w:r>
    </w:p>
    <w:p>
      <w:pPr>
        <w:spacing w:after="0" w:line="90" w:lineRule="exact"/>
        <w:rPr>
          <w:rFonts w:ascii="Arial" w:cs="Arial" w:eastAsia="Arial" w:hAnsi="Arial"/>
          <w:sz w:val="20"/>
          <w:szCs w:val="20"/>
          <w:color w:val="auto"/>
        </w:rPr>
      </w:pPr>
    </w:p>
    <w:p>
      <w:pPr>
        <w:jc w:val="both"/>
        <w:ind w:left="1080" w:hanging="360"/>
        <w:spacing w:after="0" w:line="252"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OsteoVive Plus is a viable bone allograft produced using a proprietary method designed to preserve native bone components, including growth factors and viable cells. The graft provides osteoconductive, osteoinductive, and osteogenic potential as an alternative to autograft. The inclusion of our PurLoc fiber technology is intended to support excellent handling characteristics.</w:t>
      </w:r>
    </w:p>
    <w:p>
      <w:pPr>
        <w:spacing w:after="0" w:line="88" w:lineRule="exact"/>
        <w:rPr>
          <w:rFonts w:ascii="Arial" w:cs="Arial" w:eastAsia="Arial" w:hAnsi="Arial"/>
          <w:sz w:val="20"/>
          <w:szCs w:val="20"/>
          <w:color w:val="auto"/>
        </w:rPr>
      </w:pPr>
    </w:p>
    <w:p>
      <w:pPr>
        <w:jc w:val="both"/>
        <w:ind w:left="1080" w:hanging="360"/>
        <w:spacing w:after="0" w:line="246"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nanOss portfolio consists of synthetic bone graft substitutes that incorporate nanocrystalline hydroxyapatite designed to provide an osteoconductive scaffold for new bone formation. These products are available in various configurations that combine the ceramic phase with a porous carrier to support cellular attachment and graft handling. We recently introduced nanOss Strata, an enhanced formulation manufactured from hydroxycarbon apatite intended to improve incorporation with host bone. The nanOss products may be used in a range of orthopedic procedures requiring a synthetic osteoconductive scaffold.</w:t>
      </w:r>
    </w:p>
    <w:p>
      <w:pPr>
        <w:spacing w:after="0" w:line="92" w:lineRule="exact"/>
        <w:rPr>
          <w:rFonts w:ascii="Arial" w:cs="Arial" w:eastAsia="Arial" w:hAnsi="Arial"/>
          <w:sz w:val="20"/>
          <w:szCs w:val="20"/>
          <w:color w:val="auto"/>
        </w:rPr>
      </w:pPr>
    </w:p>
    <w:p>
      <w:pPr>
        <w:jc w:val="both"/>
        <w:ind w:left="1080" w:hanging="360"/>
        <w:spacing w:after="0" w:line="247"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FibreX is a demineralized cortical fiber allograft intended to provide an osteoconductive scaffold with osteoinductive potential to support new bone formation. Its elongated fiber structure is designed to promote graft cohesion and conformability when placed into bony defects. The incorporation of our PureLoc technology is intended to enhance handling characteristics and maintain graft integrity during placement. FibreX may be used by clinicians in orthopedic procedures where a moldable, fiber-based allograft scaffold is appropriate.</w:t>
      </w:r>
    </w:p>
    <w:p>
      <w:pPr>
        <w:spacing w:after="0" w:line="93" w:lineRule="exact"/>
        <w:rPr>
          <w:rFonts w:ascii="Arial" w:cs="Arial" w:eastAsia="Arial" w:hAnsi="Arial"/>
          <w:sz w:val="20"/>
          <w:szCs w:val="20"/>
          <w:color w:val="auto"/>
        </w:rPr>
      </w:pPr>
    </w:p>
    <w:p>
      <w:pPr>
        <w:jc w:val="both"/>
        <w:ind w:left="1080" w:hanging="361"/>
        <w:spacing w:after="0" w:line="246"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Trivium is a next-generation demineralized cortical fiber allograft that incorporates three key components—elongated demineralized cortical fibers, trabecular cancellous chips, and demineralized bone matrix. This composition creates intertwined structures with interconnected porosity intended to support cellular attachment and tissue ingrowth. Trivium utilizes PureLoc fiber technology to produce consistent, elongated fibers designed to maintain structural integrity and enhance handling during surgical placement. Trivium may be used by clinicians in orthopedic procedures requiring a moldable allograft scaffold.</w:t>
      </w:r>
    </w:p>
    <w:p>
      <w:pPr>
        <w:spacing w:after="0" w:line="94" w:lineRule="exact"/>
        <w:rPr>
          <w:rFonts w:ascii="Arial" w:cs="Arial" w:eastAsia="Arial" w:hAnsi="Arial"/>
          <w:sz w:val="20"/>
          <w:szCs w:val="20"/>
          <w:color w:val="auto"/>
        </w:rPr>
      </w:pPr>
    </w:p>
    <w:p>
      <w:pPr>
        <w:jc w:val="both"/>
        <w:ind w:left="1080" w:hanging="361"/>
        <w:spacing w:after="0" w:line="249"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SimpliGraft and SimpliMax are dehydrated, terminally irradiated amniotic membrane allografts available in single and dual-layer configurations. These allograft membranes are intended to function as protective barriers and provide coverage for acute and chronic wounds in surgical and wound care settings. Their structural properties are designed to support a controlled environment for wound management and integration into established clinical workflows.</w:t>
      </w:r>
    </w:p>
    <w:p>
      <w:pPr>
        <w:spacing w:after="0" w:line="90" w:lineRule="exact"/>
        <w:rPr>
          <w:rFonts w:ascii="Arial" w:cs="Arial" w:eastAsia="Arial" w:hAnsi="Arial"/>
          <w:sz w:val="20"/>
          <w:szCs w:val="20"/>
          <w:color w:val="auto"/>
        </w:rPr>
      </w:pPr>
    </w:p>
    <w:p>
      <w:pPr>
        <w:jc w:val="both"/>
        <w:ind w:left="1080" w:hanging="361"/>
        <w:spacing w:after="0" w:line="258"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CollagenX is a sterile, single use surgical collagen powder derived from 100% purified bovine Type I collagen and designed for use in the management of surgical and non-surgical wounds. CollagenX forms a soft, conforming barrier that helps maintain a moist wound environment.</w:t>
      </w:r>
    </w:p>
    <w:p>
      <w:pPr>
        <w:spacing w:after="0" w:line="18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also process and distribute sports allografts prepared for soft-tissue reconstruction applications, milled spinal allografts composed of cortical bone shaped to defined specifications, and traditional allografts used across multiple clinical specialties, including orthopedics, neurology, podiatry, oral and maxillofacial care, genitourinary care, chronic wound care, surgical repair, plastic and reconstructive medicine.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20" w:right="1440" w:bottom="17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Our Spinal Implant Products</w:t>
      </w:r>
    </w:p>
    <w:p>
      <w:pPr>
        <w:spacing w:after="0" w:line="243"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auto"/>
        </w:rPr>
        <w:t>We offer a comprehensive line of products that are used to treat a variety of spinal and sacroiliac conditions, including trauma, degeneration, deformity and tumor, including use of minimally invasive surgery techniques. Some of our key spinal implant product lines include: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Cervical Products</w:t>
      </w:r>
    </w:p>
    <w:p>
      <w:pPr>
        <w:spacing w:after="0" w:line="254" w:lineRule="exact"/>
        <w:rPr>
          <w:sz w:val="20"/>
          <w:szCs w:val="20"/>
          <w:color w:val="auto"/>
        </w:rPr>
      </w:pPr>
    </w:p>
    <w:p>
      <w:pPr>
        <w:ind w:left="1080" w:right="60" w:hanging="360"/>
        <w:spacing w:after="0" w:line="277"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Spider Cervical Plating System consists of simple, single step locking with 3 forms of locking feedback providing confidence in Spider System construct and performance.</w:t>
      </w:r>
    </w:p>
    <w:p>
      <w:pPr>
        <w:spacing w:after="0" w:line="62" w:lineRule="exact"/>
        <w:rPr>
          <w:rFonts w:ascii="Arial" w:cs="Arial" w:eastAsia="Arial" w:hAnsi="Arial"/>
          <w:sz w:val="20"/>
          <w:szCs w:val="20"/>
          <w:color w:val="auto"/>
        </w:rPr>
      </w:pPr>
    </w:p>
    <w:p>
      <w:pPr>
        <w:jc w:val="both"/>
        <w:ind w:left="1080" w:right="60" w:hanging="360"/>
        <w:spacing w:after="0" w:line="259"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Streamline OCT System allows a rigid construct to be created in the occipito-cervico-thoracic spine by offering a broad range of implants. These implants provide the ability to tailor treatment to a specific patient.</w:t>
      </w:r>
    </w:p>
    <w:p>
      <w:pPr>
        <w:spacing w:after="0" w:line="78" w:lineRule="exact"/>
        <w:rPr>
          <w:rFonts w:ascii="Arial" w:cs="Arial" w:eastAsia="Arial" w:hAnsi="Arial"/>
          <w:sz w:val="20"/>
          <w:szCs w:val="20"/>
          <w:color w:val="auto"/>
        </w:rPr>
      </w:pPr>
    </w:p>
    <w:p>
      <w:pPr>
        <w:jc w:val="both"/>
        <w:ind w:left="1080" w:right="60" w:hanging="360"/>
        <w:spacing w:after="0" w:line="259"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CervAlign System is a comprehensive anterior cervical plate system designed to meet the varying clinical needs of surgeons performing anterior cervical discectomy and fusion procedures. The system is designed to accommodate semi-constrained, constrained and hybrid constructs.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Thoracolumbar Products</w:t>
      </w:r>
    </w:p>
    <w:p>
      <w:pPr>
        <w:spacing w:after="0" w:line="255" w:lineRule="exact"/>
        <w:rPr>
          <w:sz w:val="20"/>
          <w:szCs w:val="20"/>
          <w:color w:val="auto"/>
        </w:rPr>
      </w:pPr>
    </w:p>
    <w:p>
      <w:pPr>
        <w:ind w:left="1080" w:hanging="360"/>
        <w:spacing w:after="0"/>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Axle-X Interspinous Fusion System is an internal fixation device for spinal surgery in the non-</w:t>
      </w:r>
    </w:p>
    <w:p>
      <w:pPr>
        <w:spacing w:after="0" w:line="26" w:lineRule="exact"/>
        <w:rPr>
          <w:rFonts w:ascii="Arial" w:cs="Arial" w:eastAsia="Arial" w:hAnsi="Arial"/>
          <w:sz w:val="20"/>
          <w:szCs w:val="20"/>
          <w:color w:val="auto"/>
        </w:rPr>
      </w:pPr>
    </w:p>
    <w:p>
      <w:pPr>
        <w:jc w:val="both"/>
        <w:ind w:left="1080"/>
        <w:spacing w:after="0" w:line="313" w:lineRule="auto"/>
        <w:rPr>
          <w:rFonts w:ascii="Arial" w:cs="Arial" w:eastAsia="Arial" w:hAnsi="Arial"/>
          <w:sz w:val="20"/>
          <w:szCs w:val="20"/>
          <w:color w:val="auto"/>
        </w:rPr>
      </w:pPr>
      <w:r>
        <w:rPr>
          <w:rFonts w:ascii="PMingLiU" w:cs="PMingLiU" w:eastAsia="PMingLiU" w:hAnsi="PMingLiU"/>
          <w:sz w:val="16"/>
          <w:szCs w:val="16"/>
          <w:color w:val="auto"/>
        </w:rPr>
        <w:t>FHUYLFDOVSLQH7í6LQFOXVLYH,WLVDPLQLPDOO\LQYDVLYHPRGXODULQWHUVSLQRXVIXVLRQV\VWHPZLWK DQJOHGVSLNHVWKDWDOORZVIRUDGHTXDWH/í6HQJDJH</w:t>
      </w:r>
      <w:r>
        <w:rPr>
          <w:rFonts w:ascii="Times New Roman" w:cs="Times New Roman" w:eastAsia="Times New Roman" w:hAnsi="Times New Roman"/>
          <w:sz w:val="16"/>
          <w:szCs w:val="16"/>
          <w:color w:val="auto"/>
        </w:rPr>
        <w:t>ment and other variations in patient anatomy. The</w:t>
      </w:r>
      <w:r>
        <w:rPr>
          <w:rFonts w:ascii="PMingLiU" w:cs="PMingLiU" w:eastAsia="PMingLiU" w:hAnsi="PMingLiU"/>
          <w:sz w:val="16"/>
          <w:szCs w:val="16"/>
          <w:color w:val="auto"/>
        </w:rPr>
        <w:t xml:space="preserve"> </w:t>
      </w:r>
      <w:r>
        <w:rPr>
          <w:rFonts w:ascii="Times New Roman" w:cs="Times New Roman" w:eastAsia="Times New Roman" w:hAnsi="Times New Roman"/>
          <w:sz w:val="16"/>
          <w:szCs w:val="16"/>
          <w:color w:val="auto"/>
        </w:rPr>
        <w:t>Axle-X Interspinous Fusion System is designed to provide spinal stability for lumbar fusion procedures, including the treatment of degenerative disc disease, spinal tumors and trauma.</w:t>
      </w:r>
    </w:p>
    <w:p>
      <w:pPr>
        <w:spacing w:after="0" w:line="42" w:lineRule="exact"/>
        <w:rPr>
          <w:rFonts w:ascii="Arial" w:cs="Arial" w:eastAsia="Arial" w:hAnsi="Arial"/>
          <w:sz w:val="20"/>
          <w:szCs w:val="20"/>
          <w:color w:val="auto"/>
        </w:rPr>
      </w:pPr>
    </w:p>
    <w:p>
      <w:pPr>
        <w:jc w:val="both"/>
        <w:ind w:left="1080" w:right="60" w:hanging="360"/>
        <w:spacing w:after="0" w:line="252"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Streamline MIS Spinal Fixation System allows a rigid construct to be created in the thoracolumbar spine via a percutaneous or mini-open approach using cannulated pedicle screws, set screws and rods. The system offers a broad range of implants and instruments, providing the ability to tailor treatment to a specific patient.</w:t>
      </w:r>
    </w:p>
    <w:p>
      <w:pPr>
        <w:spacing w:after="0" w:line="86" w:lineRule="exact"/>
        <w:rPr>
          <w:rFonts w:ascii="Arial" w:cs="Arial" w:eastAsia="Arial" w:hAnsi="Arial"/>
          <w:sz w:val="20"/>
          <w:szCs w:val="20"/>
          <w:color w:val="auto"/>
        </w:rPr>
      </w:pPr>
    </w:p>
    <w:p>
      <w:pPr>
        <w:jc w:val="both"/>
        <w:ind w:left="1080" w:right="60" w:hanging="360"/>
        <w:spacing w:after="0" w:line="259"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Streamline TL Spinal Fixation System allows a rigid construct to be created in the thoracolumbar spine using pedicle screws, set screws, rods and Streamline TL Crosslinks. The system offers a broad range of implants and instruments, providing the ability to tailor treatment to a specific patient.</w:t>
      </w:r>
    </w:p>
    <w:p>
      <w:pPr>
        <w:spacing w:after="0" w:line="78" w:lineRule="exact"/>
        <w:rPr>
          <w:rFonts w:ascii="Arial" w:cs="Arial" w:eastAsia="Arial" w:hAnsi="Arial"/>
          <w:sz w:val="20"/>
          <w:szCs w:val="20"/>
          <w:color w:val="auto"/>
        </w:rPr>
      </w:pPr>
    </w:p>
    <w:p>
      <w:pPr>
        <w:jc w:val="both"/>
        <w:ind w:left="1080" w:right="60" w:hanging="360"/>
        <w:spacing w:after="0" w:line="252"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Cortera Spinal Fixation System is a comprehensive posterior thoracolumbar fixation solution. Featuring innovative implants and multi-functional instrumentation, Cortera provides surgeons with a safe and effective solution that is designed to improve surgical workflow and deliver value when navigating complex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Sacroiliac Joint Products</w:t>
      </w:r>
    </w:p>
    <w:p>
      <w:pPr>
        <w:spacing w:after="0" w:line="255" w:lineRule="exact"/>
        <w:rPr>
          <w:sz w:val="20"/>
          <w:szCs w:val="20"/>
          <w:color w:val="auto"/>
        </w:rPr>
      </w:pPr>
    </w:p>
    <w:p>
      <w:pPr>
        <w:jc w:val="both"/>
        <w:ind w:left="1080" w:right="60" w:hanging="361"/>
        <w:spacing w:after="0" w:line="258"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Silex Sacroiliac Joint Fusion System is a sacroiliac fixation system which actively compresses across the SI joint. Sacroiliac dysfunction is increasingly recognized as a frequent contributor to chronic low back pain.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Interbody Products</w:t>
      </w:r>
    </w:p>
    <w:p>
      <w:pPr>
        <w:spacing w:after="0" w:line="254" w:lineRule="exact"/>
        <w:rPr>
          <w:sz w:val="20"/>
          <w:szCs w:val="20"/>
          <w:color w:val="auto"/>
        </w:rPr>
      </w:pPr>
    </w:p>
    <w:p>
      <w:pPr>
        <w:jc w:val="both"/>
        <w:ind w:left="1080" w:right="60" w:hanging="361"/>
        <w:spacing w:after="0" w:line="259"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Calix is a family of polyetheretherketone, or PEEK, interbody spacers and precision instruments for both cervical and thoracolumbar applications. Calix PC is a frictional titanium plasma-coated PEEK implant that provides additional biomechanical performance and end-plate visualization.</w:t>
      </w:r>
    </w:p>
    <w:p>
      <w:pPr>
        <w:spacing w:after="0" w:line="78" w:lineRule="exact"/>
        <w:rPr>
          <w:rFonts w:ascii="Arial" w:cs="Arial" w:eastAsia="Arial" w:hAnsi="Arial"/>
          <w:sz w:val="20"/>
          <w:szCs w:val="20"/>
          <w:color w:val="auto"/>
        </w:rPr>
      </w:pPr>
    </w:p>
    <w:p>
      <w:pPr>
        <w:ind w:left="1080" w:hanging="361"/>
        <w:spacing w:after="0"/>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Irix-C Cervical Integrated Fusion System consists of an integrated titanium ring, surrounded by an</w:t>
      </w:r>
    </w:p>
    <w:p>
      <w:pPr>
        <w:spacing w:after="0" w:line="27" w:lineRule="exact"/>
        <w:rPr>
          <w:rFonts w:ascii="Arial" w:cs="Arial" w:eastAsia="Arial" w:hAnsi="Arial"/>
          <w:sz w:val="20"/>
          <w:szCs w:val="20"/>
          <w:color w:val="auto"/>
        </w:rPr>
      </w:pPr>
    </w:p>
    <w:p>
      <w:pPr>
        <w:ind w:left="1080" w:right="20"/>
        <w:spacing w:after="0" w:line="250" w:lineRule="auto"/>
        <w:rPr>
          <w:rFonts w:ascii="Arial" w:cs="Arial" w:eastAsia="Arial" w:hAnsi="Arial"/>
          <w:sz w:val="20"/>
          <w:szCs w:val="20"/>
          <w:color w:val="auto"/>
        </w:rPr>
      </w:pPr>
      <w:r>
        <w:rPr>
          <w:rFonts w:ascii="PMingLiU" w:cs="PMingLiU" w:eastAsia="PMingLiU" w:hAnsi="PMingLiU"/>
          <w:sz w:val="19"/>
          <w:szCs w:val="19"/>
          <w:color w:val="auto"/>
        </w:rPr>
        <w:t xml:space="preserve">RXWHU 3((. ULQJ DQG WZR VFUHZV ,W LV LQWHQGHG IRU VSLQDO IXVLRQ SURFHGXUHV DW RQH OHYHO &amp; í 7 </w:t>
      </w:r>
      <w:r>
        <w:rPr>
          <w:rFonts w:ascii="Times New Roman" w:cs="Times New Roman" w:eastAsia="Times New Roman" w:hAnsi="Times New Roman"/>
          <w:sz w:val="19"/>
          <w:szCs w:val="19"/>
          <w:color w:val="auto"/>
        </w:rPr>
        <w:t>inclusive) in skeletally mature patients for the treatment of degenerative disc disease.</w:t>
      </w:r>
    </w:p>
    <w:p>
      <w:pPr>
        <w:spacing w:after="0" w:line="87" w:lineRule="exact"/>
        <w:rPr>
          <w:rFonts w:ascii="Arial" w:cs="Arial" w:eastAsia="Arial" w:hAnsi="Arial"/>
          <w:sz w:val="20"/>
          <w:szCs w:val="20"/>
          <w:color w:val="auto"/>
        </w:rPr>
      </w:pPr>
    </w:p>
    <w:p>
      <w:pPr>
        <w:jc w:val="both"/>
        <w:ind w:left="1080" w:right="60" w:hanging="361"/>
        <w:spacing w:after="0" w:line="277"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Irix-A Lumbar Integrated Fusion System consists of an integrated titanium ring, surrounded by an outer PEEK ring and three screws. It is intended for spinal fusion procedures at one or two contiguous</w:t>
      </w:r>
    </w:p>
    <w:p>
      <w:pPr>
        <w:sectPr>
          <w:pgSz w:w="12240" w:h="15840" w:orient="portrait"/>
          <w:cols w:equalWidth="0" w:num="1">
            <w:col w:w="9420"/>
          </w:cols>
          <w:pgMar w:left="1440" w:top="1416" w:right="1380" w:bottom="175"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420"/>
          </w:cols>
          <w:pgMar w:left="1440" w:top="1416" w:right="1380" w:bottom="175" w:gutter="0" w:footer="0" w:header="0"/>
          <w:type w:val="continuous"/>
        </w:sectPr>
      </w:pPr>
    </w:p>
    <w:bookmarkStart w:id="12" w:name="page13"/>
    <w:bookmarkEnd w:id="12"/>
    <w:p>
      <w:pPr>
        <w:ind w:left="1080"/>
        <w:spacing w:after="0" w:line="393" w:lineRule="auto"/>
        <w:rPr>
          <w:sz w:val="20"/>
          <w:szCs w:val="20"/>
          <w:color w:val="auto"/>
        </w:rPr>
      </w:pPr>
      <w:r>
        <w:rPr>
          <w:rFonts w:ascii="PMingLiU" w:cs="PMingLiU" w:eastAsia="PMingLiU" w:hAnsi="PMingLiU"/>
          <w:sz w:val="15"/>
          <w:szCs w:val="15"/>
          <w:color w:val="auto"/>
        </w:rPr>
        <w:t xml:space="preserve">OHYHOVRIWKHOXPERVDFUDOVSLQH/í6LQFOXVLYHLQVNHOHWDOO\PDWXUHSDWLHQWVIRUWKHWUHDWPHQWRI </w:t>
      </w:r>
      <w:r>
        <w:rPr>
          <w:rFonts w:ascii="Times New Roman" w:cs="Times New Roman" w:eastAsia="Times New Roman" w:hAnsi="Times New Roman"/>
          <w:sz w:val="15"/>
          <w:szCs w:val="15"/>
          <w:color w:val="auto"/>
        </w:rPr>
        <w:t>degenerative disc disease.</w:t>
      </w:r>
    </w:p>
    <w:p>
      <w:pPr>
        <w:spacing w:after="0" w:line="1" w:lineRule="exact"/>
        <w:rPr>
          <w:sz w:val="20"/>
          <w:szCs w:val="20"/>
          <w:color w:val="auto"/>
        </w:rPr>
      </w:pPr>
    </w:p>
    <w:p>
      <w:pPr>
        <w:jc w:val="both"/>
        <w:ind w:left="1080" w:right="60" w:hanging="360"/>
        <w:spacing w:after="0" w:line="279" w:lineRule="auto"/>
        <w:tabs>
          <w:tab w:leader="none" w:pos="108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Fortilink is a family of implants used in a variety of fixation procedures. Fortilink implants with TiPlus Technology are manufactured with selective laser melting and are built from implant grade titanium alloy. Open mesh structure and graft windows are designed to allow bone ingrowth and facilitate fusion.</w:t>
      </w:r>
    </w:p>
    <w:p>
      <w:pPr>
        <w:spacing w:after="0" w:line="61" w:lineRule="exact"/>
        <w:rPr>
          <w:rFonts w:ascii="Arial" w:cs="Arial" w:eastAsia="Arial" w:hAnsi="Arial"/>
          <w:sz w:val="19"/>
          <w:szCs w:val="19"/>
          <w:color w:val="auto"/>
        </w:rPr>
      </w:pPr>
    </w:p>
    <w:p>
      <w:pPr>
        <w:jc w:val="both"/>
        <w:ind w:left="1080" w:right="60" w:hanging="360"/>
        <w:spacing w:after="0" w:line="258" w:lineRule="auto"/>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Fortilink implants with TETRAfuse 3D Technology maintain bone-like mechanical properties. The unique features of the 3D printed nano-rough surface have been shown to allow bone cells to attach to the implant, increasing the potential for fusion.</w:t>
      </w:r>
    </w:p>
    <w:p>
      <w:pPr>
        <w:spacing w:after="0" w:line="81" w:lineRule="exact"/>
        <w:rPr>
          <w:rFonts w:ascii="Arial" w:cs="Arial" w:eastAsia="Arial" w:hAnsi="Arial"/>
          <w:sz w:val="20"/>
          <w:szCs w:val="20"/>
          <w:color w:val="auto"/>
        </w:rPr>
      </w:pPr>
    </w:p>
    <w:p>
      <w:pPr>
        <w:jc w:val="both"/>
        <w:ind w:left="1080" w:right="60" w:hanging="361"/>
        <w:spacing w:after="0" w:line="252" w:lineRule="auto"/>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Contact ALP (Anterior Lumbar Plate) System provides anterior fixation of the lumbosacral spine (L1-S1) with a focus on efficiency and flexibility. The system uses an integrated expansion screw head locking mechanism that allows the plate to be lagged to the vertebral body while maintaining controlled screw angulation and back out protection.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43" w:lineRule="exact"/>
        <w:rPr>
          <w:sz w:val="20"/>
          <w:szCs w:val="20"/>
          <w:color w:val="auto"/>
        </w:rPr>
      </w:pPr>
    </w:p>
    <w:p>
      <w:pPr>
        <w:jc w:val="both"/>
        <w:ind w:right="60" w:firstLine="720"/>
        <w:spacing w:after="0" w:line="247" w:lineRule="auto"/>
        <w:rPr>
          <w:sz w:val="20"/>
          <w:szCs w:val="20"/>
          <w:color w:val="auto"/>
        </w:rPr>
      </w:pPr>
      <w:r>
        <w:rPr>
          <w:rFonts w:ascii="Times New Roman" w:cs="Times New Roman" w:eastAsia="Times New Roman" w:hAnsi="Times New Roman"/>
          <w:sz w:val="20"/>
          <w:szCs w:val="20"/>
          <w:color w:val="auto"/>
        </w:rPr>
        <w:t>We distribute our products in the United States through an extensive distribution network of commissioned independent sales agents and stocking agents. As of December 31, 2025, we had over 670 independent sales agents and stocking agents. We also maintain a national accounts program to enable our agents to gain access to IDN hospitals and through GPOs. We have biologics contracts with major GPOs, including Vizient, Premier, and HealthTrust Purchasing Group, as well as extensive access to IDNs across the United States for both biologics and spine hardware systems.</w:t>
      </w:r>
    </w:p>
    <w:p>
      <w:pPr>
        <w:spacing w:after="0" w:line="200" w:lineRule="exact"/>
        <w:rPr>
          <w:sz w:val="20"/>
          <w:szCs w:val="20"/>
          <w:color w:val="auto"/>
        </w:rPr>
      </w:pPr>
    </w:p>
    <w:p>
      <w:pPr>
        <w:jc w:val="both"/>
        <w:ind w:right="60" w:firstLine="720"/>
        <w:spacing w:after="0" w:line="278" w:lineRule="auto"/>
        <w:rPr>
          <w:sz w:val="20"/>
          <w:szCs w:val="20"/>
          <w:color w:val="auto"/>
        </w:rPr>
      </w:pPr>
      <w:r>
        <w:rPr>
          <w:rFonts w:ascii="Times New Roman" w:cs="Times New Roman" w:eastAsia="Times New Roman" w:hAnsi="Times New Roman"/>
          <w:sz w:val="20"/>
          <w:szCs w:val="20"/>
          <w:color w:val="auto"/>
        </w:rPr>
        <w:t>Our international footprint includes distribution partners in Europe, Canada, Mexico, South America, and certain Pacific region countries.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Donor Procurement</w:t>
      </w:r>
    </w:p>
    <w:p>
      <w:pPr>
        <w:spacing w:after="0" w:line="243" w:lineRule="exact"/>
        <w:rPr>
          <w:sz w:val="20"/>
          <w:szCs w:val="20"/>
          <w:color w:val="auto"/>
        </w:rPr>
      </w:pPr>
    </w:p>
    <w:p>
      <w:pPr>
        <w:jc w:val="both"/>
        <w:ind w:right="60" w:firstLine="720"/>
        <w:spacing w:after="0" w:line="278" w:lineRule="auto"/>
        <w:rPr>
          <w:sz w:val="20"/>
          <w:szCs w:val="20"/>
          <w:color w:val="auto"/>
        </w:rPr>
      </w:pPr>
      <w:r>
        <w:rPr>
          <w:rFonts w:ascii="Times New Roman" w:cs="Times New Roman" w:eastAsia="Times New Roman" w:hAnsi="Times New Roman"/>
          <w:sz w:val="20"/>
          <w:szCs w:val="20"/>
          <w:color w:val="auto"/>
        </w:rPr>
        <w:t>Our mission with respect to donor procurement is: “Honoring the gift of donation, by helping our patients live as full, and complete a life as possible.”</w:t>
      </w:r>
    </w:p>
    <w:p>
      <w:pPr>
        <w:spacing w:after="0" w:line="167"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auto"/>
        </w:rPr>
        <w:t>In furtherance of our mission, we have agreements with multiple recovery agencies, and we continue to explore options to expand our network for access to donor tissue in anticipation of increased demand for our biologics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jc w:val="both"/>
        <w:ind w:right="60" w:firstLine="720"/>
        <w:spacing w:after="0" w:line="249" w:lineRule="auto"/>
        <w:rPr>
          <w:sz w:val="20"/>
          <w:szCs w:val="20"/>
          <w:color w:val="auto"/>
        </w:rPr>
      </w:pPr>
      <w:r>
        <w:rPr>
          <w:rFonts w:ascii="Times New Roman" w:cs="Times New Roman" w:eastAsia="Times New Roman" w:hAnsi="Times New Roman"/>
          <w:sz w:val="20"/>
          <w:szCs w:val="20"/>
          <w:color w:val="auto"/>
        </w:rPr>
        <w:t>There are various public and private organizations that offer both orthobiologics and fixation products to their customers, including our primary competitors Medtronic plc, Johnson and Johnson, Bioventus Inc., Globus Medical, Inc., OrthoFix Medical Inc., Alphatec Holdings, Inc., Highridge Inc., SI-Bone Inc., as well as dozens of privately-owned companies. We also compete with tissue banks that do not offer spinal fixation products, such as AlloSource International, Inc., LifeNet Health, and MTF Biologics.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jc w:val="both"/>
        <w:ind w:right="60" w:firstLine="720"/>
        <w:spacing w:after="0" w:line="252" w:lineRule="auto"/>
        <w:rPr>
          <w:sz w:val="20"/>
          <w:szCs w:val="20"/>
          <w:color w:val="auto"/>
        </w:rPr>
      </w:pPr>
      <w:r>
        <w:rPr>
          <w:rFonts w:ascii="Times New Roman" w:cs="Times New Roman" w:eastAsia="Times New Roman" w:hAnsi="Times New Roman"/>
          <w:sz w:val="20"/>
          <w:szCs w:val="20"/>
          <w:color w:val="auto"/>
        </w:rPr>
        <w:t>We rely upon patents, trademarks, trade secrets and other proprietary rights to maintain and improve our competitive position. We review third-party proprietary rights, including patents and patent applications, as available, to develop an effective intellectual property strategy, avoid infringement of third-party proprietary rights, identify licensing opportunities and monitor the intellectual property owned by others.</w:t>
      </w:r>
    </w:p>
    <w:p>
      <w:pPr>
        <w:spacing w:after="0" w:line="193" w:lineRule="exact"/>
        <w:rPr>
          <w:sz w:val="20"/>
          <w:szCs w:val="20"/>
          <w:color w:val="auto"/>
        </w:rPr>
      </w:pPr>
    </w:p>
    <w:p>
      <w:pPr>
        <w:jc w:val="both"/>
        <w:ind w:right="60" w:firstLine="720"/>
        <w:spacing w:after="0" w:line="266" w:lineRule="auto"/>
        <w:rPr>
          <w:sz w:val="20"/>
          <w:szCs w:val="20"/>
          <w:color w:val="auto"/>
        </w:rPr>
      </w:pPr>
      <w:r>
        <w:rPr>
          <w:rFonts w:ascii="Times New Roman" w:cs="Times New Roman" w:eastAsia="Times New Roman" w:hAnsi="Times New Roman"/>
          <w:sz w:val="19"/>
          <w:szCs w:val="19"/>
          <w:color w:val="auto"/>
        </w:rPr>
        <w:t>We protect our proprietary rights through a variety of methods. As a condition of employment, we generally require employees to execute an agreement relating to the confidential nature of and company ownership of proprietary information and assigning intellectual property rights to us. We generally require confidentiality agreements with vendors, consultants, and others who may have access to proprietary information. We generally limit access to our facilities and review the release of company information in advance of public disclosure. There can be no assurances,</w:t>
      </w:r>
    </w:p>
    <w:p>
      <w:pPr>
        <w:sectPr>
          <w:pgSz w:w="12240" w:h="15840" w:orient="portrait"/>
          <w:cols w:equalWidth="0" w:num="1">
            <w:col w:w="9420"/>
          </w:cols>
          <w:pgMar w:left="1440" w:top="1420" w:right="138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420"/>
          </w:cols>
          <w:pgMar w:left="1440" w:top="1420" w:right="1380" w:bottom="175" w:gutter="0" w:footer="0" w:header="0"/>
          <w:type w:val="continuous"/>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20"/>
          <w:szCs w:val="20"/>
          <w:color w:val="auto"/>
        </w:rPr>
        <w:t>however, that confidentiality agreements with employees, vendors, and consultants will not be breached, adequate remedies for any breach would be available, or competitors will not discover or independently develop our trade secrets. Litigation also may be necessary to protect trade secrets or techniques we 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23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Although we believe that, in the aggregate, our patents are valuable, and patent protection is beneficial to our business and competitive positioning, our patent protection will not necessarily deter or prevent competitors from attempting to develop similar products. There can be no assurances that our patents will provide competitive advantages for our products or that competitors will not challenge or circumvent these rights. In addition, there can be no assurances that the United States Patent and Trademark Office (“USPTO”) or foreign patent offices will issue any of our pending patent applications. The USPTO and foreign patent offices may deny or require a significant narrowing of the claims in our pending patent applications and the patents issuing from such applications. Any patents issuing from the pending patent applications may not provide us with significant commercial protection. We could incur substantial costs in proceedings before the USPTO or foreign patent offices, including opposition and other post-grant proceedings. These proceedings could result in adverse decisions as to the patentability, priority of our inventions, and the narrowing or invalidation of claims in issued patents. Additionally, the laws of some of the countries in which our products are or may be sold may not protect our intellectual property to the same extent as the laws in the United States or at all.</w:t>
      </w:r>
    </w:p>
    <w:p>
      <w:pPr>
        <w:spacing w:after="0" w:line="20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Our policy is to file patent applications in the United States and other countries when we believe it is commercially advantageous to do so. We do not consider our business to be materially dependent upon any individual patent. As of December 31, 2025, our biologics patent portfolio included 46 issued patents that expire between 2028 and 2041, 26 of which are issued U.S. patents. Our fixation portfolio is patent protected globally and includes 201 issued patents that expire between 2026 and 2043, 150 of which are issued U.S. patents, and 5 pending patent applications, 2 of which are U.S. patent applications. We expect that additional patent applications will be filed and prosecuted as inventions are discovered, technological improvements and processes are developed, and specific applications are identified. There can be no assurance that we will be able to obtain final approval of any patents.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240"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We have registered, and continue to seek registration, of trademarks and continuously monitor and aggressively pursue users of names and marks that potentially infringe upon our registered trademarks. We currently own the following registered trademarks: OsteoSponge®, OsteoVive®, OsteoWrap®, OsteoFactor®, OsteoFactor Pro®, BacFast®, OsteoSelect®, OsteoMax®, 3Demin®, Circle of Life®, ARANAX®, ASPECT®, ATRIX-C®, ATRIX-C UNION®, BACJAC®, BACFUSE®, BIGFOOT®, CLARITY®, CONTACT®, CROSS-FUSE®, INTICE®, LAT-FUSE®, MATRIFORM®, NANOSS®, NUNEC®, ORBITALWRAP®, PAC PLATE®, QUANTUM®, SLIMFUSE®, SimpliGraft®, SimpliMax®, SimpliMix®, STREAMLINE®, X-LINK®, XPRESS®, XSPAN®, ZYFIX®, ELEMAX®, UNISON®, FORTILINK®, TETRAFUSE®, CERVALIGN®, NANOSS 3D®, TIPLUS®, FIBREX®, MAXFUSE®, BIOMAX®, CORTERA®, ELEVATE YOUR BONE GRAFT®, and ELEVATED PROCEDURAL SOLUTIONS®. Under the X-spine name, we own the following registered trademarks: SILEX®, IRIX®, CALIX®, H-GRAFT®, SPIDER®, X90®, BUTREX®, FORTEX®, AXLE®, FIXCET®, and XTANT®.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 and Other Proprietary Rights</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To safeguard our proprietary knowledge and technology, we rely upon trade secret protection and non-disclosure/confidentiality agreements with employees, consultants and third-party collaboration partners with access to our confidential information. Although we believe our proprietary technology has value, because of rapid technological changes in the medical industry, we also believe that proprietary protection is of less significance than factors such as the intrinsic knowledge and experience of our management, advisory board, consultants and personnel and their ability to identify unmet market needs and to create, invent, develop and market innovative and differentiated products.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20" w:right="144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23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During the first quarter of 2025, we entered into a manufacture and license agreement with a distributor pursuant to which we agreed to manufacture and supply to the distributor our SimpliGraft® product under the distributor’s name in exchange for a one-time $1.5 million cash payment and minimum SimpliGraft® product purchase obligations of the distributor. During the fourth quarter of 2024, we entered into a license agreement with a distributor granting an exclusive right and license to manufacture and commercialize in the United States our SimpliMax™ product in exchange for a one-time $1.5 million cash payment and minimum quarterly royalty payments based on the volume of product sold by the distributor. Effective January 1, 2026, the Centers for Medicare &amp; Medicaid Services (“CMS”) implemented a Local Coverage Determination with significant changes to reimbursement for cellular and tissue-based products, which impacted our SimpliMax™ and SimpliGraft® products. In addition, on July 14 and 15, 2025, CMS released the CY 2026 Physician Fee Schedule (“PFS”) proposal and the CY 2026 Hospital Outpatient Prospective Payment System (“OPPS”) proposal. Under these rules, which were implemented on January 1, 2026, CMS instituted a consistent payment approach for skin substitutes across the private office and hospital outpatient departments settings with a fixed price of $127.14 per square centimeter. Together with the Local Coverage Determination and a recently announced Wasteful and Inappropriate Service Reduction model, there are several significant potential changes to reimbursement of skin substitutes that have impacted and will likely continue to impact the industry and the sale of our SimpliMax™ and SimpliGraft® products. Because of these regulatory changes, the SimpliGraft® manufacture and license agreement was terminated effective December 31, 2025 and it is possible that the SimpliMax™ license agreement may be terminated, adversely affecting our 2026 and future license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4"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We are International Organization for Standardization (“ISO”) 13485 and MDSAP Certified and registered with the U.S. Food and Drug Administration (“FDA”) as a manufacturer of human cells, tissues, and cellular and tissue-based products (“HCT/Ps”), as well as medical devices. ISO 13485 is the internationally recognized quality management systems (“QMS”) standard specifically designed for organizations involved in the life cycle of medical devices, including design, production, installation, servicing and distribution. Medical Device Single Audit Program (“MDSAP”) is a program that allows a third-party auditor to evaluate a medical device manufacturer’s quality management system to satisfy the requirements of multiple regulatory jurisdictions simultaneously. The program is based on ISO 13485. We are an accredited member in good standing with the Association for Advancing Tissue and Biologics (“AATB”), formerly known as the American Association of Tissue Banks. In addition, we comply with all licensing requirements for distributing HCT/Ps in states with such regulations, including Florida, California, Delaware, Illinois, Louisiana, Maryland, Oregon, and New York. As our industry is highly regulated, we cannot predict the impact of future regulations on our operations or those of our customers.</w:t>
      </w:r>
    </w:p>
    <w:p>
      <w:pPr>
        <w:spacing w:after="0" w:line="205"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stabilization and fusion products, along with our instrumentation systems, are classified as medical devices and are therefore subject to rigorous regulation by the FDA, as well as by other domestic and international regulatory authorities. These regulations apply to a wide range of activities carried out by Xtant and our suppliers, licensors and partners both now and in the future. These regulated activities include but are not limited to, product design and development, testing, manufacturing, labeling, storage, safety, premarket clearance, advertising and promotion, product marketing, sales and distribution, post-market surveillance and post-market adverse event reporting. All products currently marketed by Xtant are regulated as HCT/Ps and/or have received 510(k) clearances from the FDA, unless they are exempt.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Tissue</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FDA defines HCT/Ps as articles containing or consisting of human cells or tissues that are intended for implantation, transplantation, infusion, or transfer into a human recipient. Current Good Tissue Practices (“CGTP”) requirements govern the methods used in, and the facilities and controls used for, the manufacture of HCT/Ps in a way that prevents the introduction, transmission, or spread of communicable diseases by HCT/Ps. CGTPs include but are not limited to, any or all steps in the recovery, processing, storage, labeling, packaging or distribution of any human cell or tissue, and the screening or testing of the cell or tissue donor.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0" w:right="1440" w:bottom="175" w:gutter="0" w:footer="0" w:header="0"/>
          <w:type w:val="continuous"/>
        </w:sectPr>
      </w:pPr>
    </w:p>
    <w:bookmarkStart w:id="15" w:name="page16"/>
    <w:bookmarkEnd w:id="15"/>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Core CGTP requirements are those requirements that directly relate to preventing the introduction, transmission, or spread of communicable disease by HCT/Ps. The core CGTP requirements include requirements for:</w:t>
      </w:r>
    </w:p>
    <w:p>
      <w:pPr>
        <w:spacing w:after="0" w:line="159" w:lineRule="exact"/>
        <w:rPr>
          <w:sz w:val="20"/>
          <w:szCs w:val="20"/>
          <w:color w:val="auto"/>
        </w:rPr>
      </w:pPr>
    </w:p>
    <w:p>
      <w:pPr>
        <w:ind w:left="1080" w:hanging="360"/>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Facilities</w:t>
      </w:r>
    </w:p>
    <w:p>
      <w:pPr>
        <w:spacing w:after="0" w:line="35" w:lineRule="exact"/>
        <w:rPr>
          <w:rFonts w:ascii="Arial" w:cs="Arial" w:eastAsia="Arial" w:hAnsi="Arial"/>
          <w:sz w:val="20"/>
          <w:szCs w:val="20"/>
          <w:color w:val="auto"/>
        </w:rPr>
      </w:pPr>
    </w:p>
    <w:p>
      <w:pPr>
        <w:ind w:left="1080" w:hanging="360"/>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Environmental control</w:t>
      </w:r>
    </w:p>
    <w:p>
      <w:pPr>
        <w:spacing w:after="0" w:line="14" w:lineRule="exact"/>
        <w:rPr>
          <w:rFonts w:ascii="Arial" w:cs="Arial" w:eastAsia="Arial" w:hAnsi="Arial"/>
          <w:sz w:val="20"/>
          <w:szCs w:val="20"/>
          <w:color w:val="auto"/>
        </w:rPr>
      </w:pPr>
    </w:p>
    <w:p>
      <w:pPr>
        <w:ind w:left="1080" w:hanging="360"/>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Equipment</w:t>
      </w:r>
    </w:p>
    <w:p>
      <w:pPr>
        <w:spacing w:after="0" w:line="12" w:lineRule="exact"/>
        <w:rPr>
          <w:rFonts w:ascii="Arial" w:cs="Arial" w:eastAsia="Arial" w:hAnsi="Arial"/>
          <w:sz w:val="20"/>
          <w:szCs w:val="20"/>
          <w:color w:val="auto"/>
        </w:rPr>
      </w:pPr>
    </w:p>
    <w:p>
      <w:pPr>
        <w:ind w:left="1080" w:hanging="361"/>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Supplies and reagents</w:t>
      </w:r>
    </w:p>
    <w:p>
      <w:pPr>
        <w:spacing w:after="0" w:line="14" w:lineRule="exact"/>
        <w:rPr>
          <w:rFonts w:ascii="Arial" w:cs="Arial" w:eastAsia="Arial" w:hAnsi="Arial"/>
          <w:sz w:val="20"/>
          <w:szCs w:val="20"/>
          <w:color w:val="auto"/>
        </w:rPr>
      </w:pPr>
    </w:p>
    <w:p>
      <w:pPr>
        <w:ind w:left="1080" w:hanging="361"/>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Recovery</w:t>
      </w:r>
    </w:p>
    <w:p>
      <w:pPr>
        <w:spacing w:after="0" w:line="12" w:lineRule="exact"/>
        <w:rPr>
          <w:rFonts w:ascii="Arial" w:cs="Arial" w:eastAsia="Arial" w:hAnsi="Arial"/>
          <w:sz w:val="20"/>
          <w:szCs w:val="20"/>
          <w:color w:val="auto"/>
        </w:rPr>
      </w:pPr>
    </w:p>
    <w:p>
      <w:pPr>
        <w:ind w:left="1080" w:hanging="361"/>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Processing and process controls</w:t>
      </w:r>
    </w:p>
    <w:p>
      <w:pPr>
        <w:spacing w:after="0" w:line="14" w:lineRule="exact"/>
        <w:rPr>
          <w:rFonts w:ascii="Arial" w:cs="Arial" w:eastAsia="Arial" w:hAnsi="Arial"/>
          <w:sz w:val="20"/>
          <w:szCs w:val="20"/>
          <w:color w:val="auto"/>
        </w:rPr>
      </w:pPr>
    </w:p>
    <w:p>
      <w:pPr>
        <w:ind w:left="1080" w:hanging="361"/>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Labeling controls</w:t>
      </w:r>
    </w:p>
    <w:p>
      <w:pPr>
        <w:spacing w:after="0" w:line="14" w:lineRule="exact"/>
        <w:rPr>
          <w:rFonts w:ascii="Arial" w:cs="Arial" w:eastAsia="Arial" w:hAnsi="Arial"/>
          <w:sz w:val="20"/>
          <w:szCs w:val="20"/>
          <w:color w:val="auto"/>
        </w:rPr>
      </w:pPr>
    </w:p>
    <w:p>
      <w:pPr>
        <w:ind w:left="1080" w:hanging="361"/>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Storage</w:t>
      </w:r>
    </w:p>
    <w:p>
      <w:pPr>
        <w:spacing w:after="0" w:line="12" w:lineRule="exact"/>
        <w:rPr>
          <w:rFonts w:ascii="Arial" w:cs="Arial" w:eastAsia="Arial" w:hAnsi="Arial"/>
          <w:sz w:val="20"/>
          <w:szCs w:val="20"/>
          <w:color w:val="auto"/>
        </w:rPr>
      </w:pPr>
    </w:p>
    <w:p>
      <w:pPr>
        <w:ind w:left="1080" w:hanging="361"/>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Receipt, predistribution shipment, and distribution of an HCT/P.</w:t>
      </w:r>
    </w:p>
    <w:p>
      <w:pPr>
        <w:spacing w:after="0" w:line="217"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In addition, there are regulatory requirements pertaining to donor eligibility determinations, donor screening, and donor testing.</w:t>
      </w:r>
    </w:p>
    <w:p>
      <w:pPr>
        <w:spacing w:after="0" w:line="168"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An HCT/P is regulated solely under section 361 of the Public Health Service Act (“PHSA”) and 21 CFR Part 1271 if it meets the following four criteria:</w:t>
      </w:r>
    </w:p>
    <w:p>
      <w:pPr>
        <w:spacing w:after="0" w:line="167" w:lineRule="exact"/>
        <w:rPr>
          <w:sz w:val="20"/>
          <w:szCs w:val="20"/>
          <w:color w:val="auto"/>
        </w:rPr>
      </w:pPr>
    </w:p>
    <w:p>
      <w:pPr>
        <w:ind w:left="1080" w:hanging="361"/>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HCT/P is minimally manipulated;</w:t>
      </w:r>
    </w:p>
    <w:p>
      <w:pPr>
        <w:spacing w:after="0" w:line="240" w:lineRule="exact"/>
        <w:rPr>
          <w:rFonts w:ascii="Times New Roman" w:cs="Times New Roman" w:eastAsia="Times New Roman" w:hAnsi="Times New Roman"/>
          <w:sz w:val="20"/>
          <w:szCs w:val="20"/>
          <w:color w:val="auto"/>
        </w:rPr>
      </w:pPr>
    </w:p>
    <w:p>
      <w:pPr>
        <w:ind w:left="1080" w:hanging="361"/>
        <w:spacing w:after="0" w:line="278"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HCT/P is intended for homologous use only; as reflected by the labeling, advertising, or other indications of the manufacturer’s objective intent;</w:t>
      </w:r>
    </w:p>
    <w:p>
      <w:pPr>
        <w:spacing w:after="0" w:line="166" w:lineRule="exact"/>
        <w:rPr>
          <w:rFonts w:ascii="Times New Roman" w:cs="Times New Roman" w:eastAsia="Times New Roman" w:hAnsi="Times New Roman"/>
          <w:sz w:val="20"/>
          <w:szCs w:val="20"/>
          <w:color w:val="auto"/>
        </w:rPr>
      </w:pPr>
    </w:p>
    <w:p>
      <w:pPr>
        <w:ind w:left="1080" w:hanging="361"/>
        <w:spacing w:after="0" w:line="278"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of the HCT/P does not involve the combination of the cells or tissues with another article (with limited exceptions); and</w:t>
      </w:r>
    </w:p>
    <w:p>
      <w:pPr>
        <w:spacing w:after="0" w:line="168" w:lineRule="exact"/>
        <w:rPr>
          <w:rFonts w:ascii="Times New Roman" w:cs="Times New Roman" w:eastAsia="Times New Roman" w:hAnsi="Times New Roman"/>
          <w:sz w:val="20"/>
          <w:szCs w:val="20"/>
          <w:color w:val="auto"/>
        </w:rPr>
      </w:pPr>
    </w:p>
    <w:p>
      <w:pPr>
        <w:ind w:left="1080" w:hanging="361"/>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39" w:lineRule="exact"/>
        <w:rPr>
          <w:rFonts w:ascii="Times New Roman" w:cs="Times New Roman" w:eastAsia="Times New Roman" w:hAnsi="Times New Roman"/>
          <w:sz w:val="20"/>
          <w:szCs w:val="20"/>
          <w:color w:val="auto"/>
        </w:rPr>
      </w:pPr>
    </w:p>
    <w:p>
      <w:pPr>
        <w:ind w:left="1440" w:hanging="361"/>
        <w:spacing w:after="0" w:line="278" w:lineRule="auto"/>
        <w:tabs>
          <w:tab w:leader="none" w:pos="14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HCT/P does not have a systemic effect and is not dependent upon the metabolic activity of living cells for its primary function; or</w:t>
      </w:r>
    </w:p>
    <w:p>
      <w:pPr>
        <w:spacing w:after="0" w:line="166" w:lineRule="exact"/>
        <w:rPr>
          <w:rFonts w:ascii="Times New Roman" w:cs="Times New Roman" w:eastAsia="Times New Roman" w:hAnsi="Times New Roman"/>
          <w:sz w:val="20"/>
          <w:szCs w:val="20"/>
          <w:color w:val="auto"/>
        </w:rPr>
      </w:pPr>
    </w:p>
    <w:p>
      <w:pPr>
        <w:jc w:val="both"/>
        <w:ind w:left="1440" w:hanging="361"/>
        <w:spacing w:after="0" w:line="259" w:lineRule="auto"/>
        <w:tabs>
          <w:tab w:leader="none" w:pos="14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HCT/P has a systemic effect or is dependent upon the metabolic activity of living cells for its primary function and: is for autologous use; is for allogeneic use in a first-degree or second-degree blood relative; or is for reproductive use.</w:t>
      </w:r>
    </w:p>
    <w:p>
      <w:pPr>
        <w:spacing w:after="0" w:line="6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Failure to comply with applicable regulatory requirements can result in enforcement action by the FDA, which may include sanctions such as warning or untitled letters, injunctions, or other action.</w:t>
      </w:r>
    </w:p>
    <w:p>
      <w:pPr>
        <w:spacing w:after="0" w:line="16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There are many HCT/P products that must undergo regulatory review and licensure by the FDA. The approval process for a Biologics License Application (“BLA”) includes a rigorous review of the safety and efficacy of the biological product. Successful applications typically require testing and validation through a series of clinical and non-clinical studies taking place over multiple years of product development. We refer to all of our HCT/P products as biologics. In the future, Xtant may decide to strategically commercialize products in the United States that would require a BLA, but there are no plans to do so at the present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Medical Devices</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Center for Devices and Radiological Health oversees the clearance, authorization and approval of medical devices, including our stabilization and fusion products, as well as certain HCT/Ps regulated as medical devices. In the United States, medical devices are heavily regulated by the FDA under the Federal Food, Drug, and Cosmetic Act (“FDCA”) and its associated regulations, as well as other relevant federal and state laws. These regulations cover various aspects, including design, manufacture, storage, record control, approval, labeling, promotion, post-approval monitoring and reporting, distribution and import and export of medical devices. Non-compliance with these requirements can result in administrative actions such as FDA refusal to approve pending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0" w:right="1440" w:bottom="175" w:gutter="0" w:footer="0" w:header="0"/>
          <w:type w:val="continuous"/>
        </w:sectPr>
      </w:pPr>
    </w:p>
    <w:bookmarkStart w:id="16" w:name="page17"/>
    <w:bookmarkEnd w:id="16"/>
    <w:p>
      <w:pPr>
        <w:jc w:val="both"/>
        <w:spacing w:after="0" w:line="278" w:lineRule="auto"/>
        <w:rPr>
          <w:sz w:val="20"/>
          <w:szCs w:val="20"/>
          <w:color w:val="auto"/>
        </w:rPr>
      </w:pPr>
      <w:r>
        <w:rPr>
          <w:rFonts w:ascii="Times New Roman" w:cs="Times New Roman" w:eastAsia="Times New Roman" w:hAnsi="Times New Roman"/>
          <w:sz w:val="20"/>
          <w:szCs w:val="20"/>
          <w:color w:val="auto"/>
        </w:rPr>
        <w:t>Premarket Approvals (“PMAs”), 510(k)s, issuance of warning letters, mandatory product recalls, import detentions, civil monetary penalties, and/or judicial sanctions, such as product seizures, injunctions, and criminal prosecution.</w:t>
      </w:r>
    </w:p>
    <w:p>
      <w:pPr>
        <w:spacing w:after="0" w:line="16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Under the FDCA, medical devices are classified into one of three classes based on the risk associated with the device and the level of control necessary to provide a reasonable assurance of safety and effectiveness. Class I devices are deemed to be low risk and are subject to the fewest regulatory controls. Class III devices are generally the highest risk devices and are subject to the highest level of regulatory control to provide reasonable assurance of safety and effectiveness. Class III devices must typically be approved by the FDA before they are marketed.</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Most Class I devices and a minority of Class II devices are completely exempt from premarket review by the FDA. Most Class II devices and a minority of Class I devices require 510(k) clearance. Devices that pose the highest risk, including life sustaining, life-supporting or implantable devices, or devices deemed not substantially equivalent to a previously 510(k)-cleared device or a “pre-amendment” Class III device in commercial distribution before May 28, 1976 for which PMA applications are not required, are placed in Class III requiring PMA approval. A novel device is placed in Class III by default, but it may be eligible to be placed in Class I or Class II via “de novo” classification if it can be shown to pose only low to moderate risk with appropriate regulatory controls.</w:t>
      </w:r>
    </w:p>
    <w:p>
      <w:pPr>
        <w:spacing w:after="0" w:line="20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PMA approval pathway requires proof that there is a reasonable assurance of safety and effectiveness. The 510(k)-clearance pathway is much less burdensome and time-consuming than the PMA approval pathway. The de novo pathway has an enhanced burden compared to the 510(k)-clearance pathway but is much less burdensome than a PMA approval process.</w:t>
      </w:r>
    </w:p>
    <w:p>
      <w:pPr>
        <w:spacing w:after="0" w:line="19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Under the 510(k)-clearance pathway, the applicant must submit to the FDA a premarket notification demonstrating that the medical device is substantially equivalent to a legally marketed predicate device. A predicate device may be a previously 510(k) cleared device, a de novo-authorized device, or a pre-amendment device (unless the FDA has issued a regulation calling for PMA applications for this device type). To be substantially equivalent, the proposed device must have the same intended use as the predicate device, and either have the same technological characteristics as the predicate device or have different technological characteristics and be shown to be equally safe and effective and not raise different questions of safety and effectiveness than the predicate device.</w:t>
      </w:r>
    </w:p>
    <w:p>
      <w:pPr>
        <w:spacing w:after="0" w:line="20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By statute, the FDA is required to complete its review within 90 FDA days of receiving the 510(k) notification. As a practical matter, clearance often takes longer, typically ranging from three to nine months or more, and clearance is never assured. The FDA’s 510(k) review compares a proposed device to a predicate device with respect to intended use and technology. The information necessary to show substantial equivalence will depend on the differences between the proposed device and the predicate device, which may include bench, animal, and/or clinical studies. The discussion of what data is needed is sometimes conducted in a voluntary process called the pre-submission process whereby companies meet with the FDA to discuss the data needed for clearance.</w:t>
      </w:r>
    </w:p>
    <w:p>
      <w:pPr>
        <w:spacing w:after="0" w:line="19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the FDA finds the applicant’s device is substantially equivalent to the predicate device, it will send a letter to the applicant stating that fact. This allows the applicant’s device to be commercially distributed in the United States. If the device cannot proceed through the 510(k) pathway, the applicant must fulfill the much more rigorous premarketing requirements of the PMA approval process or seek reclassification of the device through the de novo process.</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After a device receives 510(k) clearance, any modification that could significantly affect its safety or effectiveness, or that would constitute a major change in its intended use, requires a new 510(k) clearance or could require reclassification through the de novo process or a PMA approval. The FDA requires each manufacturer to make this determination in the first instance, but the FDA can review any such decision. If the FDA disagrees with a manufacturer’s decision not to seek a new 510(k) clearance, the agency may require the manufacturer to seek 510(k) clearance, de novo authorization, or PMA approval. The FDA can also require a manufacturer to cease marketing and/or recall the modified device until 510(k) clearance, de novo authorization, or PMA approval is obtained.</w:t>
      </w:r>
    </w:p>
    <w:p>
      <w:pPr>
        <w:spacing w:after="0" w:line="199"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Another procedure for obtaining marketing authorization for a medical device is the “de novo classification” procedure. Devices of a new type that the FDA has not previously classified based on risk are automatically classified into Class III, regardless of the level of risk they pose. Additionally, in response to a 510(k) premarket notification, if the FDA determines that the device is “not substantially equivalent” to a previously cleared device, the device is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0" w:right="1440" w:bottom="175" w:gutter="0" w:footer="0" w:header="0"/>
          <w:type w:val="continuous"/>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20"/>
          <w:szCs w:val="20"/>
          <w:color w:val="auto"/>
        </w:rPr>
        <w:t>automatically designated as a Class III device. The device sponsor must then fulfill more rigorous PMA requirements or can request a risk -based classification determination for the device in accordance with the de novo process, which is a route to market for novel medical devices that are low to moderate risk and are not substantially equivalent to a predicate device.</w:t>
      </w:r>
    </w:p>
    <w:p>
      <w:pPr>
        <w:spacing w:after="0" w:line="19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advantage of the de novo classification process is that it generally requires less data than a PMA. The disadvantage is that it may require more data than a 510(k) and most often will include human clinical data. A request for de novo classification also has a longer review time as compared to a 510(k). If the de novo submission is denied, the device remains in Class III and PMA approval may be required before the device may be legally marketed in the United States. The FDA is increasingly moving devices with slightly different proposed indication statements or different technological features off the 510(k) path and onto the de novo path, resulting in more time and expense for the company.</w:t>
      </w:r>
    </w:p>
    <w:p>
      <w:pPr>
        <w:spacing w:after="0" w:line="20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A device not eligible for 510(k) clearance or de novo classification must follow the PMA approval pathway, which requires proof of the reasonable assurance of the device’s safety and effectiveness. The cost of preparing and submitting a PMA is substantial and a PMA application must provide extensive preclinical and clinical trial data and also detailed information about the device and its components regarding, among other things, device design, manufacturing and labeling. Under federal law, the submission of most PMAs is additionally subject to a substantial annually adjusted application user fee. Satisfaction of FDA PMA requirements typically take years, and the actual time required may vary substantially based upon the type, complexity, and novelty of the device or disease.</w:t>
      </w:r>
    </w:p>
    <w:p>
      <w:pPr>
        <w:spacing w:after="0" w:line="18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After a medical device enters commercial distribution, General Controls for Medical Devices apply. General Controls are the basic provisions (authorities) that provide the FDA with the means of regulating devices to ensure their safety and effectiveness. The General Controls apply to all medical devices. They include provisions that relate to adulteration; misbranding; device registration and listing; premarket notification; banned devices; notification, including repair or replacement, or refund; records and reports; restricted devices; and good manufacturing practices.</w:t>
      </w:r>
    </w:p>
    <w:p>
      <w:pPr>
        <w:spacing w:after="0" w:line="18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FDA has broad post-market and regulatory enforcement privileges. Medical device manufacturers are subject to unannounced inspections by the FDA and other state, local and foreign regulatory authorities to assess compliance with the Quality Management System Regulation (“QMSR”)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repair, replacement, refunds, recall or seizure of our devices; operating restrictions, partial suspension or total shutdown of manufacturing; the FDA’s refusal of our requests for 510(k) clearances, de novo classification, or premarket approvals of new devices, new intended uses or modifications to existing devices; the FDA’s refusal to issue certificates to foreign governments needed to export devices for sale in other countries; and withdrawing 510(k) clearances, de novo marketing authorization, or premarket approvals that have already been granted; and criminal prosecution.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Regulation</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International distribution is governed by foreign government regulations, which can vary between countries. The time needed for approval in a foreign country may be longer or shorter than that required for FDA approval process, and the specific requirements may differ. Some countries accept MDSAP Certificates, CE Marking, and/or FDA clearances as part of their medical device marketing approval process,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Fraud and Abuse</w:t>
      </w:r>
    </w:p>
    <w:p>
      <w:pPr>
        <w:spacing w:after="0" w:line="24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Healthcare fraud and abuse laws apply to Xtant’s business when a customer submits a claim for an item or service that is reimbursed under Medicare, Medicaid or most other federally-funded healthcare programs. 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 care programs, such as by Medicare or Medicaid. The concerns that the Anti-Kickback Statute addresses are multiple, but primary among them are, first, that the federal government pays/reimburses health care providers for the true acquisition cost of goods and services provided to patients served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type w:val="continuous"/>
        </w:sectPr>
      </w:pPr>
    </w:p>
    <w:bookmarkStart w:id="18" w:name="page19"/>
    <w:bookmarkEnd w:id="18"/>
    <w:p>
      <w:pPr>
        <w:jc w:val="both"/>
        <w:spacing w:after="0" w:line="247" w:lineRule="auto"/>
        <w:rPr>
          <w:sz w:val="20"/>
          <w:szCs w:val="20"/>
          <w:color w:val="auto"/>
        </w:rPr>
      </w:pPr>
      <w:r>
        <w:rPr>
          <w:rFonts w:ascii="Times New Roman" w:cs="Times New Roman" w:eastAsia="Times New Roman" w:hAnsi="Times New Roman"/>
          <w:sz w:val="20"/>
          <w:szCs w:val="20"/>
          <w:color w:val="auto"/>
        </w:rPr>
        <w:t>by government programs. The government does not want, for example, health care providers obtaining manufacturer discounts which are not disclosed to the government on cost report forms submitted for reimbursement to the government. The government wants to be the beneficiary of such discounts. Second, for that reason, the government wants transparency in the billing process which discloses such discounts to the government. Third, the government does not want purchasing, prescription or referral decisions for medical devices biased by economics unrelated to the best choices for a patient.</w:t>
      </w:r>
    </w:p>
    <w:p>
      <w:pPr>
        <w:spacing w:after="0" w:line="20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The Federal Anti-Kickback Statute is subject to evolving interpretations and has been applied by government enforcement officials to a number of common business arrangements in the medical device industry. Remunerative relationships with physicians in which manufacturers give health care providers gifts or pay for entertainment, sporting events, trips or other perquisites, may be viewed as an attempt to buy loyalty to the manufacturer’s products. A number of states also have anti-kickback laws that establish similar prohibitions that may apply to items or services reimbursed by government programs as well as any third-party payors, including commercial insurers. Further, federal legislation, the Patient Protection and Affordable Care Act, as amended by the Health Care and Education Reconciliation Act (collectively “PPACA”), among other things, clarified the intent requirements of the Federal Anti-Kickback Statute and the federal criminal statutes governing healthcare fraud. Specifically, a person or entity can be found to have violated the statutes without actual knowledge of these statutes or specific intent to violate them. In addition, the PPACA amended the Social Security Act to provide that the government may assert that a claim including items or services resulting from a violation of the Federal Anti-Kickback Statute constitutes a false or fraudulent claim for purposes of the Federal False Claims Act or federal civil money penalties statute. Amendments to the Federal False Claims Act provide that a violation of the Federal Anti-Kickback Statute is also a violation of the Federal False Claims Act, subjecting healthcare entities to treble damages and mandatory penalties for each false claim or statement.</w:t>
      </w:r>
    </w:p>
    <w:p>
      <w:pPr>
        <w:spacing w:after="0" w:line="19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Additionally, the civil Federal False Claims Act prohibits, among other things, knowingly presenting or causing the presentation of a false, fictitious or fraudulent claim for payment of federal funds, or knowingly making, or causing to be made, a false record or statement material to a false or fraudulent claim to avoid, decrease or conceal an obligation to pay money to the federal government. The purpose of the Federal False Claims Act is to prevent manufacturers from causing or inducing inappropriate prescriptions leading to an inappropriate government reimbursement. It often comes into play where a manufacturer suggests or assists a health care provider to bill for an off-label, uncovered use. It also can occur when the reimbursement advice given by a manufacturer results in inappropriate reimbursement claims from “upcoding,” miscoding, “stretched” coding, the use of inappropriate modifiers or inappropriate care settings. These behaviors can result in the government paying for products or procedures that should not be reimbursed by the federal government. The manufacturer must be truthful and not misleading in the reimbursement advice it gives to customers.</w:t>
      </w:r>
    </w:p>
    <w:p>
      <w:pPr>
        <w:spacing w:after="0" w:line="20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Actions under the Federal False Claims Act may be brought by the Attorney General or as a qui tam action by a private individual in the name of the government. Violations of the Federal False Claims Act can result in very significant monetary penalties and treble damages. The federal government is using the Federal False Claims Act, and the accompanying threat of significant liability, in its investigations of healthcare companies throughout the country for a wide variety of Medicare billing practices, as well as federal Anti-Kickback Statute violations and certain marketing practices, including off-label promotion, and has obtained multi-million and multi-billion dollar settlements under the Federal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suppliers’ compliance with the healthcare reimbursement rules and fraud and abuse laws.</w:t>
      </w:r>
    </w:p>
    <w:p>
      <w:pPr>
        <w:spacing w:after="0" w:line="20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Federal Physician Payments Sunshine Act imposes annual reporting requirements on device manufacturers for payments and other transfers of value provided by them, directly or indirectly, to physicians (including physician family members) and teaching hospitals, as well as ownership and investment interests held by physicians. Device manufactures are also required to collect information on payments or transfers of value to physician assistants, nurse practitioners, clinical nurse specialists, certified registered nurse anesthetists, and certified nurse midwives for reporting to the Centers for Medicare &amp; Medicaid Services. A manufacturer’s failure to submit timely, accurately and completely the required information for all payments, transfers of value or ownership or investment interests may result in civil monetary penalties. Certain states also mandate implementation of commercial compliance programs, impose restrictions on device manufacturer marketing practices and require tracking and reporting of gifts, compensation and other remuneration to healthcare professionals and entities.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0" w:right="1440" w:bottom="175" w:gutter="0" w:footer="0" w:header="0"/>
          <w:type w:val="continuous"/>
        </w:sectPr>
      </w:pPr>
    </w:p>
    <w:bookmarkStart w:id="19" w:name="page20"/>
    <w:bookmarkEnd w:id="19"/>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operations are also subject to the U.S. Foreign Corrupt Practices Act (“FCPA”). We are required to comply with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publicly traded United States corporations 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 in certain foreign jurisdictions.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Xtant’s currently approved products are commonly treated as general supplies utilized in spinal and orthopedic surgery and if covered by third-party payors, are paid for as part of the surgical procedure. Accordingly, healthcare providers in the United States generally rely on third-party payors, principally private insurers and governmental payors such as Medicare and Medicaid, to cover and reimburse all or part of the cost of a spine surgery in which Xtant products are used. Sales volumes and fees for Xtant products will continue to depend in large part on the availability of coverage and reimbursement from such third-party payors. Third-party payors perform analyses on new technologies to determine if they are medically necessary before providing coverage for them. These third-party payors may still deny reimbursement on covered technologies if they determine that a device used in a procedure was not used in accordance with the payor’s coverage policy. Particularly in the United States, third-party payors continue to carefully review, and increasingly challenge, the prices charged for procedures and medical products.</w:t>
      </w:r>
    </w:p>
    <w:p>
      <w:pPr>
        <w:spacing w:after="0" w:line="19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the United States, a large percentage of insured individuals receive their medical care through managed care programs, which monitor and often require pre-approval of the services that a member will receive. Some managed care programs pay their providers on a per capita basis, which puts the providers at financial risk for the services provided to their patients by paying these providers a predetermined payment per member per month and, consequently, may limit the willingness of these providers to use Xtant products.</w:t>
      </w:r>
    </w:p>
    <w:p>
      <w:pPr>
        <w:spacing w:after="0" w:line="19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overall escalating cost of medical products and services has led to, and will likely continue to lead to, increased pressures on the healthcare industry to reduce the costs of products and services. Government or private third-party payors cannot be guaranteed to cover and reimburse the procedures using Xtant products in whole or in part in the future or that payment rates will be adequate. In addition, it is possible that future legislation, regulation or coverage and reimbursement policies of third-party payors will adversely affect the demand for Xtant products or the ability to sell them on a profitable basis.</w:t>
      </w:r>
    </w:p>
    <w:p>
      <w:pPr>
        <w:spacing w:after="0" w:line="20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Internationally, reimbursement and healthcare payment systems vary substantially from country to country and include single-payor, government-managed systems as well as systems in which private payors and government managed systems exist side-by-side. Xtant’s ability to achieve market acceptance or significant sales volume in international markets will be dependent in large part on the availability of reimbursement for procedures performed using company products under the healthcare payment systems in such markets. A number of countries may require Xtant to gather additional clinical data before recognizing coverage and reimbursement for its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ISO Certification</w:t>
      </w:r>
    </w:p>
    <w:p>
      <w:pPr>
        <w:spacing w:after="0" w:line="24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Xtant is ISO and MDSAP Certified. ISO 13485 is the internationally recognized quality management system standard specifically designed for organizations involved in the life cycle of medical devices, including design, production, installation, servicing and distribution. MDSAP is a program that allows third-party auditors to evaluate a medical device manufacturer’s quality management system to satisfy the requirements of multiple regulatory jurisdictions simultaneously. The program is based on ISO 13485.</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Achieving ISO 13485 and MDSAP certification requires building and maintaining a robust, fully implemented QMS that demonstrates consistent control over the design, manufacture, and distribution of medical devices.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0" w:right="1440" w:bottom="17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Mission, Quality Policy and Core Values</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mission is to “honor the gift of donation, by allowing our patients to live as full, and complete a life as possible.” Through an effective quality system, we prioritize our commitment to our patients, our donors and donor families. We aim to improve the quality of life for our patients by designing, manufacturing and distributing human tissues for transplant and medical devices that are safe, effective and meet the needs of our customers. We honor the gift of donation by enhancing our core competencies and maximizing utilization of the gift.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mission and quality policy reflect our core values of:</w:t>
      </w:r>
    </w:p>
    <w:p>
      <w:pPr>
        <w:spacing w:after="0" w:line="254" w:lineRule="exact"/>
        <w:rPr>
          <w:sz w:val="20"/>
          <w:szCs w:val="20"/>
          <w:color w:val="auto"/>
        </w:rPr>
      </w:pPr>
    </w:p>
    <w:p>
      <w:pPr>
        <w:ind w:left="1080" w:hanging="360"/>
        <w:spacing w:after="0"/>
        <w:tabs>
          <w:tab w:leader="none" w:pos="10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Respect for the individual,</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Responsiveness to our customers, and</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Responsibility to our stakeholders.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2025, we had 151 employees, all of whom were full time employees, and of whom 64 were in operations, 28 were in sales and marketing, 12 in research and development and engineering, 24 in regulatory and quality affairs, and 23 were in administrative functions. In addition, we utilize various outsourced services to manage normal business cycles.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Turnover</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continually monitor employee turnover rates as our success depends upon retaining highly trained personnel. The average tenure of our employees is approximately 5 years. The average tenure of the members of our management team is approximately 7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Unions, Collective Bargaining Agreements and Work Councils</w:t>
      </w:r>
    </w:p>
    <w:p>
      <w:pPr>
        <w:spacing w:after="0" w:line="23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There are no unions, collective bargaining agreements or work councils representing our employees, and we believe that our relations with our employees are good.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Conduct</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Each employee agrees to follow our Code of Conduct, which is on our corporate website, and covers a wide range of business practices and procedures. Recognizing that our Code of Conduct may not address every situation our employees may encounter, other resources exist to assist our employees in their decision-making, including our management team, training and a hotline pursuant to which employees can ask questions or report issues on an anonymous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Safety, Health and Wellness</w:t>
      </w:r>
    </w:p>
    <w:p>
      <w:pPr>
        <w:spacing w:after="0" w:line="23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We are committed to maintaining a safe workplace and promoting the health and wellness of our employees. We have an employee Health &amp; Safety Committee that is comprised of employees and recommends improvements in furtherance of employee health and safety. We also have implemented multiple safety programs and regularly perform safety hazard evaluations within our manufacturing facility. We publish a monthly newsletter which features a “Health</w:t>
      </w:r>
    </w:p>
    <w:p>
      <w:pPr>
        <w:spacing w:after="0" w:line="2" w:lineRule="exact"/>
        <w:rPr>
          <w:sz w:val="20"/>
          <w:szCs w:val="20"/>
          <w:color w:val="auto"/>
        </w:rPr>
      </w:pPr>
    </w:p>
    <w:p>
      <w:pPr>
        <w:jc w:val="both"/>
        <w:spacing w:after="0" w:line="243" w:lineRule="auto"/>
        <w:tabs>
          <w:tab w:leader="none" w:pos="2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Corner” that reiterates our commitment to safety, highlights actions we have taken and intend to take to improve employee safety, and provides practical advice to employees to keep them and their families safe. We monitor conditions that could lead to safety incidents and keep track of injuries through reporting systems in accordance with the laws in the jurisdictions in which we operate.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16" w:right="1440" w:bottom="175" w:gutter="0" w:footer="0" w:header="0"/>
          <w:type w:val="continuous"/>
        </w:sectPr>
      </w:pPr>
    </w:p>
    <w:bookmarkStart w:id="21" w:name="page22"/>
    <w:bookmarkEnd w:id="21"/>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With respect to health and wellness, we provide our employees a variety of flexible and convenient health and wellness programs designed to support their physical and mental health. These include, among others, medical, dental and vision coverage, health savings and flexible spending accounts, flexible work schedules, family leave and care resources, and an employee assistance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provide competitive compensation and benefits to attract and retain superior talent and to give our employees the tools to succeed both on and off the job. In addition to salaries, our compensation and benefits, typically include annual bonuses; commission programs; a 401(k) plan with employer matching opportunities; tuition assistance; and company-sponsored short-term and long-term disability, life and accidental death and dismemberment insurance, among others.</w:t>
      </w:r>
    </w:p>
    <w:p>
      <w:pPr>
        <w:spacing w:after="0" w:line="19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benefit plans are available to full-time employees who work 30 or more hours per week. Eligible employees may select between four medical plan options: two preferred provider organization plans and two health savings account compatible high-deductible plans. We provide contributions to those participating in health savings account compatible plans. Additionally, we offer employees traditional and limited purpose flex savings account options. Pharmacy benefits, as well as dental, vision, life, accidental death and disability, long and short- term disability, accident, critical illness, and hospital indemnity insurance plans are available to our employees. We also offer all full-time and part-time employees wellbeing benefits through LifeBalance and our Employee Assistance Program.</w:t>
      </w:r>
    </w:p>
    <w:p>
      <w:pPr>
        <w:spacing w:after="0" w:line="20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pride ourself on offering employment arrangements that include competitive time off policies and flexibility. Our employees are eligible for paid holidays effective immediately upon hire. Paid time off is available to all corporate employees and accrue based on length of service, and sick time is available for all commercial-sales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Engagement</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provide all employees with the opportunity to anonymously share their opinions and feedback directly with senior management and human resources. Submissions are analyzed to enhance the employee experience, promote retention, drive change, and leverage the overall success of our organization.</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create opportunities for connection to the Company mission through events, communications, and programs, highlighting the significance of the work being done, fostering stronger employee relationships, and showing appreciation through employee recognition.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Development and Training</w:t>
      </w:r>
    </w:p>
    <w:p>
      <w:pPr>
        <w:spacing w:after="0" w:line="23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recognize that successful execution of our strategy is dependent on attracting, developing and retaining top talent in all areas of the business. We have a robust learning management system platform that includes several modules for employee development and training. In addition, we have a professional development policy intended to promote professional development opportunities and provide support to employees who want to increase the effectiveness of their performance in their current position. We encourage employees to obtain skills, knowledge and abilities which may improve their opportunities for career development within our Company and the purpose of our professional development policy is to provide our employees with the requirements for approval, time off, and reimbursement for employee training and professional development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and Inclusion</w:t>
      </w:r>
    </w:p>
    <w:p>
      <w:pPr>
        <w:spacing w:after="0" w:line="23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strive to create an equal opportunity and inclusive workplace in which all employees feel respected, valued and empowered to reach their full potential.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20" w:right="144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 Engagement</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Throughout the year, we encourage our employees to engage in community outreach programs and we sponsor various community organizations in the Belgrade, Montana area. As a company, we work closely with the Donate Life Community to support our industry and promote the gift of donation.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We began operations in 1998 as a spin out of the Center for Biofilm Engineering at Montana State University, or the CBE, and incorporated as “Bacterin, Inc.” in the state of Montana in January 2000. Through a series of transactions and corporate events, we eventually became Bacterin International Holdings, Inc., a Delaware corporation (“Bacterin”). Bacterin’s common stock traded on the NYSE Amex, now known as the NYSE American, under the ticker symbol “BONE.” On July 31, 2015, we acquired all of the outstanding capital stock of X-spine Systems, Inc. (“X-spine”) for approximately $60 million in cash, repayment of approximately $13 million of X-spine debt, and approximately 4.24 million shares (0.4 million shares post reverse split) of Xtant common stock. As a result of this transaction, X-spine became a wholly owned subsidiary of Bacterin International Holdings, Inc. and we immediately then changed our corporate name to “Xtant Medical Holdings, Inc.” Soon thereafter, we formed a new wholly owned subsidiary, Xtant Medical, Inc., to facilitate the integration of Bacterin and X-spine. On October 15, 2015, our common stock began trading on the NYSE MKT, now known as the NYSE American, under the ticker symbol “XTNT.”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 xml:space="preserve">We make available, free of charge and through our Internet website, our Annual Reports on Form 10-K, Quarterly Reports on Form 10-Q, Current Reports on Form 8-K, and any amendments to any such reports filed or furnished pursuant to Section 13(a) or 15(d) of the Securities Exchange Act of 1934, as amended, as soon as reasonably practicable after we electronically file such material with, or furnish it to, the Securities and Exchange Commission (“SEC”). Reports filed with the SEC also may be viewed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We include our website throughout this report for reference only. The information contained on or connected to our website is not incorporated by reference into this report.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20" w:right="1440" w:bottom="175" w:gutter="0" w:footer="0" w:header="0"/>
          <w:type w:val="continuous"/>
        </w:sectPr>
      </w:pPr>
    </w:p>
    <w:bookmarkStart w:id="23" w:name="page24"/>
    <w:bookmarkEnd w:id="23"/>
    <w:p>
      <w:pPr>
        <w:ind w:left="2"/>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5" w:lineRule="exact"/>
        <w:rPr>
          <w:sz w:val="20"/>
          <w:szCs w:val="20"/>
          <w:color w:val="auto"/>
        </w:rPr>
      </w:pPr>
    </w:p>
    <w:p>
      <w:pPr>
        <w:jc w:val="both"/>
        <w:ind w:left="2" w:firstLine="721"/>
        <w:spacing w:after="0" w:line="243" w:lineRule="auto"/>
        <w:rPr>
          <w:sz w:val="20"/>
          <w:szCs w:val="20"/>
          <w:color w:val="auto"/>
        </w:rPr>
      </w:pPr>
      <w:r>
        <w:rPr>
          <w:rFonts w:ascii="Times New Roman" w:cs="Times New Roman" w:eastAsia="Times New Roman" w:hAnsi="Times New Roman"/>
          <w:sz w:val="20"/>
          <w:szCs w:val="20"/>
          <w:i w:val="1"/>
          <w:iCs w:val="1"/>
          <w:color w:val="auto"/>
        </w:rPr>
        <w:t>Our business and an investment in our common stock are subject to a variety of risks. The following risk factors describe some of the material factors that could have a material adverse effect upon our business, operating results, financial condition, prospectus, and/or the market price of our common stock. These disclosures reflect the our beliefs and opinions as to factors that could materially and adversely affect our Company and our common stock in the future. References to past events are provided by way of example only and are not intended to be a complete listing or a representation as to whether or not such factors have occurred in the past or their likelihood of occurring in the future. Many of these risks are outside of our control. If any of these risks actually occur, our business, operating results, and financial condition may be materially adversely affected. In such case, the market price of our common stock could decline and investors in our common stock could lose all or part of their investment. In addition, risks and uncertainties not currently known to us or that we currently deem to be immaterial also may adversely affect our business, operating results, financial condition, prospectus, and/or stock price.</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3" w:lineRule="exact"/>
        <w:rPr>
          <w:sz w:val="20"/>
          <w:szCs w:val="20"/>
          <w:color w:val="auto"/>
        </w:rPr>
      </w:pPr>
    </w:p>
    <w:p>
      <w:pPr>
        <w:ind w:left="722"/>
        <w:spacing w:after="0"/>
        <w:rPr>
          <w:sz w:val="20"/>
          <w:szCs w:val="20"/>
          <w:color w:val="auto"/>
        </w:rPr>
      </w:pPr>
      <w:r>
        <w:rPr>
          <w:rFonts w:ascii="Times New Roman" w:cs="Times New Roman" w:eastAsia="Times New Roman" w:hAnsi="Times New Roman"/>
          <w:sz w:val="20"/>
          <w:szCs w:val="20"/>
          <w:color w:val="auto"/>
        </w:rPr>
        <w:t>This summary is not complete and should be read in conjunction with the risk factors set forth below.</w:t>
      </w:r>
    </w:p>
    <w:p>
      <w:pPr>
        <w:spacing w:after="0" w:line="2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w:t>
      </w:r>
    </w:p>
    <w:p>
      <w:pPr>
        <w:spacing w:after="0" w:line="19" w:lineRule="exact"/>
        <w:rPr>
          <w:sz w:val="20"/>
          <w:szCs w:val="20"/>
          <w:color w:val="auto"/>
        </w:rPr>
      </w:pPr>
    </w:p>
    <w:p>
      <w:pPr>
        <w:jc w:val="both"/>
        <w:ind w:left="362" w:hanging="360"/>
        <w:spacing w:after="0" w:line="250"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Although we generated net income for the year ended December 31, 2025, we historically have incurred significant losses, expect to continue to incur losses, and despite our focused goal to maintain profitability, we may never achieve sustained profitability.</w:t>
      </w:r>
    </w:p>
    <w:p>
      <w:pPr>
        <w:spacing w:after="0" w:line="2" w:lineRule="exact"/>
        <w:rPr>
          <w:rFonts w:ascii="Arial" w:cs="Arial" w:eastAsia="Arial" w:hAnsi="Arial"/>
          <w:sz w:val="20"/>
          <w:szCs w:val="20"/>
          <w:color w:val="auto"/>
        </w:rPr>
      </w:pPr>
    </w:p>
    <w:p>
      <w:pPr>
        <w:jc w:val="both"/>
        <w:ind w:left="362" w:hanging="360"/>
        <w:spacing w:after="0" w:line="244"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recognized a significant amount of license revenue in 2025 that likely will not repeat in 2026 and thus the loss of such revenue will have an adverse impact on our 2026 revenues and other operating results, including gross margins.</w:t>
      </w:r>
    </w:p>
    <w:p>
      <w:pPr>
        <w:spacing w:after="0" w:line="2" w:lineRule="exact"/>
        <w:rPr>
          <w:rFonts w:ascii="Arial" w:cs="Arial" w:eastAsia="Arial" w:hAnsi="Arial"/>
          <w:sz w:val="20"/>
          <w:szCs w:val="20"/>
          <w:color w:val="auto"/>
        </w:rPr>
      </w:pPr>
    </w:p>
    <w:p>
      <w:pPr>
        <w:ind w:left="362" w:hanging="360"/>
        <w:spacing w:after="0" w:line="246"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sold certain assets relating to our Coflex and CoFix products and our international business to Companion Spine, our revenue will be adversely affected in 2026.</w:t>
      </w:r>
    </w:p>
    <w:p>
      <w:pPr>
        <w:spacing w:after="0" w:line="1" w:lineRule="exact"/>
        <w:rPr>
          <w:rFonts w:ascii="Arial" w:cs="Arial" w:eastAsia="Arial" w:hAnsi="Arial"/>
          <w:sz w:val="20"/>
          <w:szCs w:val="20"/>
          <w:color w:val="auto"/>
        </w:rPr>
      </w:pPr>
    </w:p>
    <w:p>
      <w:pPr>
        <w:jc w:val="both"/>
        <w:ind w:left="362" w:hanging="360"/>
        <w:spacing w:after="0" w:line="244"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 substantial portion of our hardware product family revenue is conducted through independent sales agents and distributors who we do not control and our revenue in this product family has declined in recent periods compared to prior periods.</w:t>
      </w:r>
    </w:p>
    <w:p>
      <w:pPr>
        <w:spacing w:after="0" w:line="2" w:lineRule="exact"/>
        <w:rPr>
          <w:rFonts w:ascii="Arial" w:cs="Arial" w:eastAsia="Arial" w:hAnsi="Arial"/>
          <w:sz w:val="20"/>
          <w:szCs w:val="20"/>
          <w:color w:val="auto"/>
        </w:rPr>
      </w:pPr>
    </w:p>
    <w:p>
      <w:pPr>
        <w:jc w:val="both"/>
        <w:ind w:left="362" w:hanging="361"/>
        <w:spacing w:after="0" w:line="244"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innovate, develop, introduce, market, sell and license new products and technologies, we may experience a decrease in market share or revenue if our products become obsolete, and our business and operating results would suffer.</w:t>
      </w:r>
    </w:p>
    <w:p>
      <w:pPr>
        <w:spacing w:after="0" w:line="2"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Biologics products are inherently difficult and time-consuming to manufacture and we may experience manufacturing issues, which could negatively impact our business and results of operations.</w:t>
      </w:r>
    </w:p>
    <w:p>
      <w:pPr>
        <w:spacing w:after="0" w:line="1"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biologics business is highly dependent on the availability of human donors and placentas and any disruptions in their availability could harm our business.</w:t>
      </w:r>
    </w:p>
    <w:p>
      <w:pPr>
        <w:spacing w:after="0" w:line="1" w:lineRule="exact"/>
        <w:rPr>
          <w:rFonts w:ascii="Arial" w:cs="Arial" w:eastAsia="Arial" w:hAnsi="Arial"/>
          <w:sz w:val="20"/>
          <w:szCs w:val="20"/>
          <w:color w:val="auto"/>
        </w:rPr>
      </w:pPr>
    </w:p>
    <w:p>
      <w:pPr>
        <w:jc w:val="both"/>
        <w:ind w:left="362" w:hanging="361"/>
        <w:spacing w:after="0" w:line="244"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biologics products, including our OsteoVive Plus, involve a heightened inherent risk of transmission of disease, which if materialized, could adversely affect our business, operating results, financial condition, reputation and stock price.</w:t>
      </w:r>
    </w:p>
    <w:p>
      <w:pPr>
        <w:spacing w:after="0" w:line="2"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Persistent inflation, tariffs and supply chain disruptions could result in delayed product launches, lost revenue, higher costs and decreased profit margins.</w:t>
      </w:r>
    </w:p>
    <w:p>
      <w:pPr>
        <w:spacing w:after="0" w:line="1" w:lineRule="exact"/>
        <w:rPr>
          <w:rFonts w:ascii="Arial" w:cs="Arial" w:eastAsia="Arial" w:hAnsi="Arial"/>
          <w:sz w:val="20"/>
          <w:szCs w:val="20"/>
          <w:color w:val="auto"/>
        </w:rPr>
      </w:pPr>
    </w:p>
    <w:p>
      <w:pPr>
        <w:ind w:left="362" w:hanging="361"/>
        <w:spacing w:after="0"/>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intense competition.</w:t>
      </w:r>
    </w:p>
    <w:p>
      <w:pPr>
        <w:spacing w:after="0" w:line="14"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private label and original equipment manufacturer, or OEM, channel involves risks and may be subject to significant fluctuation.</w:t>
      </w:r>
    </w:p>
    <w:p>
      <w:pPr>
        <w:spacing w:after="0" w:line="1" w:lineRule="exact"/>
        <w:rPr>
          <w:rFonts w:ascii="Arial" w:cs="Arial" w:eastAsia="Arial" w:hAnsi="Arial"/>
          <w:sz w:val="20"/>
          <w:szCs w:val="20"/>
          <w:color w:val="auto"/>
        </w:rPr>
      </w:pPr>
    </w:p>
    <w:p>
      <w:pPr>
        <w:ind w:left="362" w:hanging="361"/>
        <w:spacing w:after="0" w:line="247"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prior and any future acquisitions, dispositions or business combinations involve risks, which could adversely affect our business, operating results and financial condition.</w:t>
      </w:r>
    </w:p>
    <w:p>
      <w:pPr>
        <w:spacing w:after="0" w:line="1"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Negative publicity concerning methods of tissue recovery and screening of donor tissue in our industry could reduce demand for our biologics products and impact the supply of available donor tissue.</w:t>
      </w:r>
    </w:p>
    <w:p>
      <w:pPr>
        <w:spacing w:after="0" w:line="1" w:lineRule="exact"/>
        <w:rPr>
          <w:rFonts w:ascii="Arial" w:cs="Arial" w:eastAsia="Arial" w:hAnsi="Arial"/>
          <w:sz w:val="20"/>
          <w:szCs w:val="20"/>
          <w:color w:val="auto"/>
        </w:rPr>
      </w:pPr>
    </w:p>
    <w:p>
      <w:pPr>
        <w:ind w:left="362" w:hanging="361"/>
        <w:spacing w:after="0"/>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a limited number of third-party suppliers for products, components and raw materials.</w:t>
      </w:r>
    </w:p>
    <w:p>
      <w:pPr>
        <w:spacing w:after="0" w:line="12" w:lineRule="exact"/>
        <w:rPr>
          <w:rFonts w:ascii="Arial" w:cs="Arial" w:eastAsia="Arial" w:hAnsi="Arial"/>
          <w:sz w:val="20"/>
          <w:szCs w:val="20"/>
          <w:color w:val="auto"/>
        </w:rPr>
      </w:pPr>
    </w:p>
    <w:p>
      <w:pPr>
        <w:ind w:left="362" w:hanging="362"/>
        <w:spacing w:after="0"/>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the continued availability of our facilities.</w:t>
      </w:r>
    </w:p>
    <w:p>
      <w:pPr>
        <w:spacing w:after="0" w:line="14" w:lineRule="exact"/>
        <w:rPr>
          <w:rFonts w:ascii="Arial" w:cs="Arial" w:eastAsia="Arial" w:hAnsi="Arial"/>
          <w:sz w:val="20"/>
          <w:szCs w:val="20"/>
          <w:color w:val="auto"/>
        </w:rPr>
      </w:pPr>
    </w:p>
    <w:p>
      <w:pPr>
        <w:ind w:left="362" w:hanging="362"/>
        <w:spacing w:after="0"/>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party to product liability litigation that could be expensive.</w:t>
      </w:r>
    </w:p>
    <w:p>
      <w:pPr>
        <w:spacing w:after="0" w:line="14" w:lineRule="exact"/>
        <w:rPr>
          <w:rFonts w:ascii="Arial" w:cs="Arial" w:eastAsia="Arial" w:hAnsi="Arial"/>
          <w:sz w:val="20"/>
          <w:szCs w:val="20"/>
          <w:color w:val="auto"/>
        </w:rPr>
      </w:pPr>
    </w:p>
    <w:p>
      <w:pPr>
        <w:ind w:left="362" w:hanging="362"/>
        <w:spacing w:after="0"/>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quarterly operating results are subject to substantial fluctuations.</w:t>
      </w:r>
    </w:p>
    <w:p>
      <w:pPr>
        <w:spacing w:after="0" w:line="12" w:lineRule="exact"/>
        <w:rPr>
          <w:rFonts w:ascii="Arial" w:cs="Arial" w:eastAsia="Arial" w:hAnsi="Arial"/>
          <w:sz w:val="20"/>
          <w:szCs w:val="20"/>
          <w:color w:val="auto"/>
        </w:rPr>
      </w:pPr>
    </w:p>
    <w:p>
      <w:pPr>
        <w:ind w:left="362" w:hanging="362"/>
        <w:spacing w:after="0"/>
        <w:tabs>
          <w:tab w:leader="none" w:pos="362"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use our net operating loss carryforwards to offset future taxable income is limited.</w:t>
      </w:r>
    </w:p>
    <w:p>
      <w:pPr>
        <w:sectPr>
          <w:pgSz w:w="12240" w:h="15840" w:orient="portrait"/>
          <w:cols w:equalWidth="0" w:num="1">
            <w:col w:w="9362"/>
          </w:cols>
          <w:pgMar w:left="1438"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2"/>
          </w:cols>
          <w:pgMar w:left="1438" w:top="1416" w:right="1440" w:bottom="175" w:gutter="0" w:footer="0" w:header="0"/>
          <w:type w:val="continuous"/>
        </w:sectPr>
      </w:pPr>
    </w:p>
    <w:bookmarkStart w:id="24" w:name="page25"/>
    <w:bookmarkEnd w:id="24"/>
    <w:p>
      <w:pPr>
        <w:ind w:left="362" w:hanging="360"/>
        <w:spacing w:after="0"/>
        <w:tabs>
          <w:tab w:leader="none" w:pos="362"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identified a material weakness in our internal control over financial reporting as of December 31, 2025.</w:t>
      </w:r>
    </w:p>
    <w:p>
      <w:pPr>
        <w:spacing w:after="0" w:line="1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Governmental Regulation</w:t>
      </w:r>
    </w:p>
    <w:p>
      <w:pPr>
        <w:spacing w:after="0" w:line="20" w:lineRule="exact"/>
        <w:rPr>
          <w:sz w:val="20"/>
          <w:szCs w:val="20"/>
          <w:color w:val="auto"/>
        </w:rPr>
      </w:pPr>
    </w:p>
    <w:p>
      <w:pPr>
        <w:jc w:val="both"/>
        <w:ind w:left="362" w:hanging="360"/>
        <w:spacing w:after="0" w:line="250"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If we or our suppliers fail to comply with regulations pertaining to human cells, tissues, and cellular and tissue-based products or are deemed to be biological products requiring approval of a BLA prior to being marketed, these products could be subject to withdrawal from the market or other enforcement action.</w:t>
      </w:r>
    </w:p>
    <w:p>
      <w:pPr>
        <w:spacing w:after="0" w:line="1" w:lineRule="exact"/>
        <w:rPr>
          <w:rFonts w:ascii="Arial" w:cs="Arial" w:eastAsia="Arial" w:hAnsi="Arial"/>
          <w:sz w:val="20"/>
          <w:szCs w:val="20"/>
          <w:color w:val="auto"/>
        </w:rPr>
      </w:pPr>
    </w:p>
    <w:p>
      <w:pPr>
        <w:ind w:left="362" w:hanging="360"/>
        <w:spacing w:after="0"/>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Loss of AATB accreditation would have a material adverse effect on us.</w:t>
      </w:r>
    </w:p>
    <w:p>
      <w:pPr>
        <w:spacing w:after="0" w:line="14" w:lineRule="exact"/>
        <w:rPr>
          <w:rFonts w:ascii="Arial" w:cs="Arial" w:eastAsia="Arial" w:hAnsi="Arial"/>
          <w:sz w:val="20"/>
          <w:szCs w:val="20"/>
          <w:color w:val="auto"/>
        </w:rPr>
      </w:pPr>
    </w:p>
    <w:p>
      <w:pPr>
        <w:ind w:left="362" w:hanging="360"/>
        <w:spacing w:after="0"/>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Governmental regulation could restrict the use of our tissue products or our procurement of tissue.</w:t>
      </w:r>
    </w:p>
    <w:p>
      <w:pPr>
        <w:spacing w:after="0" w:line="12" w:lineRule="exact"/>
        <w:rPr>
          <w:rFonts w:ascii="Arial" w:cs="Arial" w:eastAsia="Arial" w:hAnsi="Arial"/>
          <w:sz w:val="20"/>
          <w:szCs w:val="20"/>
          <w:color w:val="auto"/>
        </w:rPr>
      </w:pPr>
    </w:p>
    <w:p>
      <w:pPr>
        <w:ind w:left="362" w:hanging="360"/>
        <w:spacing w:after="0" w:line="247"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manufacturing operations are required to comply with the FDA’s and other governmental authorities’ laws and regulations regarding the manufacture and production of medical devices.</w:t>
      </w:r>
    </w:p>
    <w:p>
      <w:pPr>
        <w:spacing w:after="0" w:line="1" w:lineRule="exact"/>
        <w:rPr>
          <w:rFonts w:ascii="Arial" w:cs="Arial" w:eastAsia="Arial" w:hAnsi="Arial"/>
          <w:sz w:val="20"/>
          <w:szCs w:val="20"/>
          <w:color w:val="auto"/>
        </w:rPr>
      </w:pPr>
    </w:p>
    <w:p>
      <w:pPr>
        <w:ind w:left="362" w:hanging="360"/>
        <w:spacing w:after="0" w:line="246"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is subject to extensive governmental regulation, including certain product approvals and clearances and healthcare fraud and abuse laws, false claims laws, and physician payment transparency laws.</w:t>
      </w:r>
    </w:p>
    <w:p>
      <w:pPr>
        <w:spacing w:after="0" w:line="1" w:lineRule="exact"/>
        <w:rPr>
          <w:rFonts w:ascii="Arial" w:cs="Arial" w:eastAsia="Arial" w:hAnsi="Arial"/>
          <w:sz w:val="20"/>
          <w:szCs w:val="20"/>
          <w:color w:val="auto"/>
        </w:rPr>
      </w:pPr>
    </w:p>
    <w:p>
      <w:pPr>
        <w:ind w:left="362" w:hanging="360"/>
        <w:spacing w:after="0" w:line="246"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Modifications to our products may require new regulatory clearances or approvals or may require us to recall or cease marketing our products until clearances or approvals are obtained.</w:t>
      </w:r>
    </w:p>
    <w:p>
      <w:pPr>
        <w:spacing w:after="0" w:line="1" w:lineRule="exact"/>
        <w:rPr>
          <w:rFonts w:ascii="Arial" w:cs="Arial" w:eastAsia="Arial" w:hAnsi="Arial"/>
          <w:sz w:val="20"/>
          <w:szCs w:val="20"/>
          <w:color w:val="auto"/>
        </w:rPr>
      </w:pPr>
    </w:p>
    <w:p>
      <w:pPr>
        <w:ind w:left="362" w:hanging="360"/>
        <w:spacing w:after="0" w:line="246"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Even if our products are cleared or approved by regulatory authorities, they could be subject to restrictions or withdrawal from the market.</w:t>
      </w:r>
    </w:p>
    <w:p>
      <w:pPr>
        <w:spacing w:after="0" w:line="1" w:lineRule="exact"/>
        <w:rPr>
          <w:rFonts w:ascii="Arial" w:cs="Arial" w:eastAsia="Arial" w:hAnsi="Arial"/>
          <w:sz w:val="20"/>
          <w:szCs w:val="20"/>
          <w:color w:val="auto"/>
        </w:rPr>
      </w:pPr>
    </w:p>
    <w:p>
      <w:pPr>
        <w:ind w:left="362" w:hanging="361"/>
        <w:spacing w:after="0" w:line="247"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use, misuse or off-label use of our products may harm our image in the marketplace or result in injuries that lead to product liability suits.</w:t>
      </w:r>
    </w:p>
    <w:p>
      <w:pPr>
        <w:spacing w:after="0" w:line="1"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If our products cause or contribute to a death or serious injury, or malfunction in certain ways, we will be subject to reporting regulations and likely litigation.</w:t>
      </w:r>
    </w:p>
    <w:p>
      <w:pPr>
        <w:spacing w:after="0" w:line="1" w:lineRule="exact"/>
        <w:rPr>
          <w:rFonts w:ascii="Arial" w:cs="Arial" w:eastAsia="Arial" w:hAnsi="Arial"/>
          <w:sz w:val="20"/>
          <w:szCs w:val="20"/>
          <w:color w:val="auto"/>
        </w:rPr>
      </w:pPr>
    </w:p>
    <w:p>
      <w:pPr>
        <w:ind w:left="362" w:hanging="361"/>
        <w:spacing w:after="0" w:line="246"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Any future product recall or voluntary market withdrawal of a product due to defects, enhancements and modifications or other reasons would significantly increase our costs.</w:t>
      </w:r>
    </w:p>
    <w:p>
      <w:pPr>
        <w:spacing w:after="0" w:line="1" w:lineRule="exact"/>
        <w:rPr>
          <w:rFonts w:ascii="Arial" w:cs="Arial" w:eastAsia="Arial" w:hAnsi="Arial"/>
          <w:sz w:val="20"/>
          <w:szCs w:val="20"/>
          <w:color w:val="auto"/>
        </w:rPr>
      </w:pPr>
    </w:p>
    <w:p>
      <w:pPr>
        <w:ind w:left="362" w:hanging="361"/>
        <w:spacing w:after="0"/>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Federal regulatory reforms may adversely affect our business and our ability to sell our products.</w:t>
      </w:r>
    </w:p>
    <w:p>
      <w:pPr>
        <w:spacing w:after="0" w:line="14" w:lineRule="exact"/>
        <w:rPr>
          <w:rFonts w:ascii="Arial" w:cs="Arial" w:eastAsia="Arial" w:hAnsi="Arial"/>
          <w:sz w:val="20"/>
          <w:szCs w:val="20"/>
          <w:color w:val="auto"/>
        </w:rPr>
      </w:pPr>
    </w:p>
    <w:p>
      <w:pPr>
        <w:ind w:left="362" w:hanging="361"/>
        <w:spacing w:after="0" w:line="253" w:lineRule="auto"/>
        <w:tabs>
          <w:tab w:leader="none" w:pos="36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revenues depend upon prompt and adequate coverage and reimbursement from public and private insurers and national health systems.</w:t>
      </w:r>
    </w:p>
    <w:p>
      <w:pPr>
        <w:spacing w:after="0" w:line="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Human Capital Management</w:t>
      </w:r>
    </w:p>
    <w:p>
      <w:pPr>
        <w:spacing w:after="0" w:line="19" w:lineRule="exact"/>
        <w:rPr>
          <w:sz w:val="20"/>
          <w:szCs w:val="20"/>
          <w:color w:val="auto"/>
        </w:rPr>
      </w:pPr>
    </w:p>
    <w:p>
      <w:pPr>
        <w:ind w:left="362" w:hanging="361"/>
        <w:spacing w:after="0"/>
        <w:tabs>
          <w:tab w:leader="none" w:pos="36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staffing and are dependent upon key employees.</w:t>
      </w:r>
    </w:p>
    <w:p>
      <w:pPr>
        <w:spacing w:after="0" w:line="30" w:lineRule="exact"/>
        <w:rPr>
          <w:rFonts w:ascii="Arial" w:cs="Arial" w:eastAsia="Arial" w:hAnsi="Arial"/>
          <w:sz w:val="20"/>
          <w:szCs w:val="20"/>
          <w:color w:val="auto"/>
        </w:rPr>
      </w:pPr>
    </w:p>
    <w:p>
      <w:pPr>
        <w:ind w:left="362" w:hanging="361"/>
        <w:spacing w:after="0"/>
        <w:tabs>
          <w:tab w:leader="none" w:pos="362"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Our business is dependent on a sufficient number of qualified workers, and competition for such talent is intense.</w:t>
      </w:r>
    </w:p>
    <w:p>
      <w:pPr>
        <w:spacing w:after="0" w:line="1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Intellectual Property</w:t>
      </w:r>
    </w:p>
    <w:p>
      <w:pPr>
        <w:spacing w:after="0" w:line="19" w:lineRule="exact"/>
        <w:rPr>
          <w:sz w:val="20"/>
          <w:szCs w:val="20"/>
          <w:color w:val="auto"/>
        </w:rPr>
      </w:pPr>
    </w:p>
    <w:p>
      <w:pPr>
        <w:ind w:left="362" w:hanging="361"/>
        <w:spacing w:after="0"/>
        <w:tabs>
          <w:tab w:leader="none" w:pos="362"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We could be required to pay damages or prevented from selling our products due to intellectual property lawsuits.</w:t>
      </w:r>
    </w:p>
    <w:p>
      <w:pPr>
        <w:spacing w:after="0" w:line="42" w:lineRule="exact"/>
        <w:rPr>
          <w:rFonts w:ascii="Arial" w:cs="Arial" w:eastAsia="Arial" w:hAnsi="Arial"/>
          <w:sz w:val="19"/>
          <w:szCs w:val="19"/>
          <w:color w:val="auto"/>
        </w:rPr>
      </w:pPr>
    </w:p>
    <w:p>
      <w:pPr>
        <w:ind w:left="362" w:hanging="361"/>
        <w:spacing w:after="0" w:line="255" w:lineRule="auto"/>
        <w:tabs>
          <w:tab w:leader="none" w:pos="36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or protect our proprietary rights relating to our products which may cause us to lose market share to our competitors and be unable to operate our business profitably.</w:t>
      </w:r>
    </w:p>
    <w:p>
      <w:pPr>
        <w:spacing w:after="0" w:line="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Information Technology, Cybersecurity and Data Protection</w:t>
      </w:r>
    </w:p>
    <w:p>
      <w:pPr>
        <w:spacing w:after="0" w:line="20" w:lineRule="exact"/>
        <w:rPr>
          <w:sz w:val="20"/>
          <w:szCs w:val="20"/>
          <w:color w:val="auto"/>
        </w:rPr>
      </w:pPr>
    </w:p>
    <w:p>
      <w:pPr>
        <w:ind w:left="362" w:hanging="361"/>
        <w:spacing w:after="0" w:line="272" w:lineRule="auto"/>
        <w:tabs>
          <w:tab w:leader="none" w:pos="36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on various information technology systems, and failures of, interruptions to, or unauthorized tampering with those systems could have a material adverse effect on our business.</w:t>
      </w:r>
    </w:p>
    <w:p>
      <w:pPr>
        <w:spacing w:after="0" w:line="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Outstanding Indebtedness and Financial Condition</w:t>
      </w:r>
    </w:p>
    <w:p>
      <w:pPr>
        <w:spacing w:after="0" w:line="20" w:lineRule="exact"/>
        <w:rPr>
          <w:sz w:val="20"/>
          <w:szCs w:val="20"/>
          <w:color w:val="auto"/>
        </w:rPr>
      </w:pPr>
    </w:p>
    <w:p>
      <w:pPr>
        <w:jc w:val="both"/>
        <w:ind w:left="362" w:hanging="361"/>
        <w:spacing w:after="0" w:line="250" w:lineRule="auto"/>
        <w:tabs>
          <w:tab w:leader="none" w:pos="362"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indebtedness that we may be unable to repay in the ordinary course of business or replace, extend or restructure if and when needed. In addition, our indebtedness may substantially limit our ability to conduct and invest in our business.</w:t>
      </w:r>
    </w:p>
    <w:p>
      <w:pPr>
        <w:spacing w:after="0" w:line="1" w:lineRule="exact"/>
        <w:rPr>
          <w:rFonts w:ascii="Arial" w:cs="Arial" w:eastAsia="Arial" w:hAnsi="Arial"/>
          <w:sz w:val="20"/>
          <w:szCs w:val="20"/>
          <w:color w:val="auto"/>
        </w:rPr>
      </w:pPr>
    </w:p>
    <w:p>
      <w:pPr>
        <w:ind w:left="362" w:hanging="362"/>
        <w:spacing w:after="0"/>
        <w:tabs>
          <w:tab w:leader="none" w:pos="362"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need additional financing to satisfy our future liquidity requirements.</w:t>
      </w:r>
    </w:p>
    <w:p>
      <w:pPr>
        <w:spacing w:after="0" w:line="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Common Stock</w:t>
      </w:r>
    </w:p>
    <w:p>
      <w:pPr>
        <w:spacing w:after="0" w:line="20" w:lineRule="exact"/>
        <w:rPr>
          <w:sz w:val="20"/>
          <w:szCs w:val="20"/>
          <w:color w:val="auto"/>
        </w:rPr>
      </w:pPr>
    </w:p>
    <w:p>
      <w:pPr>
        <w:jc w:val="both"/>
        <w:ind w:left="362" w:hanging="362"/>
        <w:spacing w:after="0" w:line="250" w:lineRule="auto"/>
        <w:tabs>
          <w:tab w:leader="none" w:pos="362"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Funds affiliated with Nantahala Capital Management, LLC (collectively, “Nantahala”) owns a significant percentage of our common stock and is able to exert significant control over matters subject to stockholder approval.</w:t>
      </w:r>
    </w:p>
    <w:p>
      <w:pPr>
        <w:spacing w:after="0" w:line="1" w:lineRule="exact"/>
        <w:rPr>
          <w:rFonts w:ascii="Arial" w:cs="Arial" w:eastAsia="Arial" w:hAnsi="Arial"/>
          <w:sz w:val="20"/>
          <w:szCs w:val="20"/>
          <w:color w:val="auto"/>
        </w:rPr>
      </w:pPr>
    </w:p>
    <w:p>
      <w:pPr>
        <w:ind w:left="362" w:hanging="362"/>
        <w:spacing w:after="0"/>
        <w:tabs>
          <w:tab w:leader="none" w:pos="362"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Shares of our common stock are equity securities and are subordinate to our outstanding indebtedness.</w:t>
      </w:r>
    </w:p>
    <w:p>
      <w:pPr>
        <w:spacing w:after="0" w:line="14" w:lineRule="exact"/>
        <w:rPr>
          <w:rFonts w:ascii="Arial" w:cs="Arial" w:eastAsia="Arial" w:hAnsi="Arial"/>
          <w:sz w:val="20"/>
          <w:szCs w:val="20"/>
          <w:color w:val="auto"/>
        </w:rPr>
      </w:pPr>
    </w:p>
    <w:p>
      <w:pPr>
        <w:ind w:left="362" w:hanging="362"/>
        <w:spacing w:after="0"/>
        <w:tabs>
          <w:tab w:leader="none" w:pos="362"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price of our common stock is extremely volatile.</w:t>
      </w:r>
    </w:p>
    <w:p>
      <w:pPr>
        <w:spacing w:after="0" w:line="12" w:lineRule="exact"/>
        <w:rPr>
          <w:rFonts w:ascii="Arial" w:cs="Arial" w:eastAsia="Arial" w:hAnsi="Arial"/>
          <w:sz w:val="20"/>
          <w:szCs w:val="20"/>
          <w:color w:val="auto"/>
        </w:rPr>
      </w:pPr>
    </w:p>
    <w:p>
      <w:pPr>
        <w:ind w:left="362" w:hanging="362"/>
        <w:spacing w:after="0"/>
        <w:tabs>
          <w:tab w:leader="none" w:pos="362"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achieve our financial guidance may adversely affect our stock price.</w:t>
      </w:r>
    </w:p>
    <w:p>
      <w:pPr>
        <w:spacing w:after="0" w:line="14" w:lineRule="exact"/>
        <w:rPr>
          <w:rFonts w:ascii="Arial" w:cs="Arial" w:eastAsia="Arial" w:hAnsi="Arial"/>
          <w:sz w:val="20"/>
          <w:szCs w:val="20"/>
          <w:color w:val="auto"/>
        </w:rPr>
      </w:pPr>
    </w:p>
    <w:p>
      <w:pPr>
        <w:ind w:left="362" w:hanging="362"/>
        <w:spacing w:after="0"/>
        <w:tabs>
          <w:tab w:leader="none" w:pos="362"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may issue additional common stock resulting in dilution.</w:t>
      </w:r>
    </w:p>
    <w:p>
      <w:pPr>
        <w:spacing w:after="0" w:line="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20" w:lineRule="exact"/>
        <w:rPr>
          <w:sz w:val="20"/>
          <w:szCs w:val="20"/>
          <w:color w:val="auto"/>
        </w:rPr>
      </w:pPr>
    </w:p>
    <w:p>
      <w:pPr>
        <w:ind w:left="362" w:hanging="362"/>
        <w:spacing w:after="0" w:line="272" w:lineRule="auto"/>
        <w:tabs>
          <w:tab w:leader="none" w:pos="36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several other general risk factors, including risk regarding worldwide economic instability and social unrest and other risks.</w:t>
      </w:r>
    </w:p>
    <w:p>
      <w:pPr>
        <w:sectPr>
          <w:pgSz w:w="12240" w:h="15840" w:orient="portrait"/>
          <w:cols w:equalWidth="0" w:num="1">
            <w:col w:w="9362"/>
          </w:cols>
          <w:pgMar w:left="1438"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2"/>
          </w:cols>
          <w:pgMar w:left="1438" w:top="1435" w:right="144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we generated net income for the year ended December 31, 2025, we historically have incurred significant losses, expect to continue to incur losses, and despite our focused goal to maintain profitability, we may never achieve sustained profitability.</w:t>
      </w:r>
    </w:p>
    <w:p>
      <w:pPr>
        <w:spacing w:after="0" w:line="18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Although we generated net income for the year ended December 31, 2025, we have a history of incurring net losses and expect to continue to incur net losses. Our ability to maintain and achieve sustained profitability will be influenced by many factors, including, among others, the level and timing of future revenues and expenditures; development, commercialization, market acceptance and availability and supply of our products; the impact of competing technologies and market developments; our ability to develop and introduce new products; the impact of regulatory requirements and delays; the strength of our relationships with and the success of our independent sales agents and distributors; our ability to increase our OEM sales; and our ability to attract and retain key personnel. As a result, despite our focus on profitability, we may be unsuccessful and incur operating losses. These losses would likely have an adverse impact on our operating results and financial condition and likely adversely affect our stock price.</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recognized a significant amount of license revenue in 2025 that likely will not repeat in 2026 and thus the loss of such revenue will have an adverse impact on our 2026 revenues and other operating results, including gross margins.</w:t>
      </w:r>
    </w:p>
    <w:p>
      <w:pPr>
        <w:spacing w:after="0" w:line="185"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During 2025, we recognized $18.7 million in license revenue that likely will not repeat in 2026 due primarily to changes in the reimbursement environment for our SimpliMax™ product effective January 1, 2026, which changes also will adversely affect a portion of our product revenue. The loss of this license and product revenue will have an adverse impact on our 2026 revenues and other operating results, including in particular our gross margins.</w:t>
      </w:r>
    </w:p>
    <w:p>
      <w:pPr>
        <w:spacing w:after="0" w:line="1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recently sold certain assets relating to our Coflex and CoFix products and our international hardware business to Companion Spine, our revenue will be adversely affected in 2026.</w:t>
      </w:r>
    </w:p>
    <w:p>
      <w:pPr>
        <w:spacing w:after="0" w:line="16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December 1, 2025, we sold to Companion Spine certain assets relating to our Coflex and CoFix products for a total purchase price of $17.5 million, and sold Paradigm Spine GmbH, a former wholly owned subsidiary of ours that was engaged in the operation of our hardware business outside of the United States for a total purchase price of $3.9 million, inclusive of certain cash, indebtedness and net working capital adjustments. In 2025, we recognized $20.3 million in revenue from sales of our Coflex and CoFix products and international hardware products which we sold to Companion Spine. The loss of this revenue will adversely affect our 2026 revenue.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substantial portion of our hardware product family revenue is conducted through independent sales agents and distributors who we do not control and our revenue from this channel has declined in recent periods compared to prior periods.</w:t>
      </w:r>
    </w:p>
    <w:p>
      <w:pPr>
        <w:spacing w:after="0" w:line="18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 substantial portion of our hardware product family revenue is conducted through independent sales agents and distributors. Sales from certain independent sales agents and distributors have decreased over the past quarters compared to prior quarters and no assurance can be provided that we will not be able to reverse this trend and increase future sales from this channel. Our success is partially dependent upon our ability to retain and motivate our independent sales agents and distributors, and their representatives, to sell our products in certain territories. They may not be successful in implementing our marketing plans. Some of our independent sales agents and distributors do not sell our products exclusively and may offer similar products from other companies. Our independent sales agents and distributors may terminate their contracts with us, may devote insufficient sales efforts to our products, or may focus their sales efforts on other products that produce greater commissions or revenues for them, which could have an adverse effect on our operations and operating results.</w:t>
      </w:r>
    </w:p>
    <w:p>
      <w:pPr>
        <w:spacing w:after="0" w:line="20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In addition, because the independent sales agent or distributor often controls the customer relationships (and, in certain countries outside the United States, the regulatory relationship), there is a risk that if our relationship with the independent sales agent or distributor ends, our relationship with the customer will be lost (and, in certain countries outside the United States, that we could experience delays in amending or transferring our product registrations). Also, because we do not control the independent sales agent or field sales agents of a distributor, there is a risk we will be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16" w:right="1440" w:bottom="175" w:gutter="0" w:footer="0" w:header="0"/>
          <w:type w:val="continuous"/>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0"/>
          <w:szCs w:val="20"/>
          <w:color w:val="auto"/>
        </w:rPr>
        <w:t>unable to ensure that our sales processes, compliance, and other priorities will be consistently communicated and executed by the sales agent or distributor. If we fail to maintain relationships with our key independent sales agents and distributors or fail to ensure that our independent sales agent and distributors adhere to our sales processes, compliance, and other priorities, this could have an adverse effect on our operations. Changes to or turnover within our independent sales agent or distributor organization or transitions to direct selling models also could adversely affect our business if these transitions are not managed effectively. Further, independent sales agents and distributors of companies we have acquired may decide not to renew or may decide to seek to terminate, change and/or renegotiate their relationships with us. The loss of a significant number of our sales agent or distributors could have a material adverse effect on our business and results of operations.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innovate, develop, introduce, market, sell and license new products and technologies, we may experience a decrease in market share or revenue if our products become obsolete, and our business and operating results would suffer.</w:t>
      </w:r>
    </w:p>
    <w:p>
      <w:pPr>
        <w:spacing w:after="0" w:line="187"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may be unable to compete effectively with our competitors unless we can keep up with existing or new products and technologies in the markets in which we compete. If we do not continue to innovate, develop, introduce, market, sell and license new products and technologies, or if those products and technologies are not accepted, we may not be successful. Due to limited funding, our research and development efforts and ability to develop new products have been constrained for several years, although we have increased our development of new products over the last couple of years, including in particular our amnio and other new biologics products. Research and development efforts require a substantial investment of time and resources before we are able to determine the commercial viability of a new product, technology, material, or innovation. We also may experience delays in the research and development process and the marketing and sale of new products. Demand for our products also could change in ways we may not anticipate due to, among other factors, evolving customer needs, changes in customer health insurance coverage and reimbursement policies, changing demographics, slow industry growth rates, declines in our markets, the introduction of new competing products and technologies, evolving surgical philosophies, and evolving industry standards. Additionally, our competitors’ new products and technologies may beat our products to market, may be more effective or less expensive than our products, or may render our products obsolete. It is also important that we carefully manage our introduction of new and enhanced products and technologies. If potential customers delay purchases until new or enhanced products are available, it could negatively impact our revenue. Our new products and technologies also could reduce demand for or render our existing products obsolete and thus adversely affect sales of our existing products and lead to increased expense for excess and obsolete inventory.</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Biologics products are inherently difficult and time-consuming to manufacture. In the past, we have experienced and in the future could experience manufacturing issues, which could negatively impact our business and operating results.</w:t>
      </w:r>
    </w:p>
    <w:p>
      <w:pPr>
        <w:spacing w:after="0" w:line="185"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Biologics products are inherently difficult and time-consuming to manufacture. Our products are manufactured using technically complex processes requiring specialized equipment and facilities and highly specific raw materials. Other production constraints, including the number of processors we are able to hire, the number of clean rooms available in our facilities, and our ability to automate certain processes by implementing labor saving technology also affect the speed and extent of our production. The complexity of these processes, as well as strict company and government standards for the manufacture and storage of our products, subject us to production risks. A shortage of the number of processors or clean rooms or inadequate levels of automation may cause us to be unable to operate at full production, which in the past has and could in the future negatively impact our business and operating results.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biologics business is highly dependent on the availability of human donors and placentas. Any disruptions in the availability of donors and placentas due to regulatory changes or otherwise could cause our customers to seek alternative providers or technologies and harm our business and operating results.</w:t>
      </w:r>
    </w:p>
    <w:p>
      <w:pPr>
        <w:spacing w:after="0" w:line="18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mission is “to honor the gift of donation, by allowing our patients to live as full, and complete a life as possible.” Accordingly, our biologics business is highly dependent on our ability to obtain deceased human donors and placentas as the raw material for many of our biologics products. The availability of acceptable donors and placentas is relatively limited, and we compete with many other companies for this limited availability. The availability of donors and placentas is impacted by regulatory changes, Association for Advancing Tissue Biologics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type w:val="continuous"/>
        </w:sectPr>
      </w:pPr>
    </w:p>
    <w:bookmarkStart w:id="27" w:name="page28"/>
    <w:bookmarkEnd w:id="27"/>
    <w:p>
      <w:pPr>
        <w:jc w:val="both"/>
        <w:spacing w:after="0" w:line="245" w:lineRule="auto"/>
        <w:rPr>
          <w:sz w:val="20"/>
          <w:szCs w:val="20"/>
          <w:color w:val="auto"/>
        </w:rPr>
      </w:pPr>
      <w:r>
        <w:rPr>
          <w:rFonts w:ascii="Times New Roman" w:cs="Times New Roman" w:eastAsia="Times New Roman" w:hAnsi="Times New Roman"/>
          <w:sz w:val="20"/>
          <w:szCs w:val="20"/>
          <w:color w:val="auto"/>
        </w:rPr>
        <w:t>(formerly, American Association of Tissue Banks) requirements, general public opinion of the donor process, and our reputation for our handling of the donor process. In 2025, the FDA published draft guidance documents with recommendations to reduce the risk of transmission of disease agents associated with sepsis by human cells, tissues, and tissue-based products and recommendations to reduce the risk of transmission of Mycobacterium tuberculosis by HCT/Ps. These new guidelines, if approved, may further reduce the number of acceptable donors and increase competition for acceptable donors. A disruption in the supply of available donors and placentas could have significant consequences on our ability to meet anticipated demand for our biologics products, which would adversely affect our revenue and other operating results.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Some of our biologics products, including our OsteoVive Plus, involve a heightened inherent risk of transmission of disease, which if materialized, could adversely affect our business, operating results, financial condition, reputation and stock price.</w:t>
      </w:r>
    </w:p>
    <w:p>
      <w:pPr>
        <w:spacing w:after="0" w:line="186" w:lineRule="exact"/>
        <w:rPr>
          <w:sz w:val="20"/>
          <w:szCs w:val="20"/>
          <w:color w:val="auto"/>
        </w:rPr>
      </w:pPr>
    </w:p>
    <w:p>
      <w:pPr>
        <w:jc w:val="both"/>
        <w:ind w:firstLine="721"/>
        <w:spacing w:after="0" w:line="242" w:lineRule="auto"/>
        <w:rPr>
          <w:sz w:val="20"/>
          <w:szCs w:val="20"/>
          <w:color w:val="auto"/>
        </w:rPr>
      </w:pPr>
      <w:r>
        <w:rPr>
          <w:rFonts w:ascii="Times New Roman" w:cs="Times New Roman" w:eastAsia="Times New Roman" w:hAnsi="Times New Roman"/>
          <w:sz w:val="20"/>
          <w:szCs w:val="20"/>
          <w:color w:val="auto"/>
        </w:rPr>
        <w:t>Our OsteoVive Plus product is a viable bone allograft produced using a proprietary method designed to preserve native bone components, including growth factors and viable cells. Similar to other viable or cellular bone matrix products, our OsteoVive Plus product contains viable cells. Although we and our third-party contractors perform rigorous donor screening and laboratory testing, viable human tissue products carry an inherent residual risk of transmitting communicable diseases, including but not limited to Human Immunodeficiency Virus (HIV), Hepatitis B and C viruses (HBV, HCV), Human T-lymphotropic virus (HTLV), treponema pallidum (syphilis), and mycobacterium tuberculosis (Mtb). Although we process and test our OsteoVive Plus product in accordance with current regulatory standards, there is no current standardized industrial screening test for tissues to detect Mtb and testing Mtb via culture or other methods does not definitively exclude the presence of tuberculosis due to the limitations of diagnostic sensitivity, specimen viability, and potential latent infection. While our OsteoVive Plus product is intended for use by qualified medical professionals who understand the risks associated with transplantation of human tissues and are responsible for recipient counseling and clinical decision-making, if Mtb were to be transmitted as a result of the use of one of our products, including our OsteoVive Plus product, this could adversely affect our relationships and reputation throughout the industry and have a material adverse effect on our business, operating results, financial condition, reputation and stock price.</w:t>
      </w: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Persistent inflation, tariffs and supply chain disruptions in the past have resulted in and in the future could result in delayed product launches, lost revenue, higher costs and decreased profit margins.</w:t>
      </w:r>
    </w:p>
    <w:p>
      <w:pPr>
        <w:spacing w:after="0" w:line="16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Our products are manufactured and sold within the United States, which increases our exposure to domestic inflation and fuel price increases. Inflationary pressures and supply chain disruptions resulted in increased fuel, raw material and other costs in recent years. The future implementation of inflationary policies, such as tariffs, may similarly contribute to increased fuel, raw material and other costs and also may contribute to higher overall inflation. Additionally, from time to time we have experienced shortages in certain raw materials, suppliers have been unable to meet delivery schedules due to excess demand and labor shortages, and lead times have lengthened throughout our supply chain. Our efforts to mitigate supply chain weaknesses through our own vertical integration of manufacturing activities and other means may not be successful or may have unfavorable effects. For example, efforts to purchase raw materials in advance for product manufacturing may result in increased storage costs or excess supply and inventory. If our costs rise due to continuing supply chain disruptions or due to the impact of tariffs, we may not be able to fully offset such higher costs through price increases. In addition, delays in obtaining materials from our suppliers could delay product launches or result in lost opportunities to sell our products due to their unavailability. Increased costs and decreased product availability due to supply chain issues could adversely impact our revenue and/or gross margin, and could thereby harm our business,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intense competition.</w:t>
      </w:r>
    </w:p>
    <w:p>
      <w:pPr>
        <w:spacing w:after="0" w:line="24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The markets for our products are highly competitive and subject to rapid and profound technological change. Our success depends, in part, on our ability to maintain a competitive position in the development of technologies and products for use by our customers. Many of the companies developing or marketing competitive products enjoy several competitive advantages over us, including greater financial and human resources for product development and sales and marketing; greater name recognition; established relationships with surgeons, hospitals and third-party payors; broader product lines and the ability to offer rebates or bundle products to offer greater discounts or incentives to gain a competitive advantage; and established sales and marketing and distribution networks. Our competitors may develop</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type w:val="continuous"/>
        </w:sectPr>
      </w:pPr>
    </w:p>
    <w:bookmarkStart w:id="28" w:name="page29"/>
    <w:bookmarkEnd w:id="28"/>
    <w:p>
      <w:pPr>
        <w:jc w:val="both"/>
        <w:spacing w:after="0" w:line="243" w:lineRule="auto"/>
        <w:rPr>
          <w:sz w:val="20"/>
          <w:szCs w:val="20"/>
          <w:color w:val="auto"/>
        </w:rPr>
      </w:pPr>
      <w:r>
        <w:rPr>
          <w:rFonts w:ascii="Times New Roman" w:cs="Times New Roman" w:eastAsia="Times New Roman" w:hAnsi="Times New Roman"/>
          <w:sz w:val="20"/>
          <w:szCs w:val="20"/>
          <w:color w:val="auto"/>
        </w:rPr>
        <w:t>and patent processes or products earlier than we do, obtain regulatory clearances or approvals for competing products more rapidly than we do, develop more effective or less expensive products or technologies that render our technology or products obsolete or non-competitive, or acquire technologies and technology licenses complementary to our products or advantageous to our business, which could adversely affect our business and operating results. Not all of our sales and other personnel have non-compete agreements. We also compete with other organizations in recruiting and retaining qualified sales and management personnel, which may exacerbate the effects of labor shortages we have experienced in the past, as described elsewhere in these risk factors. If our competitors are more successful than we are in these matters, we may be unable to compete successfully against our existing or future competitors. Our industry has been subject to increasing consolidation. Consolidation in our industry not involving our Company could result in existing competitors increasing their market share through business combinations and result in stronger competitors, which could have a material adverse effect on our business, operating results and financial condition. We may be unable to compete successfully in an increasingly consolidated industry and cannot predict with certainty how industry consolidation will affect our competitors or us.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private label and OEM revenue channel involves risks and may be subject to significant fluctuation on a product to product basis from period to period since we typically do not have long-term purchase agreements covering these sales and our customers could decide to use other OEMs.</w:t>
      </w:r>
    </w:p>
    <w:p>
      <w:pPr>
        <w:spacing w:after="0" w:line="185"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expect an increasing amount of our future revenues to be derived from our private label and original equipment manufacturer, or OEM, revenue channel. This expectation is based on our ability to internally produce all products within our orthobiologics product family allowing us to make such products available on a private label and OEM basis where compelling opportunities exist. We may not be successful, however, in retaining or expanding our private label and OEM channel. Our private label and OEM channel, although not subject to commissions, generally involves lower gross margins relative to comparable products sold through our independent agent channel which, if this business increases as a percentage of our revenue, will reduce our future gross margins. In addition, our private label and OEM channel involves other additional risks. For example, we generally do not have long -term supply agreements covering our private label and OEM customers, so they could periodically decide to use other OEMs based on cost, quality, delivery time, production capacities, competitive and regulatory considerations, or other factors. Thus, revenues from our private label and OEM customers and the products we provide them are subject to significant fluctuation on a product to product basis from period to period. The success of our private label and OEM channel is dependent upon the success of our private label and OEM customers in creating demand for and selling the products that we manufacture for them. If our private label and OEM channel significantly increases, we may experience difficulties in staffing our manufacturing facility and meeting demand. Our OEM channel sales also are dependent upon adequate reimbursement and changes in such reimbursement could adversely affect future sales. For example, a portion of our 2025 OEM channel sales likely will not repeat in 2026 or future years given a change in the reimbursement environment affecting the product involved, which could adversely affect our 2026 and future revenues.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prior acquisitions and dispositions and any future acquisitions, dispositions or business combinations we complete involve a number of risks, the occurrence of which could adversely affect our business, operating results and financial condition.</w:t>
      </w:r>
    </w:p>
    <w:p>
      <w:pPr>
        <w:spacing w:after="0" w:line="186"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In 2023, we acquired Surgalign SPV, certain assets and liabilities of Surgalign Holdings, and certain assets of RTI. In December 2025, we sold certain assets relating to our Coflex and CoFix products and our international hardware business to Companion Spine. Our ability to complete future acquisitions, dispositions and business combinations will depend, in part, on the availability of suitable acquisition candidates or buyers at acceptable prices, terms, and conditions; our ability to compete effectively for acquisition candidates or buyers; and the availability of capital and personnel to complete such acquisitions and run the acquired business effectively. Any acquisition, disposition or business combination could impair our business, operating results and financial condition. The benefits of an acquisition, disposition or business combination may take more time than expected to develop or, in the case of an acquisition, integrate into our operations, and we cannot guarantee that prior or future acquisitions, dispositions or business combinations will, in fact, produce any benefits. Acquisitions, dispositions and business combinations may involve a number of risks, the occurrence of which could adversely affect our business, operating results and financial condition, including:</w:t>
      </w:r>
    </w:p>
    <w:p>
      <w:pPr>
        <w:spacing w:after="0" w:line="222" w:lineRule="exact"/>
        <w:rPr>
          <w:sz w:val="20"/>
          <w:szCs w:val="20"/>
          <w:color w:val="auto"/>
        </w:rPr>
      </w:pPr>
    </w:p>
    <w:p>
      <w:pPr>
        <w:ind w:left="1080" w:hanging="360"/>
        <w:spacing w:after="0"/>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attention;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0" w:right="1440" w:bottom="175" w:gutter="0" w:footer="0" w:header="0"/>
          <w:type w:val="continuous"/>
        </w:sectPr>
      </w:pPr>
    </w:p>
    <w:bookmarkStart w:id="29" w:name="page30"/>
    <w:bookmarkEnd w:id="29"/>
    <w:p>
      <w:pPr>
        <w:ind w:left="1080" w:hanging="360"/>
        <w:spacing w:after="0" w:line="277"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to our existing operations and plans or the inability to effectively manage our expanded or reduced operations;</w:t>
      </w:r>
    </w:p>
    <w:p>
      <w:pPr>
        <w:spacing w:after="0" w:line="62" w:lineRule="exact"/>
        <w:rPr>
          <w:rFonts w:ascii="Arial" w:cs="Arial" w:eastAsia="Arial" w:hAnsi="Arial"/>
          <w:sz w:val="20"/>
          <w:szCs w:val="20"/>
          <w:color w:val="auto"/>
        </w:rPr>
      </w:pPr>
    </w:p>
    <w:p>
      <w:pPr>
        <w:jc w:val="both"/>
        <w:ind w:left="1080" w:hanging="360"/>
        <w:spacing w:after="0" w:line="259"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failure, difficulties or delays in securing, integrating, developing and assimilating information, financial systems, internal controls, operations, manufacturing processes and products or the distribution channels for acquired product lines;</w:t>
      </w:r>
    </w:p>
    <w:p>
      <w:pPr>
        <w:spacing w:after="0" w:line="78"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loss of key employees, customers, distributors, or sales representatives of the acquired businesses or adverse effects on existing business relationships with suppliers, customers, distributors, and sales representatives;</w:t>
      </w:r>
    </w:p>
    <w:p>
      <w:pPr>
        <w:spacing w:after="0" w:line="81"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adverse impact on overall profitability and growth, including if certain acquired products cannibalize existing product offerings or if certain disposed products or revenue reduce our ability to leverage our fixed operating costs or trigger adverse tax, accounting or other consequences;</w:t>
      </w:r>
    </w:p>
    <w:p>
      <w:pPr>
        <w:spacing w:after="0" w:line="81" w:lineRule="exact"/>
        <w:rPr>
          <w:rFonts w:ascii="Arial" w:cs="Arial" w:eastAsia="Arial" w:hAnsi="Arial"/>
          <w:sz w:val="20"/>
          <w:szCs w:val="20"/>
          <w:color w:val="auto"/>
        </w:rPr>
      </w:pPr>
    </w:p>
    <w:p>
      <w:pPr>
        <w:jc w:val="both"/>
        <w:ind w:left="1080" w:hanging="360"/>
        <w:spacing w:after="0" w:line="252"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adverse impact on overall profitability if our operations as affected by our acquisitions and dispositions do not achieve the efficiencies, growth or other projections, net sales, earnings, cost or revenue synergies, or other financial results projected in our valuation models, delays in the realization thereof or costs or charges incurred to achieve any revenue or cost synergies;</w:t>
      </w:r>
    </w:p>
    <w:p>
      <w:pPr>
        <w:spacing w:after="0" w:line="88" w:lineRule="exact"/>
        <w:rPr>
          <w:rFonts w:ascii="Arial" w:cs="Arial" w:eastAsia="Arial" w:hAnsi="Arial"/>
          <w:sz w:val="20"/>
          <w:szCs w:val="20"/>
          <w:color w:val="auto"/>
        </w:rPr>
      </w:pPr>
    </w:p>
    <w:p>
      <w:pPr>
        <w:ind w:left="1080" w:hanging="361"/>
        <w:spacing w:after="0"/>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possibility of not receiving any earnout or milestone payments;</w:t>
      </w:r>
    </w:p>
    <w:p>
      <w:pPr>
        <w:spacing w:after="0" w:line="132" w:lineRule="exact"/>
        <w:rPr>
          <w:rFonts w:ascii="Arial" w:cs="Arial" w:eastAsia="Arial" w:hAnsi="Arial"/>
          <w:sz w:val="20"/>
          <w:szCs w:val="20"/>
          <w:color w:val="auto"/>
        </w:rPr>
      </w:pPr>
    </w:p>
    <w:p>
      <w:pPr>
        <w:jc w:val="both"/>
        <w:ind w:left="1080" w:hanging="361"/>
        <w:spacing w:after="0" w:line="249"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reallocation of amounts of capital from other operating initiatives and/or an increase in our leverage and debt service requirements to pay acquisition purchase prices or other business venture investment costs or fund acquired businesses, which could in turn restrict our ability to access additional capital when needed, pursue other important elements of our business strategy or remain in compliance with the covenants under our credit agreements;</w:t>
      </w:r>
    </w:p>
    <w:p>
      <w:pPr>
        <w:spacing w:after="0" w:line="90" w:lineRule="exact"/>
        <w:rPr>
          <w:rFonts w:ascii="Arial" w:cs="Arial" w:eastAsia="Arial" w:hAnsi="Arial"/>
          <w:sz w:val="20"/>
          <w:szCs w:val="20"/>
          <w:color w:val="auto"/>
        </w:rPr>
      </w:pPr>
    </w:p>
    <w:p>
      <w:pPr>
        <w:jc w:val="both"/>
        <w:ind w:left="1080" w:hanging="361"/>
        <w:spacing w:after="0" w:line="252"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infringement by acquired businesses or other business ventures of intellectual property rights of others or violation of confidentiality, intellectual property and non-compete obligations or agreements by employees of an acquired business or lack of or inadequate formal intellectual property protection mechanisms in place at an acquired business;</w:t>
      </w:r>
    </w:p>
    <w:p>
      <w:pPr>
        <w:spacing w:after="0" w:line="88" w:lineRule="exact"/>
        <w:rPr>
          <w:rFonts w:ascii="Arial" w:cs="Arial" w:eastAsia="Arial" w:hAnsi="Arial"/>
          <w:sz w:val="20"/>
          <w:szCs w:val="20"/>
          <w:color w:val="auto"/>
        </w:rPr>
      </w:pPr>
    </w:p>
    <w:p>
      <w:pPr>
        <w:jc w:val="both"/>
        <w:ind w:left="1080" w:hanging="361"/>
        <w:spacing w:after="0" w:line="258"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inaccurate assessment of additional post-transaction investments, undisclosed, contingent, tax or other liabilities or problems, unanticipated costs associated with an acquisition or disposition, and an inability to recover or manage such liabilities and costs;</w:t>
      </w:r>
    </w:p>
    <w:p>
      <w:pPr>
        <w:spacing w:after="0" w:line="80" w:lineRule="exact"/>
        <w:rPr>
          <w:rFonts w:ascii="Arial" w:cs="Arial" w:eastAsia="Arial" w:hAnsi="Arial"/>
          <w:sz w:val="20"/>
          <w:szCs w:val="20"/>
          <w:color w:val="auto"/>
        </w:rPr>
      </w:pPr>
    </w:p>
    <w:p>
      <w:pPr>
        <w:jc w:val="both"/>
        <w:ind w:left="1080" w:hanging="361"/>
        <w:spacing w:after="0" w:line="259"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incorrect estimates made in the accounting for acquisitions or disposition and incurrence of non-recurring charges, including restructuring charges in connection with efforts to reduce costs and streamline operations; and</w:t>
      </w:r>
    </w:p>
    <w:p>
      <w:pPr>
        <w:spacing w:after="0" w:line="78" w:lineRule="exact"/>
        <w:rPr>
          <w:rFonts w:ascii="Arial" w:cs="Arial" w:eastAsia="Arial" w:hAnsi="Arial"/>
          <w:sz w:val="20"/>
          <w:szCs w:val="20"/>
          <w:color w:val="auto"/>
        </w:rPr>
      </w:pPr>
    </w:p>
    <w:p>
      <w:pPr>
        <w:jc w:val="both"/>
        <w:ind w:left="1080" w:hanging="361"/>
        <w:spacing w:after="0" w:line="245"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impacts as a result of accounting adjustments, incorrect estimates made in the accounting for the acquisitions or dispositions or the potential write-off of significant amounts of goodwill or other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 or other potential financial accounting or reporting impacts, including those resulting from the international subsidiaries we acquired from Surgalign Holdings and then subsequently sold to Companion Spine in December 2025.</w:t>
      </w:r>
    </w:p>
    <w:p>
      <w:pPr>
        <w:spacing w:after="0" w:line="20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Also, some transactions may require the consent of the lenders under our credit agreements, and we cannot predict whether such consent would be forthcoming or the terms on which the lenders would approve future transactions.</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These risks, among others, could be heightened if we complete a large acquisition or other business combination or multiple transactions within a relatively short period of time or, if such approvals are not obtained, could prevent us from completing acquisitions that we believe would be beneficial to our business.</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35" w:right="1440" w:bottom="175" w:gutter="0" w:footer="0" w:header="0"/>
          <w:type w:val="continuous"/>
        </w:sectPr>
      </w:pPr>
    </w:p>
    <w:bookmarkStart w:id="30" w:name="page31"/>
    <w:bookmarkEnd w:id="30"/>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Negative publicity concerning methods of tissue recovery and screening of donor tissue in our industry could reduce demand for our biologics products and impact the supply of available donor tissue.</w:t>
      </w:r>
    </w:p>
    <w:p>
      <w:pPr>
        <w:spacing w:after="0" w:line="16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Media reports or other negative publicity concerning both alleged improper methods of tissue recovery from donors and disease transmission from donated tissue could limit widespread acceptance of some of our biologics products and reduce demand for our biologics products. Unfavorable reports of improper or illegal tissue recovery practices, both in the United States and internationally, as well as incidents of improperly processed tissue leading to the transmission of disease, may broadly affect the rate of future tissue donation and market acceptance of technologies incorporating human tissue. In addition, such negative publicity could cause the families of potential donors to become reluctant to agree to donate tissue to for-profit tissue processors.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third-party suppliers for products, components and raw materials and losing any of these suppliers, or their inability to provide us with an adequate supply of materials that meet our quality and other requirements or our failure to order a sufficient supply of products, components and raw materials, could harm our business and operating results.</w:t>
      </w:r>
    </w:p>
    <w:p>
      <w:pPr>
        <w:spacing w:after="0" w:line="193"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Outside suppliers, some of whom are sole-source suppliers, provide us with products and raw materials and components used in manufacturing our orthobiologics and spinal implant products. We strive to maintain sufficient inventory of products, raw materials and components so that our production will not be significantly disrupted if a particular product, raw material or component is not available to us for a period of time, including as a result of a supplier’s loss of its ISO or other certification, long required lead times, or other reasons. Despite our efforts, we sometimes experience an insufficient inventory of products, raw materials and/or components. If we fail to plan our procurement accordingly or are unable to obtain sufficient quantities of raw materials and components used in manufacturing our orthobiologics and spinal implant products that meet our quality and other requirements on a timely basis for any reason, we may not produce sufficient quantities of our products to meet market demand until a new or alternative supply source is identified and qualified and, as a result, we could lose sales and customers, our reputation could be harmed, and our business could suffer. Furthermore, an uncorrected defect or supplier’s variation in a component or raw material that is incompatible with our manufacturing, unknown to us, could harm our ability to manufacture products.</w:t>
      </w:r>
    </w:p>
    <w:p>
      <w:pPr>
        <w:spacing w:after="0" w:line="20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Although we believe there are alternative supply sources, replacing our suppliers may be impractical or difficult in many instances. For example, we could have difficulty obtaining similar products from other suppliers that are acceptable to the FDA or other foreign regulatory authorities. In addition, if we are required to transition to new suppliers for certain components or raw materials of our products, the use of components or materials furnished by these alternative suppliers could require us to alter our operations, and if we are required to change the manufacturer of a critical component of our products, we will have to verify that the new manufacturer maintains facilities, procedures and operations that comply with our quality and applicable regulatory requirements, which could further impede our ability to manufacture our products in a timely manner.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the continued availability of our facilities and would be harmed if they were unavailable for any prolonged period of time.</w:t>
      </w:r>
    </w:p>
    <w:p>
      <w:pPr>
        <w:spacing w:after="0" w:line="16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Any failure in the physical infrastructure of our facilities could lead to significant costs and disruptions that could reduce our revenues and harm our business, operating results, and reputation. We are highly reliant on our Belgrade, Montana facilities. Any natural or man-made event that impacts our ability to utilize these facilities could have a significant impact on our operating results, reputation and ability to continue operations. The regulatory process for approval of facilities is time-consuming and our ability to rebuild facilities would take a considerable amount of time and expense and cause a significant disruption in service to our customers. Further, the FDA or some other regulatory agency could identify deficiencies in future inspections of our facilities or our supplies that could disrupt our business and harm our operating results.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0" w:right="1440" w:bottom="175" w:gutter="0" w:footer="0" w:header="0"/>
          <w:type w:val="continuous"/>
        </w:sectPr>
      </w:pPr>
    </w:p>
    <w:bookmarkStart w:id="31" w:name="page32"/>
    <w:bookmarkEnd w:id="31"/>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party to product liability litigation that could be expensive, and our insurance coverage may not be adequate in a catastrophic situation.</w:t>
      </w:r>
    </w:p>
    <w:p>
      <w:pPr>
        <w:spacing w:after="0" w:line="16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manufacture and sale of medical devices and biologics expose us to significant risk of product liability claims, which are made against us from time to time. We may incur material liabilities relating to product liability claims, including product liability claims arising out of the use of our products, if the liabilities exceed or are not covered under our insurance program. No assurance can be provided that any amounts that we may be required to pay to resolve such matters in the future will be within our insurance limits.</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also could experience a material design or manufacturing failure in our products, a quality system failure, other safety issues, or heightened regulatory scrutiny that would warrant a recall of some of our products. Product liability lawsuits and claims, safety alerts and product recalls, regardless of their ultimate outcome, could result in decreased demand for our products, injury to our reputation, significant litigation and other costs, substantial monetary awards to or costly settlements with patients, product recalls, loss of revenue, increased regulatory scrutiny, and the inability to commercialize new products or product candidates, and otherwise have a material adverse effect on our business and reputation and on our ability to attract and retain customers.</w:t>
      </w:r>
    </w:p>
    <w:p>
      <w:pPr>
        <w:spacing w:after="0" w:line="2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quarterly operating results are subject to substantial fluctuations, and you should not rely on them as an indication of our annual or future results.</w:t>
      </w:r>
    </w:p>
    <w:p>
      <w:pPr>
        <w:spacing w:after="0" w:line="16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quarterly revenue and operating results have varied and in the future may vary significantly, and period-to-period comparisons of our results of operations are not necessarily meaningful and should not be relied upon as indications of our annual results or future performance. Any shortfalls in revenue or earnings from levels expected by industry analysts or investors, as a result of such quarterly fluctuations or otherwise, could have an immediate and significant adverse effect on the market price of our common stock in any given period. Our quarterly operating results may vary significantly due to a combination of factors, many of which are beyond our control. These factors include, among others:</w:t>
      </w:r>
    </w:p>
    <w:p>
      <w:pPr>
        <w:spacing w:after="0" w:line="215" w:lineRule="exact"/>
        <w:rPr>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demand for our products;</w:t>
      </w:r>
    </w:p>
    <w:p>
      <w:pPr>
        <w:spacing w:after="0" w:line="13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inflation, increased interest rates and other recessionary indicators and supply chain disruptions;</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competition;</w:t>
      </w:r>
    </w:p>
    <w:p>
      <w:pPr>
        <w:spacing w:after="0" w:line="13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timing, and significance of new products and product introductions and enhancements by us and our competitors;</w:t>
      </w:r>
    </w:p>
    <w:p>
      <w:pPr>
        <w:spacing w:after="0" w:line="6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develop, introduce, and market new and enhanced versions of our products on a timely basis;</w:t>
      </w:r>
    </w:p>
    <w:p>
      <w:pPr>
        <w:spacing w:after="0" w:line="63" w:lineRule="exact"/>
        <w:rPr>
          <w:rFonts w:ascii="Arial" w:cs="Arial" w:eastAsia="Arial" w:hAnsi="Arial"/>
          <w:sz w:val="20"/>
          <w:szCs w:val="20"/>
          <w:color w:val="auto"/>
        </w:rPr>
      </w:pPr>
    </w:p>
    <w:p>
      <w:pPr>
        <w:ind w:left="1080" w:hanging="361"/>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or failure to obtain regulatory clearances or approvals for our products;</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pricing policies by us and our competitors;</w:t>
      </w:r>
    </w:p>
    <w:p>
      <w:pPr>
        <w:spacing w:after="0" w:line="132" w:lineRule="exact"/>
        <w:rPr>
          <w:rFonts w:ascii="Arial" w:cs="Arial" w:eastAsia="Arial" w:hAnsi="Arial"/>
          <w:sz w:val="20"/>
          <w:szCs w:val="20"/>
          <w:color w:val="auto"/>
        </w:rPr>
      </w:pPr>
    </w:p>
    <w:p>
      <w:pPr>
        <w:ind w:left="1080" w:hanging="361"/>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treatment practices of our customers;</w:t>
      </w:r>
    </w:p>
    <w:p>
      <w:pPr>
        <w:spacing w:after="0" w:line="132"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independent sales representative or distributor relationships and sales force size and composition;</w:t>
      </w:r>
    </w:p>
    <w:p>
      <w:pPr>
        <w:spacing w:after="0" w:line="63"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material expense- or income-generating events and the related recognition of their associated financial impact;</w:t>
      </w:r>
    </w:p>
    <w:p>
      <w:pPr>
        <w:spacing w:after="0" w:line="62" w:lineRule="exact"/>
        <w:rPr>
          <w:rFonts w:ascii="Arial" w:cs="Arial" w:eastAsia="Arial" w:hAnsi="Arial"/>
          <w:sz w:val="20"/>
          <w:szCs w:val="20"/>
          <w:color w:val="auto"/>
        </w:rPr>
      </w:pPr>
    </w:p>
    <w:p>
      <w:pPr>
        <w:ind w:left="1080" w:hanging="361"/>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mix of products sold in the quarter and the geographies in which they are sold;</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selling days;</w:t>
      </w:r>
    </w:p>
    <w:p>
      <w:pPr>
        <w:spacing w:after="0" w:line="133" w:lineRule="exact"/>
        <w:rPr>
          <w:rFonts w:ascii="Arial" w:cs="Arial" w:eastAsia="Arial" w:hAnsi="Arial"/>
          <w:sz w:val="20"/>
          <w:szCs w:val="20"/>
          <w:color w:val="auto"/>
        </w:rPr>
      </w:pPr>
    </w:p>
    <w:p>
      <w:pPr>
        <w:ind w:left="1080" w:hanging="362"/>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and cost of components and materials;</w:t>
      </w:r>
    </w:p>
    <w:p>
      <w:pPr>
        <w:spacing w:after="0" w:line="132" w:lineRule="exact"/>
        <w:rPr>
          <w:rFonts w:ascii="Arial" w:cs="Arial" w:eastAsia="Arial" w:hAnsi="Arial"/>
          <w:sz w:val="20"/>
          <w:szCs w:val="20"/>
          <w:color w:val="auto"/>
        </w:rPr>
      </w:pPr>
    </w:p>
    <w:p>
      <w:pPr>
        <w:ind w:left="1080" w:hanging="362"/>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orders and shipments;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20" w:right="1440" w:bottom="175" w:gutter="0" w:footer="0" w:header="0"/>
          <w:type w:val="continuous"/>
        </w:sectPr>
      </w:pPr>
    </w:p>
    <w:bookmarkStart w:id="32" w:name="page33"/>
    <w:bookmarkEnd w:id="32"/>
    <w:p>
      <w:pPr>
        <w:ind w:left="1080" w:right="20" w:hanging="360"/>
        <w:spacing w:after="0" w:line="277" w:lineRule="auto"/>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obtain reimbursement for our products and the timing of patients’ use of their calendar year medical insurance deductibles;</w:t>
      </w:r>
    </w:p>
    <w:p>
      <w:pPr>
        <w:spacing w:after="0" w:line="62"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work stoppages or strikes in our industry;</w:t>
      </w:r>
    </w:p>
    <w:p>
      <w:pPr>
        <w:spacing w:after="0" w:line="132" w:lineRule="exact"/>
        <w:rPr>
          <w:rFonts w:ascii="Arial" w:cs="Arial" w:eastAsia="Arial" w:hAnsi="Arial"/>
          <w:sz w:val="20"/>
          <w:szCs w:val="20"/>
          <w:color w:val="auto"/>
        </w:rPr>
      </w:pPr>
    </w:p>
    <w:p>
      <w:pPr>
        <w:jc w:val="both"/>
        <w:ind w:left="1080" w:right="20" w:hanging="360"/>
        <w:spacing w:after="0" w:line="259" w:lineRule="auto"/>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labor and staffing shortages at hospitals and other medical facilities on the number of elective procedures in which our products are used as well as global and local labor shortages and loss of personnel;</w:t>
      </w:r>
    </w:p>
    <w:p>
      <w:pPr>
        <w:spacing w:after="0" w:line="80"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acquisitions, dispositions, business combinations and license agreements;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FDA and foreign governmental regulatory policies, requirements, and enforcement practices;</w:t>
      </w:r>
    </w:p>
    <w:p>
      <w:pPr>
        <w:spacing w:after="0" w:line="145" w:lineRule="exact"/>
        <w:rPr>
          <w:rFonts w:ascii="Arial" w:cs="Arial" w:eastAsia="Arial" w:hAnsi="Arial"/>
          <w:sz w:val="19"/>
          <w:szCs w:val="19"/>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standards, policies, estimates, and treatments;</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restructuring, impairment, and other special charges;</w:t>
      </w:r>
    </w:p>
    <w:p>
      <w:pPr>
        <w:spacing w:after="0" w:line="132" w:lineRule="exact"/>
        <w:rPr>
          <w:rFonts w:ascii="Arial" w:cs="Arial" w:eastAsia="Arial" w:hAnsi="Arial"/>
          <w:sz w:val="20"/>
          <w:szCs w:val="20"/>
          <w:color w:val="auto"/>
        </w:rPr>
      </w:pPr>
    </w:p>
    <w:p>
      <w:pPr>
        <w:ind w:left="1080" w:hanging="361"/>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costs associated with pending and any future litigation;</w:t>
      </w:r>
    </w:p>
    <w:p>
      <w:pPr>
        <w:spacing w:after="0" w:line="132" w:lineRule="exact"/>
        <w:rPr>
          <w:rFonts w:ascii="Arial" w:cs="Arial" w:eastAsia="Arial" w:hAnsi="Arial"/>
          <w:sz w:val="20"/>
          <w:szCs w:val="20"/>
          <w:color w:val="auto"/>
        </w:rPr>
      </w:pPr>
    </w:p>
    <w:p>
      <w:pPr>
        <w:ind w:left="1080" w:right="20" w:hanging="361"/>
        <w:spacing w:after="0" w:line="277" w:lineRule="auto"/>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cost of sales due to the amount and timing of excess and obsolete inventory charges and manufacturing variances;</w:t>
      </w:r>
    </w:p>
    <w:p>
      <w:pPr>
        <w:spacing w:after="0" w:line="63" w:lineRule="exact"/>
        <w:rPr>
          <w:rFonts w:ascii="Arial" w:cs="Arial" w:eastAsia="Arial" w:hAnsi="Arial"/>
          <w:sz w:val="20"/>
          <w:szCs w:val="20"/>
          <w:color w:val="auto"/>
        </w:rPr>
      </w:pPr>
    </w:p>
    <w:p>
      <w:pPr>
        <w:ind w:left="1080" w:hanging="361"/>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income tax fluctuations and changes in tax rules;</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social and other external factors; and</w:t>
      </w:r>
    </w:p>
    <w:p>
      <w:pPr>
        <w:spacing w:after="0" w:line="132" w:lineRule="exact"/>
        <w:rPr>
          <w:rFonts w:ascii="Arial" w:cs="Arial" w:eastAsia="Arial" w:hAnsi="Arial"/>
          <w:sz w:val="20"/>
          <w:szCs w:val="20"/>
          <w:color w:val="auto"/>
        </w:rPr>
      </w:pPr>
    </w:p>
    <w:p>
      <w:pPr>
        <w:ind w:left="1080" w:right="20" w:hanging="361"/>
        <w:spacing w:after="0" w:line="277" w:lineRule="auto"/>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of interest rates, which can increase the cost of borrowings under our credit agreements and generally affect the level of economic activity.</w:t>
      </w:r>
    </w:p>
    <w:p>
      <w:pPr>
        <w:spacing w:after="0" w:line="1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strive to maintain a sufficient inventory of products, raw materials and components so that our production and revenues will not be significantly disrupted, especially with respect to new products. This practice, however, consumes a significant amount of our resources, reduces our cash flows, and in the past has led to, and in the future could lead to, inventory impairment charges.</w:t>
      </w:r>
    </w:p>
    <w:p>
      <w:pPr>
        <w:spacing w:after="0" w:line="191" w:lineRule="exact"/>
        <w:rPr>
          <w:sz w:val="20"/>
          <w:szCs w:val="20"/>
          <w:color w:val="auto"/>
        </w:rPr>
      </w:pPr>
    </w:p>
    <w:p>
      <w:pPr>
        <w:jc w:val="both"/>
        <w:ind w:firstLine="1"/>
        <w:spacing w:after="0" w:line="241" w:lineRule="auto"/>
        <w:rPr>
          <w:sz w:val="20"/>
          <w:szCs w:val="20"/>
          <w:color w:val="auto"/>
        </w:rPr>
      </w:pPr>
      <w:r>
        <w:rPr>
          <w:rFonts w:ascii="Times New Roman" w:cs="Times New Roman" w:eastAsia="Times New Roman" w:hAnsi="Times New Roman"/>
          <w:sz w:val="20"/>
          <w:szCs w:val="20"/>
          <w:color w:val="auto"/>
        </w:rPr>
        <w:t>A feature of our orthopedic hardware and implant business is the high level of product inventory required, some of which is located at customer premises and is available for customers’ immediate use (referred to as consignment inventory). Complete sets of products, including large and small sizes, have to be made available for customers; and often, certain sizes are used less frequently than standard sizes and towards the end of the product life cycle are inevitably in excess of requirements. Under applicable accounting rules, we are required to review and make adjustments to the carrying value of our inventory to anticipate this situation. We typically calculate such adjustments in accordance with a formula based on levels of inventory compared with historical and forecast usage and apply this formula on an individual product line basis, typically after a product group has been on the market for two years. While we believe based on our experience that this method of calculation is appropriate in most circumstances under applicable accounting rules, it involves management judgments on forecasted sales, effectiveness of inventory deployment, length of product lives, phase-out of old products, and efficiency of manufacturing planning systems. In the event a substantial portion of our inventory becomes obsolete, the resulting costs associated with the inventory impairment charges and costs required to replace such inventory could have a material adverse effect on our operating results and cash flows. In addition, as we introduce new products, new implant and instrument sets may be required, with a significant initial investment required to accommodate the launch of the product. If we overestimate the projected future sales of the new product or if the launch of the new product is not successful, we may be required to record inventory impairment charges, which could be significant. For example, during fourth quarter of 2025, we recorded a $1.3 million charge related to excess and obsolete inventory associated with the launch of our Cortera® Fixation System, which was launched in the second half of 2024. Depending upon future sales of this product and other new products we may launch, we may be required to record additional excess and obsolete inventory charges, which would adversely impact our operating results.</w:t>
      </w:r>
    </w:p>
    <w:p>
      <w:pPr>
        <w:sectPr>
          <w:pgSz w:w="12240" w:h="15840" w:orient="portrait"/>
          <w:cols w:equalWidth="0" w:num="1">
            <w:col w:w="9380"/>
          </w:cols>
          <w:pgMar w:left="1440" w:top="1435"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80"/>
          </w:cols>
          <w:pgMar w:left="1440" w:top="1435" w:right="1420" w:bottom="175" w:gutter="0" w:footer="0" w:header="0"/>
          <w:type w:val="continuous"/>
        </w:sectPr>
      </w:pPr>
    </w:p>
    <w:bookmarkStart w:id="33" w:name="page34"/>
    <w:bookmarkEnd w:id="33"/>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other tax attributes to offset future taxable income is limited.</w:t>
      </w:r>
    </w:p>
    <w:p>
      <w:pPr>
        <w:spacing w:after="0" w:line="16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At December 31, 2025, we had total domestic federal and state net operating loss carryovers of approximately $34.1 million and $36.7 million, respectively. Federal net operating losses generated prior to 2018 and state net operating loss carryovers expire at various dates between 2026 and 2045. Federal net operating losses generated after 2017 have an indefinite carryforward and are only available to offset 80% taxable income beginning in 2021. Foreign net operating losses begin expiring in 2026.</w:t>
      </w:r>
    </w:p>
    <w:p>
      <w:pPr>
        <w:spacing w:after="0" w:line="19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Section 382 of the Internal Revenue Code of 1986, as amended (“Code”), imposes restrictions on the use of a corporation’s net operating losses, as well as other tax attributes including capital loss carryforwards and other losses and credits, after an “ownership change” occurs. A Section 382 “ownership change” occurs if one or more stockholders or groups of stockholders who own at least 5% of our stock (including certain “public groups” deemed created for Section 382 purposes) increase their ownership by more than 50 percentage points over their lowest ownership percentage within a rolling three-year period. When an “ownership change” occurs, Section 382 imposes an annual limit on the amount of pre-change net operating losses and other tax attributes we can use to reduce our taxable income generally equal to the product of the total value of our outstanding equity immediately prior to the “ownership change” (subject to certain adjustments) multiplied by the applicable federal long-term tax-exempt interest rate for the month of the “ownership change.”</w:t>
      </w:r>
    </w:p>
    <w:p>
      <w:pPr>
        <w:spacing w:after="0" w:line="20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have completed studies to assess whether ownership changes, as defined by Section 382 of the Code, have occurred from our formation through December 31, 2025. Based upon these studies, we determined that an ownership change occurred during 2018 and again in 2025. Accordingly, we reduced our deferred tax assets related to the federal net operating loss carryforwards that are anticipated to expire unused as a result of these ownership changes. These tax attributes were excluded from deferred tax assets with a corresponding reduction of the valuation allowance with no net effect on income tax expense or the effective tax rate. Future ownership changes may further limit our ability to utilize our remaining tax attributes. Any future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identified a material weakness in our internal control over financial reporting as of December 31, 2025, and cannot provide assurances that this weakness will be effectively remediated or that additional material weaknesses will not occur in the future.</w:t>
      </w:r>
    </w:p>
    <w:p>
      <w:pPr>
        <w:spacing w:after="0" w:line="18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If our internal control over financial reporting or disclosure controls and procedures are not effective, we may not be able to accurately report our consolidated financial results, which may cause investors to lose confidence in our reported financial information and may lead to a decline in our stock price. Our management is responsible for establishing and maintaining adequate internal control over our financial reporting, as defined in Rule 13a-15(f) under the Exchange Act, which is designed to provide reasonable assurance regarding the reliability of financial reporting and the preparation of financial statements for external purposes in accordance with U.S. generally accepted accounting principles. Our internal control over financial reporting includes those policies and procedures that</w:t>
      </w:r>
    </w:p>
    <w:p>
      <w:pPr>
        <w:spacing w:after="0" w:line="6" w:lineRule="exact"/>
        <w:rPr>
          <w:sz w:val="20"/>
          <w:szCs w:val="20"/>
          <w:color w:val="auto"/>
        </w:rPr>
      </w:pPr>
    </w:p>
    <w:p>
      <w:pPr>
        <w:jc w:val="both"/>
        <w:spacing w:after="0" w:line="242" w:lineRule="auto"/>
        <w:tabs>
          <w:tab w:leader="none" w:pos="23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our receipts and expenditures are being made only in accordance with authorizations of management and directors of the Company; and (iii) provide reasonable assurance regarding prevention or timely detection of unauthorized acquisition, use, or disposition of our assets that could have a material effect on the financial statements.</w:t>
      </w:r>
    </w:p>
    <w:p>
      <w:pPr>
        <w:spacing w:after="0" w:line="20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We identified certain control deficiencies in the design and implementation of our internal control over financial reporting as of December 31, 2025, which constitute a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More specifically, our controls surrounding our evaluation of inventory net realizable value were insufficient and did not operate at an appropriate level of precision. Our review and evaluation of inventory failed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20" w:right="1440" w:bottom="175" w:gutter="0" w:footer="0" w:header="0"/>
          <w:type w:val="continuous"/>
        </w:sectPr>
      </w:pPr>
    </w:p>
    <w:bookmarkStart w:id="34" w:name="page35"/>
    <w:bookmarkEnd w:id="34"/>
    <w:p>
      <w:pPr>
        <w:jc w:val="both"/>
        <w:spacing w:after="0" w:line="245" w:lineRule="auto"/>
        <w:rPr>
          <w:sz w:val="20"/>
          <w:szCs w:val="20"/>
          <w:color w:val="auto"/>
        </w:rPr>
      </w:pPr>
      <w:r>
        <w:rPr>
          <w:rFonts w:ascii="Times New Roman" w:cs="Times New Roman" w:eastAsia="Times New Roman" w:hAnsi="Times New Roman"/>
          <w:sz w:val="20"/>
          <w:szCs w:val="20"/>
          <w:color w:val="auto"/>
        </w:rPr>
        <w:t>identify specific items not assessed for net realizable value under our existing control, which constitutes material weakness as of December 31, 2025. While we are taking steps to remediate the material weakness, we cannot provide any assurance that such remedial measures, or any other remedial measures we take, will be effective. If we fail to maintain effective internal control over financial reporting, we may not be able to accurately report our financial results, which may, among other adverse consequences, cause investors to lose confidence in our reported financial information and lead to a decline in our stock price. In addition, a material weakness will not be considered remediated until the applicable controls operate for a sufficient period of time and management has concluded, through testing, that these controls are designed and operating effectively.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Governmental Regulation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we or our suppliers fail to comply with regulations pertaining to human cells, tissues, and cellular and tissue-based products or if any of our cellular or tissue-based products are deemed to be biological products requiring approval of a BLA, drug products requiring approval of a new drug application (“NDA”) or medical devices requiring clearance, authorization or approval prior to being marketed, these products could be subject to withdrawal from the market or other enforcement action.</w:t>
      </w:r>
    </w:p>
    <w:p>
      <w:pPr>
        <w:spacing w:after="0" w:line="19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Certain of our products are regulated as HCT/Ps. Section 361 of the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current Good Tissue Practice (“cGTPs”), when processing, storing, labeling, and distributing HCT/Ps, including required labeling information, stringent record keeping, and adverse event reporting, among other applicable requirements and laws. The FDA regulations also have additional requirements that address sub-contracted tissue services, tracking, and donor records review. If a tissue-based product is considered human tissue, the FDA requirements focus on preventing the introduction, transmission and spread of communicable diseases. A product regulated solely as a 361 HCT/P is not required to undergo 510(k) premarket clearance, de novo classification or PMA nor approval of a BLA or NDA.</w:t>
      </w:r>
    </w:p>
    <w:p>
      <w:pPr>
        <w:spacing w:after="0" w:line="20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FDA may inspect facilities engaged in manufacturing 361 HCT/Ps and may issue untitled letters, warning letters, or otherwise authorize orders of retention, recall, destruction and cessation of manufacturing if the FDA has reasonable grounds to believe that an HCT/P or the facilities where it is manufactured are in violation of applicable regulations. There also are requirements relating to the import of HCT/Ps that allow the FDA to make a decision as to the HCT/Ps’ admissibility into the United States.</w:t>
      </w:r>
    </w:p>
    <w:p>
      <w:pPr>
        <w:spacing w:after="0" w:line="19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An HCT/P is eligible for regulation solely as a 361 HCT/P if it is: (i) minimally manipulated; (ii) intended for homologous use as reflected by labeling, advertising or other indications of the manufacturer’s objective intent;</w:t>
      </w:r>
    </w:p>
    <w:p>
      <w:pPr>
        <w:spacing w:after="0" w:line="1" w:lineRule="exact"/>
        <w:rPr>
          <w:sz w:val="20"/>
          <w:szCs w:val="20"/>
          <w:color w:val="auto"/>
        </w:rPr>
      </w:pPr>
    </w:p>
    <w:p>
      <w:pPr>
        <w:jc w:val="both"/>
        <w:spacing w:after="0" w:line="255" w:lineRule="auto"/>
        <w:tabs>
          <w:tab w:leader="none" w:pos="34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manufacture does not involve the combination of the HCT/P with another article, except for water, crystalloids or a sterilizing, preserving, or storage agent (not raising new clinical safety concerns for the HCT/P); and (iv) it does not have a systemic effect and is not dependent upon the metabolic activity of living cells for its primary function or, if it has a systemic effect or is dependent upon the metabolic activity of living cells for its primary function, it is intended for autologous use or allogeneic use in a first or second degree relative or for reproductive use. If any of these requirements are not met, then the HCT/P is also subject to applicable biologic, device, or drug regulation under the FDCA or the PHSA. These biologic, device or drug HCT/Ps must comply with the requirements exclusively applicable to 361 HCT/Ps and, in addition, with requirements applicable to biologics under the PHSA and FDCA, or devices or drugs under the FDCA, including licensure, clearance or approval, as the case may be.</w:t>
      </w:r>
    </w:p>
    <w:p>
      <w:pPr>
        <w:spacing w:after="0" w:line="19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Over the course of several years, the FDA issued regulations that address manufacturer activities associated with HCT/Ps. The first requires that companies that manufacture HCT/Ps register with the FDA. This set of regulations also includes the criteria that must be met in order for the HCT/P to be eligible for regulation solely under Section 361 of the PHSA and the regulations in 21 CFR Part 1271, rather than under the drug or device provisions of the FDCA or the biological product licensing provisions of the PHSA. The second set of regulations provides criteria that must be met for donors to be eligible to donate tissues and is referred to as the “Donor Eligibility” rule. The third rule governs the processing and distribution of the tissues and is often referred to as the cGTP rule. The cGTP rule covers all stages of allograft processing, from procurement of tissue to distribution of final allografts. Together these regulations are designed to ensure that sound, high quality practices are followed to reduce the risk of tissue contamination and of communicable disease transmission.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type w:val="continuous"/>
        </w:sectPr>
      </w:pPr>
    </w:p>
    <w:bookmarkStart w:id="35" w:name="page36"/>
    <w:bookmarkEnd w:id="35"/>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At the time they came into effect approximately 20 years ago, these regulations increased regulatory scrutiny within the industry in which we operate and have led to increased enforcement action which affects the conduct of our business. In addition, these regulations can increase the cost of tissue recovery activities. The FDA periodically inspects tissue processors to determine compliance with these requirements. Allegations of violations of applicable regulations noted by the FDA during facility inspections could adversely affect the continued marketing of our products. We believe we comply with all aspects of 21 CFR Part 1271 that we are required to comply with, although there can be no assurance that we will be deemed by FDA to be in compliance. Entities that provide us with allograft bone tissue are responsible for performing donor recovery, donor screening and donor testing and our compliance with those aspects of the cGTP regulations that regulate those functions are dependent upon the actions of these independent entities. If our suppliers fail to comply with applicable requirements, our products and our business could be negatively affected. If the FDA determines that we have failed to comply with applicable regulatory requirements, it can impose a variety of regulatory actions, or enforcement actions from public warning letters, fines, injunctions, consent decrees and civil penalties to suspension or delayed issuance of approvals, seizure of our products, total or partial shutdown of our production, withdrawal of approvals, and criminal prosecutions. If any of these events were to occur, it could materially adversely affect us.</w:t>
      </w:r>
    </w:p>
    <w:p>
      <w:pPr>
        <w:spacing w:after="0" w:line="21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In addition, the FDA could disagree with our conclusion that one or more of our HCT/Ps meet the criteria for marketing solely under Section 361 of the PHSA, and therefore that one or more of the HCT/Ps require licensure, approval or clearance of a marketing application. The FDA could conclude that the tissue is more than minimally manipulated, that the product is intended for a non-homologous use, that the product is combined with another article, or that the product has a systemic effect or is dependent on the metabolic activity of living cells for its primary function. The FDA could also determine that a modification to an HCT/P makes it ineligible for regulation solely as a 361 HCT/P. If the FDA were to draw these conclusions, it would likely require clinical studies conducted pursuant to an investigational new drug application (“IND”) or Investigation Device Exemption (“IDE”) and the submission and licensure, approval, authorization, or clearance of a marketing application in order for us to continue to market the product. Such an action by the FDA could cause negative publicity, decreased or discontinued product sales, and significant expense in obtaining required marketing licensure, approval, authorization, or clearance.</w:t>
      </w:r>
    </w:p>
    <w:p>
      <w:pPr>
        <w:spacing w:after="0" w:line="18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Other regulatory entities with authority over our products and operations include state agencies enforcing statutes and regulations covering tissue banking. Regulations issued by Florida, New York, California, Colorado, Georgia and Maryland are particularly relevant to our business. Most states do not currently have tissue banking regulations. It is possible that others may make allegations against us or against donor recovery groups or tissue banks about non-compliance with applicable FDA regulations or other relevant statutes or regulations. Allegations like these could cause regulators or other authorities to take investigative or other action or could cause negative publicity for our business and the industry in which we operate.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of AATB accreditation would have a material adverse effect on us.</w:t>
      </w:r>
    </w:p>
    <w:p>
      <w:pPr>
        <w:spacing w:after="0" w:line="24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are accredited with the Association for Advancing Tissue and Biologics (formerly American Association of Tissue Banks), a private non-profit organization that accredits tissue banks and sets industry standards. Although AATB accreditation is voluntary and not required by law, as a practical matter, many of our customers would not purchase our products if we failed to maintain our AATB accreditation. Although we make every effort to maintain our AATB accreditation, the accreditation process is somewhat subjective and lacks regulatory oversight. There can be no assurance that we will continue to remain accredited with the AATB and any loss of our AATB accreditation would adversely affect our business and operating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governmental regulation could restrict the use of our tissue products or our procurement of tissue.</w:t>
      </w:r>
    </w:p>
    <w:p>
      <w:pPr>
        <w:spacing w:after="0" w:line="23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In the United States, the procurement and transplantation of allograft bone tissue is subject to federal law pursuant to the National Organ Transplant Act (“NOTA”), a criminal statute which prohibits the purchase and sale of human organs used in human transplantation, including bone and related tissue, for “valuable consideration.” NOTA permits reasonable payments associated with the removal, transportation, processing, preservation, quality control, implantation and storage of human bone tissue. We provide services in all of these areas in the United States, with the exception of removal and implantation, and receive payments for all such services. We make payments to certain of our clients and tissue banks for their services related to recovering allograft bone tissue on our behalf. If NOTA is interpreted or enforced in a manner which prevents us from receiving payment for services we render, or which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0" w:right="1440" w:bottom="175" w:gutter="0" w:footer="0" w:header="0"/>
          <w:type w:val="continuous"/>
        </w:sectPr>
      </w:pPr>
    </w:p>
    <w:bookmarkStart w:id="36" w:name="page37"/>
    <w:bookmarkEnd w:id="36"/>
    <w:p>
      <w:pPr>
        <w:jc w:val="both"/>
        <w:spacing w:after="0" w:line="278" w:lineRule="auto"/>
        <w:rPr>
          <w:sz w:val="20"/>
          <w:szCs w:val="20"/>
          <w:color w:val="auto"/>
        </w:rPr>
      </w:pPr>
      <w:r>
        <w:rPr>
          <w:rFonts w:ascii="Times New Roman" w:cs="Times New Roman" w:eastAsia="Times New Roman" w:hAnsi="Times New Roman"/>
          <w:sz w:val="20"/>
          <w:szCs w:val="20"/>
          <w:color w:val="auto"/>
        </w:rPr>
        <w:t>prevents us from paying tissue banks or certain of our clients for the services they render for us, our business could be materially and adversely affected.</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are engaged through our marketing employees, independent sales agents and sales representatives in ongoing efforts designed to educate the medical community as to the benefits of our products, and we intend to continue our educational activities. Although we believe that NOTA permits payments in connection with these educational efforts as reasonable payments associated with the processing, transportation and implantation of our products, payments in connection with such education efforts are not exempt from NOTA’s restrictions and our inability to make such payments in connection with our education efforts may prevent us from paying our sales representatives for their education efforts and could adversely affect our business and prospects. No federal agency or court has determined whether NOTA is, or will be, applicable to every allograft bone tissue-based material which our processing technologies may generate. Assuming that NOTA applies to our processing of allograft bone tissue, we believe that we comply with NOTA, but there can be no assurance that more restrictive interpretations of, or amendments to, NOTA will not be adopted in the future, which would call into question one or more aspects of our method of operations.</w:t>
      </w:r>
    </w:p>
    <w:p>
      <w:pPr>
        <w:spacing w:after="0" w:line="206"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In May 2025, the FDA published a draft guidance document, which when finalized would contain recommendations to reduce the risk of transmission of Mycobacterium tuberculosis by HCT/Ps. If finalized, this guidance would identify Mtb as a relevant communicable disease agent or disease (“RCDAD”) and provide recommendations for tissue banks for screening and testing of donors for Mtb prior to processing. The impact of this change would dramatically slow down the production of our viable bone matrix products. We currently employ several actions to mitigate potential Mtb exposure, including a comprehensive review of the donor’s medical and social history. In addition, we have validated a post -processing Mtb test of our viable bone matrix products. Unless and until this draft guidance is finalized, Mtb is not an RCDAD, and we can rely on our processes for mitigating Mtb exposure. If this guidance is finalized, the FDA will expect compliance with the regulatory requirements for donor screening and testing for Mtb as an RCDAD and may take enforcement action in the event of noncompliance.</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manufacturing operations are required to comply with the FDA’s and other governmental authorities’ laws and regulations regarding the manufacture and production of medical devices, which is costly and could subject us to enforcement action.</w:t>
      </w:r>
    </w:p>
    <w:p>
      <w:pPr>
        <w:spacing w:after="0" w:line="18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and certain of our third-party manufacturers and suppliers are required to comply with the FDA’s current Good Manufacturing Practices requirements the Quality Management System Regulation, which covers, among other things, the methods of documentation of the design, testing, production, control, quality assurance, labeling, packaging, sterilization, storage and shipping of our products. We and certain of our suppliers also are subject to the regulations of foreign jurisdictions regarding the manufacturing process for our products marketed outside of the United States. The FDA enforces the QMSR through periodic announced (routine) and unannounced (for cause or directed) inspections of manufacturing facilities. The failure by us or one of our third-party manufacturers or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217" w:lineRule="exact"/>
        <w:rPr>
          <w:sz w:val="20"/>
          <w:szCs w:val="20"/>
          <w:color w:val="auto"/>
        </w:rPr>
      </w:pPr>
    </w:p>
    <w:p>
      <w:pPr>
        <w:ind w:left="1080" w:hanging="361"/>
        <w:spacing w:after="0" w:line="277"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untitled letters, warning letters, fines, injunctions, consent decrees, disgorgement of profits, criminal and civil penalties;</w:t>
      </w:r>
    </w:p>
    <w:p>
      <w:pPr>
        <w:spacing w:after="0" w:line="62" w:lineRule="exact"/>
        <w:rPr>
          <w:rFonts w:ascii="Arial" w:cs="Arial" w:eastAsia="Arial" w:hAnsi="Arial"/>
          <w:sz w:val="20"/>
          <w:szCs w:val="20"/>
          <w:color w:val="auto"/>
        </w:rPr>
      </w:pPr>
    </w:p>
    <w:p>
      <w:pPr>
        <w:ind w:left="1080" w:hanging="361"/>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customer notifications or repair, replacement, refunds, recall, detention or seizure of our products;</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132"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refusing or delaying our requests for 510(k) clearance, de novo authorization, or PMA approval of new products or modified products;</w:t>
      </w:r>
    </w:p>
    <w:p>
      <w:pPr>
        <w:spacing w:after="0" w:line="63" w:lineRule="exact"/>
        <w:rPr>
          <w:rFonts w:ascii="Arial" w:cs="Arial" w:eastAsia="Arial" w:hAnsi="Arial"/>
          <w:sz w:val="20"/>
          <w:szCs w:val="20"/>
          <w:color w:val="auto"/>
        </w:rPr>
      </w:pPr>
    </w:p>
    <w:p>
      <w:pPr>
        <w:ind w:left="1080" w:hanging="361"/>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withdrawing 510(k) clearances, de novo authorizations, or PMAs that have already been granted;</w:t>
      </w:r>
    </w:p>
    <w:p>
      <w:pPr>
        <w:spacing w:after="0" w:line="132" w:lineRule="exact"/>
        <w:rPr>
          <w:rFonts w:ascii="Arial" w:cs="Arial" w:eastAsia="Arial" w:hAnsi="Arial"/>
          <w:sz w:val="20"/>
          <w:szCs w:val="20"/>
          <w:color w:val="auto"/>
        </w:rPr>
      </w:pPr>
    </w:p>
    <w:p>
      <w:pPr>
        <w:ind w:left="1080" w:hanging="362"/>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grant export certificates for our products; or</w:t>
      </w:r>
    </w:p>
    <w:p>
      <w:pPr>
        <w:spacing w:after="0" w:line="133" w:lineRule="exact"/>
        <w:rPr>
          <w:rFonts w:ascii="Arial" w:cs="Arial" w:eastAsia="Arial" w:hAnsi="Arial"/>
          <w:sz w:val="20"/>
          <w:szCs w:val="20"/>
          <w:color w:val="auto"/>
        </w:rPr>
      </w:pPr>
    </w:p>
    <w:p>
      <w:pPr>
        <w:ind w:left="1080" w:hanging="362"/>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criminal prosecution.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20" w:right="1440" w:bottom="175" w:gutter="0" w:footer="0" w:header="0"/>
          <w:type w:val="continuous"/>
        </w:sectPr>
      </w:pPr>
    </w:p>
    <w:bookmarkStart w:id="37" w:name="page38"/>
    <w:bookmarkEnd w:id="37"/>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Any of these actions could impair our ability to produce our products in a cost-effective and timely manner in order to meet our customers’ demands. We also may be required to bear other costs or take other actions that may have a negative impact on our future revenue and other operating results.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our products cause or contribute to a death or serious injury, or malfunction in certain ways, we will be subject to reporting regulations, which can result in voluntary corrective actions or agency or other governmental enforcement actions.</w:t>
      </w:r>
    </w:p>
    <w:p>
      <w:pPr>
        <w:spacing w:after="0" w:line="18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Under the FDA’s reporting regulations applicable to HCT/Ps, we are required to report all adverse reactions involving a communicable disease if it is fatal, life threatening, results in permanent impairment of a body function or permanent damage to body structure, or necessitates medical or surgical intervention, including hospitalization. Under the FDA medical device reporting regulations and similar foreign governmental regulations, medical device manufacturers are required to report to the FDA or other governmental agencies information that a device has or may have caused or contributed to a death or serious injury or has malfunctioned in a way that would likely cause or contribute to a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mandatory recalls, destruction, cessation of manufacturing, inspection or other enforcement action. Any corrective action, whether voluntary or involuntary, as well as defending ourselves in a lawsuit, would require the dedication of our time and capital, distract management from operating our business, and may harm our reputation and financial results. We are currently subject to certain product liability litigation, which could harm our business, financial condition or results of operations, especially if this litigation requires payments in amounts that exceed our product liability insurance coverage.</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future product recall or voluntary market withdrawal of a product due to defects, enhancements and modifications or other reasons would significantly increase our costs.</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FDA and similar foreign governmental authorities have the authority to require the recall of commercialized products.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or for other reasons. A government-mandated or voluntary recall by us or one of our distributors could occur as a result of, among other things, component failures, manufacturing errors, design or labeling defects or other deficiencies and issues. Recalls of any of our products would divert managerial and financial resources and could have an adverse effect on our financial condition and results of operations. The FDA requires that certain recalls undertaken to reduce a risk to health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In addition, the FDA could take enforcement action for failing to report the recalls when they were conducted.</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extensive regulation, including requirements for regulatory clearances, authorizations, or approvals prior to commercial distribution of our products. If we fail to maintain regulatory clearances, authorizations, and approvals, or are unable to obtain, or experience significant delays in obtaining, FDA clearances, authorizations, or approvals for our future products or product enhancements, our ability to commercially distribute and market these products could suffer.</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products and operations are subject to extensive regulation by the FDA and various other federal, state and foreign governmental authorities. Government regulation of our products is meant to ensure their safety and effectiveness, and may include regulation of, among other things:</w:t>
      </w:r>
    </w:p>
    <w:p>
      <w:pPr>
        <w:spacing w:after="0" w:line="203" w:lineRule="exact"/>
        <w:rPr>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design, development and manufacturing;</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testing, labeling, packaging, content and language of instructions for use, and storage;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product safety;</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premarket clearance, authorization and approval;</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marketing, sales and distribution (including making product claims);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advertising and promotion;</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product modifications;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recordkeeping procedures;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reports of corrections, removals, enhancements, recalls and field corrective actions;</w:t>
      </w:r>
    </w:p>
    <w:p>
      <w:pPr>
        <w:spacing w:after="0" w:line="133"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20"/>
          <w:szCs w:val="20"/>
          <w:color w:val="auto"/>
        </w:rPr>
      </w:pPr>
    </w:p>
    <w:p>
      <w:pPr>
        <w:jc w:val="both"/>
        <w:ind w:left="1080" w:hanging="361"/>
        <w:spacing w:after="0" w:line="258"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complying with the federal law and regulations requiring Unique Device Identifiers (“UDI”) on devices and their labeling and also requiring the submission of certain information about each device to FDA’s Global Unique Device Identification Database (“GUDID”); and</w:t>
      </w:r>
    </w:p>
    <w:p>
      <w:pPr>
        <w:spacing w:after="0" w:line="81" w:lineRule="exact"/>
        <w:rPr>
          <w:rFonts w:ascii="Arial" w:cs="Arial" w:eastAsia="Arial" w:hAnsi="Arial"/>
          <w:sz w:val="20"/>
          <w:szCs w:val="20"/>
          <w:color w:val="auto"/>
        </w:rPr>
      </w:pPr>
    </w:p>
    <w:p>
      <w:pPr>
        <w:ind w:left="1080" w:hanging="361"/>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product import and export.</w:t>
      </w:r>
    </w:p>
    <w:p>
      <w:pPr>
        <w:spacing w:after="0" w:line="238"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While a product regulated solely as a 361 HCT/P is not required to undergo 510(k) premarket clearance, de novo classification or PMA, before a new medical device, including most of our hardware products, or a new use of, or claim for, an existing product can be marketed in the United States, it must first receive either premarket clearance under Section 510(k) of the FDCA, a de novo classification or a PMA from the FDA, unless an exemption applies. The process of obtaining regulatory clearances, authorizations, or approvals to market a medical device can be costly and time-consuming, and we may not be able to obtain these clearances, authorizations or approvals on a timely basis, if at all. Most of our currently commercialized hardware products have received premarket clearances under Section 510(k) of the FDCA. In the future, the FDA may determine that more of our products will require the more costly, lengthy and uncertain de novo or PMA processes. In the process of obtaining PMA, the FDA must determine that there is a reasonable assurance that a proposed device is safe and effective for its intended use based, in part, on extensive data, including, but not limited to, technical, pre-clinical, clinical study, manufacturing and labeling data. The PMA process is typically required for devices that are deemed to pose the greatest risk, such as life-sustaining, life-supporting or implantable devices. If the FDA requires us to go through the PMA or de novo process for future products or modifications to existing products, our product introductions or modifications could be delayed or canceled, which could adversely affect our revenue. Additionally, we cannot assure you that we will be able to obtain the required clearances, authorizations, or approvals with respect to future products.</w:t>
      </w:r>
    </w:p>
    <w:p>
      <w:pPr>
        <w:spacing w:after="0" w:line="21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FDA can delay, limit or deny clearance, authorization or approval of a device for many reasons, including:</w:t>
      </w:r>
    </w:p>
    <w:p>
      <w:pPr>
        <w:spacing w:after="0" w:line="181" w:lineRule="exact"/>
        <w:rPr>
          <w:sz w:val="20"/>
          <w:szCs w:val="20"/>
          <w:color w:val="auto"/>
        </w:rPr>
      </w:pPr>
    </w:p>
    <w:p>
      <w:pPr>
        <w:jc w:val="both"/>
        <w:ind w:left="1080" w:hanging="360"/>
        <w:spacing w:after="0" w:line="259"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to the FDA’s satisfaction that our products meet the standard of “substantial equivalence” for a 510(k) or meet the standard for the FDA to grant a request for de novo authorization;</w:t>
      </w:r>
    </w:p>
    <w:p>
      <w:pPr>
        <w:spacing w:after="0" w:line="78"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to the FDA’s satisfaction that our products are safe and effective for their intended uses;</w:t>
      </w:r>
    </w:p>
    <w:p>
      <w:pPr>
        <w:spacing w:after="0" w:line="62" w:lineRule="exact"/>
        <w:rPr>
          <w:rFonts w:ascii="Arial" w:cs="Arial" w:eastAsia="Arial" w:hAnsi="Arial"/>
          <w:sz w:val="20"/>
          <w:szCs w:val="20"/>
          <w:color w:val="auto"/>
        </w:rPr>
      </w:pPr>
    </w:p>
    <w:p>
      <w:pPr>
        <w:jc w:val="both"/>
        <w:ind w:left="1080" w:hanging="361"/>
        <w:spacing w:after="0" w:line="259"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data from our pre-clinical studies (bench and/or animal) and clinical trials may be insufficient to support clearance, authorization, or approval in general or for specific, commercially desirable indications, where required;</w:t>
      </w:r>
    </w:p>
    <w:p>
      <w:pPr>
        <w:spacing w:after="0" w:line="78" w:lineRule="exact"/>
        <w:rPr>
          <w:rFonts w:ascii="Arial" w:cs="Arial" w:eastAsia="Arial" w:hAnsi="Arial"/>
          <w:sz w:val="20"/>
          <w:szCs w:val="20"/>
          <w:color w:val="auto"/>
        </w:rPr>
      </w:pPr>
    </w:p>
    <w:p>
      <w:pPr>
        <w:ind w:left="1080" w:hanging="361"/>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manufacturing process or facilities we use may not meet applicable requirements; and</w:t>
      </w:r>
    </w:p>
    <w:p>
      <w:pPr>
        <w:spacing w:after="0" w:line="133" w:lineRule="exact"/>
        <w:rPr>
          <w:rFonts w:ascii="Arial" w:cs="Arial" w:eastAsia="Arial" w:hAnsi="Arial"/>
          <w:sz w:val="20"/>
          <w:szCs w:val="20"/>
          <w:color w:val="auto"/>
        </w:rPr>
      </w:pPr>
    </w:p>
    <w:p>
      <w:pPr>
        <w:ind w:left="1080" w:hanging="362"/>
        <w:spacing w:after="0" w:line="277"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FDA clearance, authorization, or approval policies or the adoption of new regulations may require additional data.</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35" w:right="1440" w:bottom="175" w:gutter="0" w:footer="0" w:header="0"/>
          <w:type w:val="continuous"/>
        </w:sectPr>
      </w:pPr>
    </w:p>
    <w:bookmarkStart w:id="39" w:name="page40"/>
    <w:bookmarkEnd w:id="39"/>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In addition, even if we do obtain clearance, authorization, or approval, the FDA may not approve, authorize, or clear these products for the indications that are necessary or desirable for successful commercialization. Any delay in, or failure to receive or maintain, clearances, authorizations, or approvals for our products under development could prevent us from generating revenue from these products or achieving profitability.</w:t>
      </w:r>
    </w:p>
    <w:p>
      <w:pPr>
        <w:spacing w:after="0" w:line="193"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are subject, directly and indirectly, to federal and state healthcare fraud and abuse laws, false claims laws, and physician payment transparency laws. Failure to comply with these laws may subject us to substantial penalties.</w:t>
      </w:r>
    </w:p>
    <w:p>
      <w:pPr>
        <w:spacing w:after="0" w:line="146"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We are subject to federal and state healthcare laws and regulations pertaining to fraud and abuse, and physician payment transparency, including false claims laws, anti-kickback laws and physician self-referral laws. Many states require compliance with different types of pricing transparency requirements such as having a code of conduct, as well as reporting remuneration paid to health care professionals or entities in a position to influence prescribing behavior. Violations of these federal and state laws can result in criminal and/or civil punishment, including fines, imprisonment and, in the United States, exclusion from participation in government healthcare programs. Greater scrutiny of marketing practices in our industry has resulted in numerous government investigations, prosecutions and settlements by various government authorities and this industry-wide enforcement activity is expected to continue. If a governmental authority were to determine that we do not comply with these laws and regulations, the Company and our directors, officers and employees could be subject to criminal and civil penalties, including exclusion from participation in U.S. federal healthcare reimbursement programs.</w:t>
      </w:r>
    </w:p>
    <w:p>
      <w:pPr>
        <w:spacing w:after="0" w:line="209"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Many of these healthcare laws inevitably influence company standards of conduct. Other laws tie into these standards as well, such as compliance with the advertising and promotion regulations under the FDCA, the U.S. Federal Anti-Kickback Statute, the Federal False Claims Act, the Federal Physician Payments Sunshine Act and other laws. We use many distributors and independent sales representatives in certain territories and thus rely upon their compliance with applicable laws and regulations, such as with the advertising and promotion regulations or similar laws under countries located outside the United States and other applicable federal, state or international laws. These laws include:</w:t>
      </w:r>
    </w:p>
    <w:p>
      <w:pPr>
        <w:spacing w:after="0" w:line="214" w:lineRule="exact"/>
        <w:rPr>
          <w:sz w:val="20"/>
          <w:szCs w:val="20"/>
          <w:color w:val="auto"/>
        </w:rPr>
      </w:pPr>
    </w:p>
    <w:p>
      <w:pPr>
        <w:jc w:val="both"/>
        <w:ind w:left="1080" w:right="20" w:hanging="360"/>
        <w:spacing w:after="0" w:line="257" w:lineRule="auto"/>
        <w:tabs>
          <w:tab w:leader="none" w:pos="108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the U.S.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U.S. Federal False Claims Act; this may constrain our marketing practices and those of our independent sales agencies, educational programs, pricing, bundling and rebate policies, grants for physician-initiated trials and continuing medical education, and other remunerative relationships with healthcare providers;</w:t>
      </w:r>
    </w:p>
    <w:p>
      <w:pPr>
        <w:spacing w:after="0" w:line="90" w:lineRule="exact"/>
        <w:rPr>
          <w:rFonts w:ascii="Arial" w:cs="Arial" w:eastAsia="Arial" w:hAnsi="Arial"/>
          <w:sz w:val="19"/>
          <w:szCs w:val="19"/>
          <w:color w:val="auto"/>
        </w:rPr>
      </w:pPr>
    </w:p>
    <w:p>
      <w:pPr>
        <w:jc w:val="both"/>
        <w:ind w:left="1080" w:hanging="360"/>
        <w:spacing w:after="0" w:line="249" w:lineRule="auto"/>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federal false claims laws (such as the U.S. Federal False Claims Act) which prohibit, among other things, individuals or entities from knowingly presenting, or causing to be presented, claims seeking payment from Medicare, Medicaid or other federal-funded third-party payors that are false or fraudulent; this may impact the reimbursement advice we give to our customers as it cannot be inaccurate and must relate to on-label uses of our products;</w:t>
      </w:r>
    </w:p>
    <w:p>
      <w:pPr>
        <w:spacing w:after="0" w:line="91" w:lineRule="exact"/>
        <w:rPr>
          <w:rFonts w:ascii="Arial" w:cs="Arial" w:eastAsia="Arial" w:hAnsi="Arial"/>
          <w:sz w:val="20"/>
          <w:szCs w:val="20"/>
          <w:color w:val="auto"/>
        </w:rPr>
      </w:pPr>
    </w:p>
    <w:p>
      <w:pPr>
        <w:ind w:left="1080" w:right="20" w:hanging="361"/>
        <w:spacing w:after="0" w:line="277" w:lineRule="auto"/>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federal criminal laws that prohibit executing a scheme to defraud any federal healthcare benefit program or making false statements relating to healthcare matters;</w:t>
      </w:r>
    </w:p>
    <w:p>
      <w:pPr>
        <w:spacing w:after="0" w:line="62" w:lineRule="exact"/>
        <w:rPr>
          <w:rFonts w:ascii="Arial" w:cs="Arial" w:eastAsia="Arial" w:hAnsi="Arial"/>
          <w:sz w:val="20"/>
          <w:szCs w:val="20"/>
          <w:color w:val="auto"/>
        </w:rPr>
      </w:pPr>
    </w:p>
    <w:p>
      <w:pPr>
        <w:jc w:val="both"/>
        <w:ind w:left="1080" w:right="20" w:hanging="361"/>
        <w:spacing w:after="0" w:line="259" w:lineRule="auto"/>
        <w:tabs>
          <w:tab w:leader="none" w:pos="108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and requires applicable manufacturers and group purchasing organizations to report annually to CMS ownership and investment interests held by the physicians described above and their immediate family members and payments or other “transfers of value” to such physician owners. We are also required to collect information on payments or transfers</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80"/>
          </w:cols>
          <w:pgMar w:left="1440" w:top="1420" w:right="1420" w:bottom="175" w:gutter="0" w:footer="0" w:header="0"/>
          <w:type w:val="continuous"/>
        </w:sectPr>
      </w:pPr>
    </w:p>
    <w:bookmarkStart w:id="40" w:name="page41"/>
    <w:bookmarkEnd w:id="40"/>
    <w:p>
      <w:pPr>
        <w:ind w:left="1080"/>
        <w:spacing w:after="0" w:line="278" w:lineRule="auto"/>
        <w:rPr>
          <w:sz w:val="20"/>
          <w:szCs w:val="20"/>
          <w:color w:val="auto"/>
        </w:rPr>
      </w:pPr>
      <w:r>
        <w:rPr>
          <w:rFonts w:ascii="Times New Roman" w:cs="Times New Roman" w:eastAsia="Times New Roman" w:hAnsi="Times New Roman"/>
          <w:sz w:val="20"/>
          <w:szCs w:val="20"/>
          <w:color w:val="auto"/>
        </w:rPr>
        <w:t>of value to physician assistants, nurse practitioners, clinical nurse specialists, certified registered nurse anesthetists, and certified nurse-midwives for reporting to CMS;</w:t>
      </w:r>
    </w:p>
    <w:p>
      <w:pPr>
        <w:spacing w:after="0" w:line="61" w:lineRule="exact"/>
        <w:rPr>
          <w:sz w:val="20"/>
          <w:szCs w:val="20"/>
          <w:color w:val="auto"/>
        </w:rPr>
      </w:pPr>
    </w:p>
    <w:p>
      <w:pPr>
        <w:jc w:val="both"/>
        <w:ind w:left="1080" w:hanging="360"/>
        <w:spacing w:after="0" w:line="244"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 equivalents of each of the above federal laws, such as state anti-kickback prohibitions and false claims prohibitions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and federal law in significant ways and may not have the same effect, thus complicating compliance efforts; and</w:t>
      </w:r>
    </w:p>
    <w:p>
      <w:pPr>
        <w:spacing w:after="0" w:line="95" w:lineRule="exact"/>
        <w:rPr>
          <w:rFonts w:ascii="Arial" w:cs="Arial" w:eastAsia="Arial" w:hAnsi="Arial"/>
          <w:sz w:val="20"/>
          <w:szCs w:val="20"/>
          <w:color w:val="auto"/>
        </w:rPr>
      </w:pPr>
    </w:p>
    <w:p>
      <w:pPr>
        <w:jc w:val="both"/>
        <w:ind w:left="1080" w:hanging="360"/>
        <w:spacing w:after="0" w:line="249"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and its implementing regulations, which created federal criminal laws that prohibit executing a scheme to defraud any healthcare benefit program or making false statements relating to healthcare matters and which also imposes certain regulatory and contractual requirements regarding the privacy, security and transmission of individually identifiable health information.</w:t>
      </w:r>
    </w:p>
    <w:p>
      <w:pPr>
        <w:spacing w:after="0" w:line="19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Certain of these laws have exceptions and “safe harbors” which if met may protect certain arrangements from liability. For example, certain financial payments that might otherwise implicate the Federal Anti-Kickback Statute will be permitted under the state if they are structured to comply with one of various statutory exceptions or regulatory safe harbors established by the Office of Inspector General of the U.S. Department of Health and Human Services. These safe harbors include, for example, the “Discount” safe harbor which allows manufacturers of goods covered by federal payor programs to provide discounts to their customers in the form of rebates, volume discounts and the like as long as those discounts meet the express requirements of the safe harbor. Other safe harbors under the Anti-Kickback Statute may also apply to consulting, teaching and other personal service arrangements we may have with physicians and marketing personnel. These safe harbors are technical in nature and failure to meet any element of a safe harbor will cause an arrangement to lose safe harbor protection. In addition, there may not be safe harbors or exceptions for every potential financial arrangement we may enter into and, and even if there are, no assurances can be given that any of our arrangements or relationships will meet an otherwise applicable safe harbor.</w:t>
      </w:r>
    </w:p>
    <w:p>
      <w:pPr>
        <w:spacing w:after="0" w:line="20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Because of the breadth of these laws and the narrowness of the statutory exceptions and safe harbors available under such laws, it is possible that some of our business activities, including our relationships with customers, marketing personnel, physicians and other healthcare providers, some of whom have or may have ownership interests in the Company and recommend and/or use our products, could be subject to challenge under one or more of such laws. We are also exposed to the risk that our employees, independent contractors, principal investigators, consultants, vendors, and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9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state and federal healthcare regulations are constantly evolving. Existing laws and regulations are subject to new and sometimes more restrictive interpretations on a regular basis so that arrangements we believe to be legally compliant could be deemed to be non-compliant under new interpretations. Similarly, new federal and state health care laws and regulations are being adopted on a regular basis. While we endeavor to identify and comply with these new laws and regulations, it is possible that we may be unaware of new legal requirements or interpretations which could result in our violation of these laws and/or regulations.</w:t>
      </w:r>
    </w:p>
    <w:p>
      <w:pPr>
        <w:spacing w:after="0" w:line="20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9"/>
          <w:szCs w:val="19"/>
          <w:color w:val="auto"/>
        </w:rPr>
        <w:t>There is also an increasing trend toward more criminal prosecutions and compliance enforcement activities for noncompliance with the HIPAA and state data privacy laws as well as for data breaches involving protected health information (“PHI”). In the ordinary course of our business, we may receive PHI. If we are unable to comply with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20" w:right="1440" w:bottom="175" w:gutter="0" w:footer="0" w:header="0"/>
          <w:type w:val="continuous"/>
        </w:sectPr>
      </w:pPr>
    </w:p>
    <w:bookmarkStart w:id="41" w:name="page42"/>
    <w:bookmarkEnd w:id="41"/>
    <w:p>
      <w:pPr>
        <w:jc w:val="both"/>
        <w:spacing w:after="0" w:line="278" w:lineRule="auto"/>
        <w:rPr>
          <w:sz w:val="20"/>
          <w:szCs w:val="20"/>
          <w:color w:val="auto"/>
        </w:rPr>
      </w:pPr>
      <w:r>
        <w:rPr>
          <w:rFonts w:ascii="Times New Roman" w:cs="Times New Roman" w:eastAsia="Times New Roman" w:hAnsi="Times New Roman"/>
          <w:sz w:val="20"/>
          <w:szCs w:val="20"/>
          <w:color w:val="auto"/>
        </w:rPr>
        <w:t>HIPAA or experience a data breach involving PHI, we could be subject to criminal and civil sanctions and incur substantial investigation, defense and remediation costs.</w:t>
      </w:r>
    </w:p>
    <w:p>
      <w:pPr>
        <w:spacing w:after="0" w:line="16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If our operations are found to violate any of the laws described above or any other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materially adversely affect our business, results of operations and financial condition. Any action against us for violation of these laws, even if we successfully defend against it, could cause us to incur significant legal expenses and divert our management’s attention from the operation of our business.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Modifications to our products may require new regulatory clearances, authorizations, or approvals, and if we market modified products without obtaining necessary clearances, authorizations, approvals or certifications, we may be required to recall or cease marketing our products until clearances, authorizations, or approvals are obtained.</w:t>
      </w:r>
    </w:p>
    <w:p>
      <w:pPr>
        <w:spacing w:after="0" w:line="193" w:lineRule="exact"/>
        <w:rPr>
          <w:sz w:val="20"/>
          <w:szCs w:val="20"/>
          <w:color w:val="auto"/>
        </w:rPr>
      </w:pPr>
    </w:p>
    <w:p>
      <w:pPr>
        <w:jc w:val="both"/>
        <w:ind w:firstLine="721"/>
        <w:spacing w:after="0" w:line="255" w:lineRule="auto"/>
        <w:rPr>
          <w:sz w:val="20"/>
          <w:szCs w:val="20"/>
          <w:color w:val="auto"/>
        </w:rPr>
      </w:pPr>
      <w:r>
        <w:rPr>
          <w:rFonts w:ascii="Times New Roman" w:cs="Times New Roman" w:eastAsia="Times New Roman" w:hAnsi="Times New Roman"/>
          <w:sz w:val="19"/>
          <w:szCs w:val="19"/>
          <w:color w:val="auto"/>
        </w:rPr>
        <w:t>Any modification to a 510(k)-cleared device that could significantly affect its safety or effectiveness, including significant changes to a device’s design, materials, chemical composition, energy source, or manufacturing process, or that would constitute a major change in its intended use, may require a new 510(k) clearance, a de novo authorization, or possibly a PMA. Similarly, certain modifications to a PMA -approved device may require approval of a new PMA or a PMA supplement, or alternatively a notification or other submission to the FDA. We may make modifications to our cleared devices in the future that we believe do not require further clearance, authorization, or approval. Modifications to our products that were implemented without obtaining clearance, authorization or approval and for which FDA subsequently concludes that clearance, authorization or approval was required, may require us to recall or cease marketing the modified devices until clearance, authorization or approval is obtained, and we may be subject to significant regulatory fines or penalties. The FDA requires device manufacturers to initially make and document a determination of whether or not a modification requires a new approval, supplement, authorization, or clearance. To do that, a manufacturer must determine if a change/modification to labeling of the device is a “major” change to the intended use statement (previously cleared by the FDA) or if a physical change/modification to the device itself “could significantly affect safety or effectiveness.” If the labeling change is major and/or the physical change significantly affects safety and effectiveness, the manufacturer must file for an additional 510(k) clearance, de novo classification, or PMA for those changes before the modified device can be lawfully marketed. If the Company concludes in its own self-determination that the changes do not meet either of the thresholds of “major “or “significantly affects,” it may simply document those changes by way of an internal letter-to-file as part of the manufacturer’s quality system recording keeping. However, the FDA can review a manufacturer’s decision and may disagree. The FDA will normally review a decision made by a manufacturer in a letter-to-file during a routine plant inspection, which FDA targets to conduct every two years for high-risk (Class III) device manufacturers and less frequently for low and moderate risk (Class I and II) device manufacturers. In such a review the FDA may determine that a new clearance, authorization or approval was required before the device was put into commercial distribution.</w:t>
      </w:r>
    </w:p>
    <w:p>
      <w:pPr>
        <w:spacing w:after="0" w:line="192"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We have made modifications to our products in the past that we concluded did not require a new clearance, authorization or approval, and we may make additional modifications in the future that we believe do not or will not require additional clearances, authorizations or approvals. No assurance can be given that the FDA would agree with any of our decisions not to seek 510(k) clearance, de novo authorizations, or PMA approval. The issue of whether a product modification requires clearance, authorization or approval, as opposed to a “letter-to-file” documenting the change, is not always clear and companies rely on FDA guidance to assist in making such decisions.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If the FDA requires us to cease marketing and recall a modified device until we obtain a new 510(k) clearance, de novo authorization, or PMA, our business, financial condition, operating results and future growth prospects could be materially and adversely affected. Further, our products could be subject to recall if the FDA determines, for any reason, that our products are not safe or effective. Any recall or FDA requirement that we seek additional approvals, authorizations or clearances could result in significant delays, fines, increased costs associated with modification of a product, loss of revenue and potential operating restrictions imposed by the FDA. Obtaining clearances, authorizations and approvals can be a time-consuming process, and delays in obtaining required future clearances, authorizations or approvals would adversely affect our ability to introduce new or enhanced products in a timely manner, which in turn would harm our future growth.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type w:val="continuous"/>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our medical device products are cleared, authorized or approved by regulatory authorities, 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93"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Any product that we market will be subject to continued regulatory review, oversight and periodic inspections by the FDA and other domestic and foreign regulatory bodies. Such oversight will cover, among other things, the product’s design and manufacturing processes, our quality system and compliance with reporting requirements, our compliance with post-approval clinical data requirements, and our promotional activities related to our products.</w:t>
      </w:r>
    </w:p>
    <w:p>
      <w:pPr>
        <w:spacing w:after="0" w:line="17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Even if regulatory clearance, authorization or approval of a product is granted, such clearance, authorization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20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we may be required to conduct costly post-market testing and surveillance to monitor the safety or effectiveness of our products. For example, we must submit periodic reports to the FDA as a condition of PMA. These reports include safety and effectiveness information about the device after its approval. Failure to submit such reports, or failure to submit the reports in a timely manner, could result in enforcement action by the FDA. Following its review of the periodic reports, the FDA might ask for additional information or initiate further investigation. Similar requirements may apply in foreign jurisdictions where we market our products.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Later discovery of previously unknown problems with our products, including unanticipated adverse events or adverse events of unanticipated severity or frequency, manufacturing problems, or failure to comply with regulatory requirements such as QMSR, may result in, among other things, changes to labeling, restrictions on such products or manufacturing processes, product corrections, removal of the products from the market, voluntary or mandatory recalls, a requirement to repair, replace or refund the cost of any medical device we manufacture or distribute, fines, withdrawal of regulatory clearance, authorization or approvals, delays in or refusals of new 510(k)s, de novo requests or PMA applications, untitled letters, warning letters, refusal to grant export certificates for our products, product seizures, injunctions or the imposition of civil or criminal penalties which would adversely affect our business, operating results and prospects. Our inability to maintain required regulatory clearances, or our inability to comply with regulatory requirements, could harm our business and operating results.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use, misuse or off-label use of our products may harm our image in the marketplace or result in injuries that lead to product liability suits, which could be costly to our business or result in FDA sanctions if we are deemed to have engaged in improper promotion of our products.</w:t>
      </w:r>
    </w:p>
    <w:p>
      <w:pPr>
        <w:spacing w:after="0" w:line="18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Our devices currently marketed in the United States have been cleared through the FDA’s 510(k) process for use under specific circumstances. Our promotional materials and training methods must comply with FDA and other applicable laws and regulations, including the prohibition on the promotion of a medical device for a use that has not been cleared, authorized or approved by the FDA. We believe that the specific surgical procedures for which our devices are marketed fall within the general intended use of the surgical applications that have been cleared by the FDA. However, the FDA could disagree and require us to stop promoting our products for those specific indications/procedures until we obtain FDA clearance, authorization or approval for them. Use of a device outside of its cleared, authorized or approved indication is known as “off -label” use. We cannot prevent a surgeon from using our products for off-label use, as the FDA does not restrict or regulate a physician’s choice of treatment within the practice of medicine. However, if the FDA determines that our promotional activities, reimbursement advice or training of sales representatives or physicians constitute promotion of an off-label use, the FDA could request that we modify our training or promotional or reimbursement materials or subject us to regulatory or enforcement actions, including, among other things, the issuance of an untitled letter, a warning letter, injunction, seizure, disgorgement of profits, a civil fines and criminal penalties. Other federal, state or foreign governmental authorities also might take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0" w:right="1440" w:bottom="175" w:gutter="0" w:footer="0" w:header="0"/>
          <w:type w:val="continuous"/>
        </w:sectPr>
      </w:pPr>
    </w:p>
    <w:bookmarkStart w:id="43" w:name="page44"/>
    <w:bookmarkEnd w:id="43"/>
    <w:p>
      <w:pPr>
        <w:jc w:val="both"/>
        <w:ind w:right="20"/>
        <w:spacing w:after="0" w:line="260" w:lineRule="auto"/>
        <w:rPr>
          <w:sz w:val="20"/>
          <w:szCs w:val="20"/>
          <w:color w:val="auto"/>
        </w:rPr>
      </w:pPr>
      <w:r>
        <w:rPr>
          <w:rFonts w:ascii="Times New Roman" w:cs="Times New Roman" w:eastAsia="Times New Roman" w:hAnsi="Times New Roman"/>
          <w:sz w:val="19"/>
          <w:szCs w:val="19"/>
          <w:color w:val="auto"/>
        </w:rPr>
        <w:t>action if they consider our promotion or training materials to constitute promotion of an uncleared or unapproved use, which could result in significant fines or penalties under other statutory authorities, such as laws prohibiting false claims for reimbursement. For example, the government may take the position that off-label promotion resulted in inappropriate reimbursement for off- label use in violation of the Federal False Claims Act for which it might impose a civil fine and even pursue criminal action. In those possible events, our reputation could be damaged, and adoption of the products would be impaired. Although we train our sales force not to promote our products for off-label uses, and our instructions for use in all markets specify that our products are not intended for use outside of those indications cleared for use, the FDA or another regulatory agency could conclude that we have engaged in off-label promotion.</w:t>
      </w:r>
    </w:p>
    <w:p>
      <w:pPr>
        <w:spacing w:after="0" w:line="18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There may be increased risk of injury and product liability if surgeons attempt to use our products off-label, misuse our products or do not follow recommended user techniques and guidelines. Product liability claims are expensive to defend and could divert our management’s attention and result in substantial damage awards against us. Furthermore, the use of our products for indications other than those indications for which our products have been cleared by the FDA may not effectively treat such conditions, which could harm our reputation in the marketplace among surgeons and patients. Any of these events could harm our business and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regulatory reforms may adversely affect our business and our ability to sell our products.</w:t>
      </w:r>
    </w:p>
    <w:p>
      <w:pPr>
        <w:spacing w:after="0" w:line="23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19"/>
          <w:szCs w:val="19"/>
          <w:color w:val="auto"/>
        </w:rPr>
        <w:t>From time to time, legislation is introduced in Congress that could significantly change the statutory framework governing the regulatory approval, manufacture, marketing, or reimbursement of regulated products. In addition, FDA regulations and guidance are frequently revised, updated, or reinterpreted in ways that may materially affect our business and our products. For example, in February 2024, the FDA issued a final rule replacing the QSR with the QMSR, which incorporates by reference the requirements of ISO 13485:2016. The FDA has stated that ISO 13485:2016 is substantially similar to the existing QSR, and the final rule took effect in February 2026. Although we currently expect to be able to comply with the QMSR, implementation may result in additional costs, operational changes, or regulatory risk, and the FDA may issue further guidance or interpretations prior to or following the effective date. In addition, following the U.S. Supreme Court’s June 2024 decision overturning the Chevron doctrine, which had provided deference to federal agencies’ interpretations of statutes and regulations, there is increased uncertainty regarding how courts will interpret existing and future FDA regulations. As a result, FDA rules, guidance, and longstanding regulatory positions may be subject to increased legal challenges, and it is unclear how lower courts will apply the decision in the context of complex regulatory schemes. Such challenges could undermine regulatory certainty, disrupt FDA operations, or delay or complicate the approval, clearance, manufacture, or commercialization of our products. Any new legislation, regulations, guidance, or reinterpretations, or increased litigation challenging FDA authority, could impose additional costs, lengthen review times, or otherwise adversely affect our business. We cannot predict whether such changes will occur or the extent of their potential impact.</w:t>
      </w:r>
    </w:p>
    <w:p>
      <w:pPr>
        <w:spacing w:after="0" w:line="18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revenues depend upon prompt and adequate coverage and reimbursement from public and private insurers and national health systems.</w:t>
      </w:r>
    </w:p>
    <w:p>
      <w:pPr>
        <w:spacing w:after="0" w:line="16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19"/>
          <w:szCs w:val="19"/>
          <w:color w:val="auto"/>
        </w:rPr>
        <w:t>The ability of healthcare providers to purchase our products depends in part on the extent to which reimbursement of the costs of such materials and related treatments is and will continue to be available from governmental health administration authorities, private health coverage insurers and other organizations. In the United States, healthcare providers who purchase our products generally rely on these third-party payors to pay for all or a portion of the cost of our products as a component of a single bundled payment amount for the procedures in which the products are used. Because there is often no separate third-party payor reimbursement to the provider for our products, the additional cost associated with purchasing our products can impact the provider’s profit margin for delivering the treatment that includes are product as a component. If third-party payor reimbursement to providers for procedures involving our products is eliminated or reduced, some of our target customers may be unwilling to purchase our products and may choose to instead purchase less expensive alternatives from our competitors. In addition, third-party payors for hospital services and hospital outpatient services, including Medicare, Medicaid and private healthcare insurers, typically revise their coverage and payment policies, methodologies and amounts on an annual basis, which can result in noncoverage, stricter standards for reimbursement of hospital charges for certain medical procedures or the elimination of or reduction in reimbursement. Further, Medicare, Medicaid and private healthcare insurer cutbacks could create downward price pressure on our products. Healthcare reform legislation at the federal and state levels could result in changes in coverage of and reimbursement for our products. Finally, our revenues also</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80"/>
          </w:cols>
          <w:pgMar w:left="1440" w:top="1420" w:right="1420" w:bottom="175" w:gutter="0" w:footer="0" w:header="0"/>
          <w:type w:val="continuous"/>
        </w:sectPr>
      </w:pPr>
    </w:p>
    <w:bookmarkStart w:id="44" w:name="page45"/>
    <w:bookmarkEnd w:id="44"/>
    <w:p>
      <w:pPr>
        <w:jc w:val="both"/>
        <w:spacing w:after="0" w:line="278" w:lineRule="auto"/>
        <w:rPr>
          <w:sz w:val="20"/>
          <w:szCs w:val="20"/>
          <w:color w:val="auto"/>
        </w:rPr>
      </w:pPr>
      <w:r>
        <w:rPr>
          <w:rFonts w:ascii="Times New Roman" w:cs="Times New Roman" w:eastAsia="Times New Roman" w:hAnsi="Times New Roman"/>
          <w:sz w:val="20"/>
          <w:szCs w:val="20"/>
          <w:color w:val="auto"/>
        </w:rPr>
        <w:t>depend upon timely reimbursement data input from our independent agents. All of these factors could adversely affect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Human Capital Management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staffing and are dependent upon key employees.</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success is dependent upon the efforts of a relatively small management team and staff. We have experienced a high level of employee turnover in past years, including members of our management team, and have effected reductions in force at times, thereby increasing our dependence upon our remaining employees. While we have employment arrangements in place with our executive and other officers, none of these executive and other officers are bound legally to remain employed with Xtant for any specific term. We do not have key person life insurance policies covering our executive and other officers or any of our other employees. If key individuals were to leave Xtant, our business could be affected adversely if suitable replacement personnel are not recruited quickly.</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upon a sufficient number of qualified workers, and competition for such talent is intense, especially around Belgrade, Montana. If we cannot attract and retain qualified personnel or if we must increase substantially our labor costs to attract and retain qualified personnel, the growth and success of our business, as well as our operating results and financial condition, may be adversely affected.</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population around Belgrade, Montana, where our headquarters and production facilities are located, is small, and as a result, there is a limited number of qualified personnel available in all functional areas, which has made it difficult for us to attract and retain the qualified personnel necessary for the development, operation and growth of our business. We have been further impacted by labor shortages. Additionally, the rising cost of living in Belgrade, Montana and surrounding areas has caused some members of the labor force to leave these areas in search of more affordable living arrangements, which has worsened our local labor shortage. Our ability to maintain our productivity at competitive levels and increase production in the future may be limited by our ability to employ, train and retain personnel necessary to meet our requirements. Companies in our industry, including us, are dependent upon an available labor pool of qualified employees. We compete for qualified personnel with other companies, academic institutions, governmental entities, and other organizations. A shortage in the labor pool of workers, which we believe currently exists in Belgrade, Montana, and which has worsened in the past years, has made it more difficult for us to attract and retain qualified personnel. We cannot be certain that we will be able to maintain an adequate qualified labor force necessary to operate efficiently and to support our growth strategy and operations. The tight labor market in the Belgrade, Montana, area has resulted in us operating at less than full capacity at times and required us to enhance our wages and benefit packages to attract a sufficient number of workers, and it is possible that these increased labor costs may not be effective in recruiting and retaining a sufficient number of qualified personnel. There can be no assurance that we will be successful in retaining our current personnel or in hiring or retaining a sufficient number of qualified personnel in the future. If we cannot attract and retain qualified personnel or if we must increase substantially our labor costs to attract and retain qualified personnel, the growth and success of our business, as well as our operating results and financial condition, will be adversely affected.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lose any future intellectual property lawsuits, a court could require us to pay significant damages or prevent us from selling our products.</w:t>
      </w:r>
    </w:p>
    <w:p>
      <w:pPr>
        <w:spacing w:after="0" w:line="16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The medical device industry is litigious with respect to patents and other intellectual property rights. Companies in the medical device industry have used intellectual property litigation to gain a competitive advantage. Legal proceedings, regardless of the outcome, could drain our financial resources and divert the time and effort of our management. If we lose this litigation or any other similar legal proceedings of which we may become subject, a court could require us to pay significant damages to third parties, indemnify third parties from loss, require us to seek licenses from third parties, pay ongoing royalties, redesign our products, or prevent us from manufacturing, using, selling, offering for sale, or importing our products. While we do not believe that any of our products infringe any valid claims of patents or other proprietary rights held by others, we have been subject to patent infringement claims in the past. There can be no assurances that we do not infringe any patents or other proprietary rights. In addition to being costly, protracted litigation to defend or prosecute our intellectual property rights could result in our customers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0" w:right="1440" w:bottom="175" w:gutter="0" w:footer="0" w:header="0"/>
          <w:type w:val="continuous"/>
        </w:sectPr>
      </w:pPr>
    </w:p>
    <w:bookmarkStart w:id="45" w:name="page46"/>
    <w:bookmarkEnd w:id="45"/>
    <w:p>
      <w:pPr>
        <w:jc w:val="both"/>
        <w:spacing w:after="0" w:line="278" w:lineRule="auto"/>
        <w:rPr>
          <w:sz w:val="20"/>
          <w:szCs w:val="20"/>
          <w:color w:val="auto"/>
        </w:rPr>
      </w:pPr>
      <w:r>
        <w:rPr>
          <w:rFonts w:ascii="Times New Roman" w:cs="Times New Roman" w:eastAsia="Times New Roman" w:hAnsi="Times New Roman"/>
          <w:sz w:val="20"/>
          <w:szCs w:val="20"/>
          <w:color w:val="auto"/>
        </w:rPr>
        <w:t>or potential customers deferring or limiting their purchase or use of the affected products until resolution of the litigation.</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patents and other intellectual property rights do not adequately protect our products, we may lose market share to our competitors and be unable to operate our business profitably.</w:t>
      </w:r>
    </w:p>
    <w:p>
      <w:pPr>
        <w:spacing w:after="0" w:line="167"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rely on patents, trade secrets, copyrights, know-how, trademarks, license agreements, and contractual provisions to establish our intellectual property rights and protect our products. These legal means, however, afford only limited protection and may not completely protect our rights. For example, competitors may be able to design around some of our intellectual property rights to develop competing but non-infringing technologies. In addition, we cannot be assured that any of our pending patent applications will issue. The U.S. Patent and Trademark Office (or an applicable foreign intellectual property office) may deny or require a significant narrowing of the claims in its pending patent applications and the patents issuing from such applications. Any patents issuing from pending patent applications may not provide us with significant commercial protection or sufficient commercial protection to prevent competitors from utilizing similar but non-infringing technologies. We could incur substantial costs in proceedings before the U.S. Patent and Trademark Office. These proceedings could result in adverse decisions as to the priority of our inventions and the narrowing or invalidation of claims in issued patents. In addition, the laws of some of the countries in which our products are or may be sold may not protect our intellectual property to the same extent as U.S. laws or at all. We also may be unable to protect our rights in trade secrets and unpatented proprietary technology in these countries. Additionally, patents and certain other intellectual property rights are not perpetual, and third parties will be able to utilize the subject rights upon expiration.</w:t>
      </w:r>
    </w:p>
    <w:p>
      <w:pPr>
        <w:spacing w:after="0" w:line="21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we hold licenses from third parties that are necessary to utilize certain technologies used in the design and manufacturing of some of our products. The loss of such licenses could prevent us from manufacturing, marketing, and selling these products, which could harm our business. If we, or the other parties from whom we would license intellectual property, fail to obtain and maintain adequate patent or other intellectual property protection for intellectual property used in our products, or if any protection is reduced or eliminated, others could use the intellectual property used in our products, resulting in harm to our competitive business position.</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seek to protect our trade secrets, know-how, and other unpatented proprietary technology, in part, with confidentiality agreements with our employees, independent distributors, and consultants. We cannot be assured, however, that the agreements will not be breached, adequate remedies for any breach would be available, or our trade secrets, know-how, and other unpatented proprietary technology will not otherwise become known to or independently developed by our competitors.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obtain or protect our proprietary rights relating to our products without resorting to costly and time-consuming litigation.</w:t>
      </w:r>
    </w:p>
    <w:p>
      <w:pPr>
        <w:spacing w:after="0" w:line="16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We may not be able to obtain, maintain and protect certain proprietary rights necessary for the development and commercialization of our products or product candidates. Our commercial success will depend in part on obtaining and maintaining patent protection on our products, successfully asserting these patents against competitors employing infringing technology, and successfully defending these patents against third-party challenges. Even if our patents cover a competing technology, a competitor may not accede to our demands to cease and desist or license our patent rights, which will then require us to pursue costly and time-consuming litigation. Even if we were successful in any such litigation, a court may not issue an injunction, or the infringing competitor may alter its technology to no longer infringe. Our ability to commercialize our products will also depend in part on the patent positions of third parties, including those of our competitors. The patent positions of medical device and biotechnology companies can be highly uncertain and involve complex legal and factual questions. Accordingly, we cannot predict with certainty the scope and breadth of patent claims that may be afforded to other companies’ patents. We could incur substantial costs in litigation if we are required to defend against patent suits brought by third parties, or if we initiate suits to protect our patent rights. Such suits that we may need to defend extend beyond suits by our competitors and may include patent assertion entities, which acquire and assert patents as a means to generate income, due to the expensive nature of patent litigation. In the ordinary course of litigation, attorney fees are not recoverable.</w:t>
      </w:r>
    </w:p>
    <w:p>
      <w:pPr>
        <w:spacing w:after="0" w:line="195"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In addition to the risks involved with patent protection, we also face the risk that our competitors will infringe on our trademarks. Any infringement could lead to a likelihood of confusion and could result in lost sales. Similarly,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20" w:right="1440" w:bottom="175" w:gutter="0" w:footer="0" w:header="0"/>
          <w:type w:val="continuous"/>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20"/>
          <w:szCs w:val="20"/>
          <w:color w:val="auto"/>
        </w:rPr>
        <w:t>while we are cautious to avoid infringing the rights of third parties, we cannot control a third party asserting its trademarks against us. There can be no assurance that we will prevail in any claims we make to protect our intellectual property, or in defense of any claims brought against us.</w:t>
      </w:r>
    </w:p>
    <w:p>
      <w:pPr>
        <w:spacing w:after="0" w:line="18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Future protection for our proprietary rights is uncertain which may impact our ability to successfully compete in our industry. The degree of future protection for our proprietary rights is uncertain. We cannot ensure that:</w:t>
      </w:r>
    </w:p>
    <w:p>
      <w:pPr>
        <w:spacing w:after="0" w:line="159" w:lineRule="exact"/>
        <w:rPr>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were the first to make the inventions covered by each of our patent applications;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were the first to file patent applications for these inventions;</w:t>
      </w:r>
    </w:p>
    <w:p>
      <w:pPr>
        <w:spacing w:after="0" w:line="13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others will not independently develop similar or alternative technologies or duplicate any of our technologies;</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pending patent applications will result in issued patents;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issued patents or those of our licensors will be valid and enforceable;</w:t>
      </w:r>
    </w:p>
    <w:p>
      <w:pPr>
        <w:spacing w:after="0" w:line="133"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any patents issued to us or our collaborators will provide a basis for commercially viable products or will provide us with any competitive advantages or will not be challenged by third parties;</w:t>
      </w:r>
    </w:p>
    <w:p>
      <w:pPr>
        <w:spacing w:after="0" w:line="62"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patent or other intellectual property rights in the U.S. and the technologies embodied therein will provide or be subject to similar or any protection in foreign markets;</w:t>
      </w:r>
    </w:p>
    <w:p>
      <w:pPr>
        <w:spacing w:after="0" w:line="62" w:lineRule="exact"/>
        <w:rPr>
          <w:rFonts w:ascii="Arial" w:cs="Arial" w:eastAsia="Arial" w:hAnsi="Arial"/>
          <w:sz w:val="20"/>
          <w:szCs w:val="20"/>
          <w:color w:val="auto"/>
        </w:rPr>
      </w:pPr>
    </w:p>
    <w:p>
      <w:pPr>
        <w:ind w:left="1080" w:hanging="361"/>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will develop additional proprietary technologies that are patentable;</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will not have a material adverse effect on our business rights; or</w:t>
      </w:r>
    </w:p>
    <w:p>
      <w:pPr>
        <w:spacing w:after="0" w:line="132" w:lineRule="exact"/>
        <w:rPr>
          <w:rFonts w:ascii="Arial" w:cs="Arial" w:eastAsia="Arial" w:hAnsi="Arial"/>
          <w:sz w:val="20"/>
          <w:szCs w:val="20"/>
          <w:color w:val="auto"/>
        </w:rPr>
      </w:pPr>
    </w:p>
    <w:p>
      <w:pPr>
        <w:jc w:val="both"/>
        <w:ind w:left="1080" w:hanging="361"/>
        <w:spacing w:after="0" w:line="259"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measures we rely on to protect the intellectual property underlying our products will be adequate to prevent third parties from using our technology, all of which could harm our ability to compete in the market.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Cybersecurity and Data Protection</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various information technology (“IT”) systems, and failures of, interruptions to, or unauthorized tampering with those systems could have a material adverse effect on our business.</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rely extensively on IT systems to operate our business, including for materials procurement, manufacturing, invoicing and shipping, transaction processing, financial reporting, regulatory compliance, and data security. If these systems are damaged or fail to function properly due to events such as natural disasters, power outages, system failures, or cybersecurity incidents, and our business continuity plans do not effectively mitigate such events on a timely basis, our operations could be disrupted. Cybersecurity threats have become increasingly prevalent and sophisticated and pose risks to the security of our systems and networks, as well as those of our customers, suppliers, independent sales agents, distributors, and third-party service providers, and to the confidentiality, availability, and integrity of the data they contain. Our remote work arrangements, and those of our third-party service providers, may further increase the risk of phishing, malware, and other cybersecurity attacks. We maintain programs, processes, and technologies designed to prevent, detect, respond to, and mitigate cybersecurity incidents; however, the techniques used to gain unauthorized access continue to evolve and may be difficult to anticipate, identify, or prevent, particularly where protection depends in part on human behavior. While we have experienced cybersecurity incidents in the past that have not been material to date, no assurance can be given that future incidents will not occur or have a material impact.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Maintaining, protecting, and enhancing our IT systems requires significant ongoing investment, and we outsource certain IT functions to third parties that may have access to confidential information and whose systems may also be vulnerable to disruptions or security breaches. The failure of our systems or those of third parties to operate or integrate effectively, or any actual or perceived breach, intrusion, or unauthorized access, could harm our reputation and competitiveness, disrupt operations, delay product fulfillment, reduce efficiency, and require significant remediation costs, any of which could adversely affect our business, operating results, and financial condition. Although we maintain cyber liability insurance, such coverage may not be sufficient to cover all financial, legal, business, or reputational losses resulting from a systems interruption or cybersecurity incident.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type w:val="continuous"/>
        </w:sectPr>
      </w:pPr>
    </w:p>
    <w:bookmarkStart w:id="47" w:name="page48"/>
    <w:bookmarkEnd w:id="47"/>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currently use limited agentic and generative artificial intelligence (“AI”) solutions for certain sales, back office, administrative and other functions. We may incorporate additional AI solutions into our IT systems in the future and these solutions may become important in our operations over time. The ever-increasing use and evolution of technology, including cloud-based computing and AI, creates opportunities for the potential loss or misuse of personal data that we use to run our business, and unintentional dissemination or intentional destruction of confidential information stored in our or our third party providers' systems, portable media or storage devices, which may result in significantly increased business and security costs, a damaged reputation, administrative penalties, or costs related to defending legal claims. AI programs may be costly and require significant expertise to develop, may be difficult to set up and manage, and require periodic upgrades. Our competitors or other third parties may incorporate AI into their IT systems and operations more quickly or more successfully than we do, which could impair our ability to compete effectively and adversely affect our operating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Outstanding Indebtedness, Need for Additional Financing and Financial Condition</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significant indebtedness under our Credit Agreements, which contain certain affirmative and restrictive covenants, with which we have had difficulty complying at times. If we are unable to comply with such covenants or generate enough cash flow from our operations to service our indebtedness, our business, operating results, and financial condition, would be materially and negatively impacted.</w:t>
      </w:r>
    </w:p>
    <w:p>
      <w:pPr>
        <w:spacing w:after="0" w:line="191"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As of December 31, 2025, we had $14.0 million of principal outstanding under our term loan and revolving credit agreements (“Term Loan Credit Agreement” and “Revolving Credit Agreement,” respectively, and collectively, our “Credit Agreements”) with MidCap Financial Trust and MidCap Funding IV Trust (collectively, “MidCap”), of which $2.8 million has since been repaid using the proceeds from our recent divestitures of certain assets related to our Coflex/CoFix products and international hardware business. These Credit Agreements contain certain affirmative and restrictive covenants, including in particular a $5.0 million minimum liquidity covenant and minimum net product revenue covenant. Under a recent amendment to the Credit Agreements, we must maintain minimum net revenue from our orthobiologics products for the twelve months ending at the end of each quarter through the end of 2028. We have had difficulty complying with these covenants in the past. For example, as of December 31, 2025, our Credit Agreement included a minimum net revenue covenant, however, pursuant to the amendments executed in March 2026, we were not required to comply with the minimum net revenue covenant for the quarter ended December 31, 2025. Under the covenant terms in effect prior to this amendment, we would not have been in compliance with the minimum net revenue required for that quarter. A failure to comply with these covenants and provisions of our Credit Agreements may cause suspension or termination of the Credit Agreements and/or require the immediate repayment of our outstanding indebtedness. If we at any time are unable to meet these covenants or generate sufficient cash flows from operations to service our indebtedness when payment is due, we may be required to attempt to obtain a waiver of or renegotiate the terms of the Credit Agreements, seek to refinance all or a portion of the indebtedness, or obtain additional financing. There can be no assurance that we will be able to successfully obtain a waiver or renegotiate such terms, that any such refinancing would be possible, or that any additional financing could be obtained on terms that are favorable or acceptable to us; and as a result thereof, our creditors may accelerate our debt and seek to enforce remedies under the Credit Agreements.</w:t>
      </w:r>
    </w:p>
    <w:p>
      <w:pPr>
        <w:spacing w:after="0" w:line="22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If we do not generate sufficient cash flow from operations or if future borrowings are not available to us in an amount sufficient to fund or pay our indebtedness, when due, including in the event of a covenant breach and event of default, or to otherwise fund our liquidity needs, we may be forced to sell assets, reduce or delay capital expenditures, seek to raise additional capital, refinance all or a portion of our indebtedness on or before the maturity dates thereof, or take other similar actions. We may not be able to execute any of these actions on commercially reasonable terms or at all. Our ability to make payments on our indebtedness, and our ability to fund planned capital expenditures, contractual cash obligations, known and unknown liabilities, research and development efforts, working capital, any future acquisitions and business combinations, and other general corporate purposes depends on our ability to generate cash in the future. This, to a certain extent, is subject to general economic, financial, competitive, legislative, regulatory, and other factors, some of which are beyond our control.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firstLine="720"/>
        <w:spacing w:after="0" w:line="278" w:lineRule="auto"/>
        <w:rPr>
          <w:sz w:val="20"/>
          <w:szCs w:val="20"/>
          <w:color w:val="auto"/>
        </w:rPr>
      </w:pPr>
      <w:r>
        <w:rPr>
          <w:rFonts w:ascii="Times New Roman" w:cs="Times New Roman" w:eastAsia="Times New Roman" w:hAnsi="Times New Roman"/>
          <w:sz w:val="20"/>
          <w:szCs w:val="20"/>
          <w:color w:val="auto"/>
        </w:rPr>
        <w:t>Our significant indebtedness, combined with our other financial obligations and contractual commitments, could have other important consequences. For example, it could:</w:t>
      </w:r>
    </w:p>
    <w:p>
      <w:pPr>
        <w:spacing w:after="0" w:line="181" w:lineRule="exact"/>
        <w:rPr>
          <w:sz w:val="20"/>
          <w:szCs w:val="20"/>
          <w:color w:val="auto"/>
        </w:rPr>
      </w:pPr>
    </w:p>
    <w:p>
      <w:pPr>
        <w:ind w:left="1080" w:hanging="360"/>
        <w:spacing w:after="0" w:line="277" w:lineRule="auto"/>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make us more vulnerable to adverse changes in general U.S. and worldwide economic, industry, and competitive conditions and adverse changes in government regulation;</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limit our flexibility in planning for, or reacting to, changes in our business and our industry;</w:t>
      </w:r>
    </w:p>
    <w:p>
      <w:pPr>
        <w:spacing w:after="0" w:line="13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restrict our ability to make strategic acquisitions, business combinations or dispositions or to exploit business opportunities;</w:t>
      </w:r>
    </w:p>
    <w:p>
      <w:pPr>
        <w:spacing w:after="0" w:line="62"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place us at a competitive disadvantage compared to our competitors who have less debt; and</w:t>
      </w:r>
    </w:p>
    <w:p>
      <w:pPr>
        <w:spacing w:after="0" w:line="133"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limit our ability to borrow additional amounts or raise financing for working capital, capital expenditures, contractual obligations, research and development efforts, acquisitions or business combinations, debt service requirements, execution of our business strategy, or other purposes.</w:t>
      </w:r>
    </w:p>
    <w:p>
      <w:pPr>
        <w:spacing w:after="0" w:line="18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Any of these factors could materially and adversely affect our business, financial condition, and operating results. In addition, we may incur additional indebtedness, and if we do, the risks related to our business and our ability to service our indebtedness would increase.</w:t>
      </w:r>
    </w:p>
    <w:p>
      <w:pPr>
        <w:spacing w:after="0" w:line="18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Finally, the amounts outstanding under our Credit Agreements mature on March 1, 2029 or could become due earlier upon an event of default, including a covenant breach, under the Credit Agreements. Although we believe that we will be able to refinance or pay off our outstanding indebtedness or extend the maturity date of that facility at the appropriate time, no assurance can be provided that we will do so on terms that are favorable to us or at all. Our ability to refinance our indebtedness will depend on our financial condition at the time, the restrictions in the instruments governing our indebtedness, the consent of our lender, and other factors, including market conditions. Our inability to generate sufficient cash flow to satisfy our debt service obligations, or to refinance or restructure our obligations on commercially reasonable terms or at all, would likely have an adverse effect, which could be material, on our business, financial condition, and operating results.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terms of our Credit Agreements include a number of other significant financial and operating restrictions, with which we may be unable to comply and which may substantially limit our ability to conduct and invest in our business, take advantage of business opportunities, and respond to changing business, market, and economic conditions.</w:t>
      </w:r>
    </w:p>
    <w:p>
      <w:pPr>
        <w:spacing w:after="0" w:line="19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Credit Agreements include a number of significant financial and operating restrictions, in addition to the minimum liquidity threshold. For example, the Credit Agreements require us to maintain net product revenue at or above minimum levels and contain other provisions that restrict our ability, subject to specified exceptions, to, among other things:</w:t>
      </w:r>
    </w:p>
    <w:p>
      <w:pPr>
        <w:spacing w:after="0" w:line="209" w:lineRule="exact"/>
        <w:rPr>
          <w:sz w:val="20"/>
          <w:szCs w:val="20"/>
          <w:color w:val="auto"/>
        </w:rPr>
      </w:pPr>
    </w:p>
    <w:p>
      <w:pPr>
        <w:ind w:left="1080" w:hanging="360"/>
        <w:spacing w:after="0" w:line="277"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create, incur, assume, guarantee or otherwise become or remain directly or indirectly liable with respect to any debt, except for permitted debt;</w:t>
      </w:r>
    </w:p>
    <w:p>
      <w:pPr>
        <w:spacing w:after="0" w:line="6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create, assume, incur or suffer to exist any contingent obligations, except for permitted contingent obligations;</w:t>
      </w:r>
    </w:p>
    <w:p>
      <w:pPr>
        <w:spacing w:after="0" w:line="6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purchase, redeem, defease or prepay any principal of, premium, if any, interest or other amount payable in respect of any debt prior to its scheduled maturity;</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create, assume or suffer to exist any lien on our assets;</w:t>
      </w:r>
    </w:p>
    <w:p>
      <w:pPr>
        <w:spacing w:after="0" w:line="132" w:lineRule="exact"/>
        <w:rPr>
          <w:rFonts w:ascii="Arial" w:cs="Arial" w:eastAsia="Arial" w:hAnsi="Arial"/>
          <w:sz w:val="20"/>
          <w:szCs w:val="20"/>
          <w:color w:val="auto"/>
        </w:rPr>
      </w:pPr>
    </w:p>
    <w:p>
      <w:pPr>
        <w:ind w:left="1080" w:hanging="361"/>
        <w:spacing w:after="0"/>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declare, order, pay, make or set apart any sum for any distribution, except for permitted distributions;</w:t>
      </w:r>
    </w:p>
    <w:p>
      <w:pPr>
        <w:spacing w:after="0" w:line="133" w:lineRule="exact"/>
        <w:rPr>
          <w:rFonts w:ascii="Arial" w:cs="Arial" w:eastAsia="Arial" w:hAnsi="Arial"/>
          <w:sz w:val="20"/>
          <w:szCs w:val="20"/>
          <w:color w:val="auto"/>
        </w:rPr>
      </w:pPr>
    </w:p>
    <w:p>
      <w:pPr>
        <w:jc w:val="both"/>
        <w:ind w:left="1080" w:hanging="361"/>
        <w:spacing w:after="0" w:line="258"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or assume any agreement prohibiting the creation or assumption of any lien upon our properties or assets or create or otherwise cause or suffer to exist or become effective certain consensual encumbrances or restrictions of any kind;</w:t>
      </w:r>
    </w:p>
    <w:p>
      <w:pPr>
        <w:spacing w:after="0" w:line="81" w:lineRule="exact"/>
        <w:rPr>
          <w:rFonts w:ascii="Arial" w:cs="Arial" w:eastAsia="Arial" w:hAnsi="Arial"/>
          <w:sz w:val="20"/>
          <w:szCs w:val="20"/>
          <w:color w:val="auto"/>
        </w:rPr>
      </w:pPr>
    </w:p>
    <w:p>
      <w:pPr>
        <w:ind w:left="1080" w:hanging="361"/>
        <w:spacing w:after="0"/>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declare, pay, make or set aside any amount for payment in respect of subordinated debt;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20" w:right="1440" w:bottom="175" w:gutter="0" w:footer="0" w:header="0"/>
          <w:type w:val="continuous"/>
        </w:sectPr>
      </w:pPr>
    </w:p>
    <w:bookmarkStart w:id="49" w:name="page50"/>
    <w:bookmarkEnd w:id="49"/>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engage in mergers or consolidations;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acquire, make, own, hold or otherwise consummate any investment, other than permitted investments;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certain transactions with affiliates;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amend or otherwise modify any organizational documents; and</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make certain amendments or modifications to certain material contracts.</w:t>
      </w:r>
    </w:p>
    <w:p>
      <w:pPr>
        <w:spacing w:after="0" w:line="23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may be unable to comply with these covenants, which could result in a default under the Credit Agreements if we are unable to obtain a waiver at such time. In addition, these provisions may limit our ability to conduct and invest in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or business combinations, may be subject to the consent of the lenders, which consent may be withheld or granted subject to conditions specified at the time that may affect the attractiveness or viability of the transaction.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Agreements involve additional risks that may adversely affect our liquidity and financial condition.</w:t>
      </w:r>
    </w:p>
    <w:p>
      <w:pPr>
        <w:spacing w:after="0" w:line="24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Availability of funds under the Revolving Credit Agreement is determined based on a borrowing base equal to percentages of certain accounts receivable and inventory of the borrowers in advance with a formula set forth in the Revolving Credit Agreement. As a result, our access to credit under the Revolving Credit Agreement is subject to fluctuations to our accounts receivable and inventory. Our inability to borrow additional amounts under the Credit Agreements if and when we need them may adversely affect our liquidity and financial condition. In addition, our outstanding indebtedness under the Credit Agreements bears interest at variable rates, which subjects us to interest rate risk and could increase the cost of servicing our indebtedness.</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financing to satisfy our future liquidity requirements, which financing may not be available on favorable terms, or at all, at the time it is needed and which could reduce our operational and strategic flexibility.</w:t>
      </w:r>
    </w:p>
    <w:p>
      <w:pPr>
        <w:spacing w:after="0" w:line="18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Although it is difficult for us to predict our future liquidity requirements, we believe that our cash and cash equivalents and restricted cash balance of approximately $17.3 million as of December 31, 2025, together with the $10.7 million in cash we received on February 27, 2026 from Companion Spine in connection with the Divestitures, our anticipated operating cash flows, and amounts available under our Revolving Credit Agreement with MidCap, will be sufficient to meet our anticipated cash requirements through at least the end of March 2027. Although we currently have availability under our Revolving Credit Agreement, the availability of such funds is determined based on a borrowing base equal to percentages of certain of our accounts receivable and inventory in accordance with a formula set forth in the Revolving Credit Agreement. In addition, all borrowings under the Revolving Facility are subject to the satisfaction of customary conditions, including the absence of default, the accuracy of representations and warranties in all material respects, and the delivery of an updated borrowing base certificate. We may require or we may seek additional funds to fund our future operations and business strategy prior to March 2027. Accordingly, there is no assurance that we will not need or seek additional funding at any time. We may elect to raise additional funds even before we need them if market conditions for raising additional capital are favorable. We may seek to raise additional funds through various sources, such as equity and debt financings or additional debt restructurings or refinancings.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Any failure by us to raise additional funds on terms favorable to us, or at all, could result in our inability to pay our expenses as they come due, limit our ability to expand our business operations, and harm our overall business prospects. If adequate funds are not otherwise available, we could be required to curtail operations significantly, including reducing our sales and marketing expenses, which could negatively impact product sales, delaying new product initiatives, and we could even be required to cease operations, liquidate our assets and possibly seek bankruptcy protection.</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35" w:right="1440" w:bottom="175" w:gutter="0" w:footer="0" w:header="0"/>
          <w:type w:val="continuous"/>
        </w:sectPr>
      </w:pPr>
    </w:p>
    <w:bookmarkStart w:id="50" w:name="page51"/>
    <w:bookmarkEnd w:id="50"/>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To the extent we raise additional financing through the sale of equity or convertible debt securities or the restructuring or refinancing of our outstanding debt, the interests of our current stockholders may be diluted, and the terms may include discounted equity purchase prices, warrant coverage, or liquidation or other preferences that adversely affect the rights of our current stockholders. If we issue common stock, we may do so at purchase prices that represent a discount to our trading price and/or we may issue warrants to purchasers, which could dilute our current stockholders. If we issue preferred stock, it could affect the rights of our stockholders or reduce the value of our common stock. In particular, specific rights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must obtain the consent of MidCap, and no assurance can be provided that MidCap would provide such consent, which could limit our ability to raise additional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Nantahala owns a significant percentage of our common stock and is able to exert significant control over matters subject to stockholder approval, preventing other stockholders and new investors from influencing significant corporate decisions.</w:t>
      </w:r>
    </w:p>
    <w:p>
      <w:pPr>
        <w:spacing w:after="0" w:line="188"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Funds affiliated with Nantahala Capital Management, LLC collectively ownapproximately 48.8% of our outstanding common stock. Because of its significant stock ownership, Nantahala has the ability to exert substantial influence over our management and affairs and over substantially all matters requiring action by our stockholders, including amendments to our certificate of incorporation, bylaws, election and removal of directors, and approval of any significant corporate actions, including any merger, consolidation, or sale of all or substantially all of our assets. This may prevent or discourage unsolicited acquisition proposals or offers for our common stock. The interests of Nantahala may not be aligned with the interests of our other stockholders. For example, Nantahala may have an interest in pursuing a sale of our Company, acquisitions, divestitures and other transactions or not pursuing such transactions that, in its judgment, could provide Nantahala with liquidity or enhance or reduce its investment, even though such transactions might involve risks to us and our other stockholders. This concentration of voting control could deprive our other stockholders of an opportunity to receive a premium for their shares of our common stock as part of a sale of our Company and ultimately might affect the market price of our common stock. In addition, this significant concentration of stock ownership may adversely affect the trading price of our common stock due to investors’ perception that conflicts of interest may exist or arise.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Shares of our common stock are equity securities and are subordinate to our outstanding indebtedness.</w:t>
      </w:r>
    </w:p>
    <w:p>
      <w:pPr>
        <w:spacing w:after="0" w:line="239" w:lineRule="exact"/>
        <w:rPr>
          <w:sz w:val="20"/>
          <w:szCs w:val="20"/>
          <w:color w:val="auto"/>
        </w:rPr>
      </w:pPr>
    </w:p>
    <w:p>
      <w:pPr>
        <w:jc w:val="both"/>
        <w:ind w:right="20" w:firstLine="720"/>
        <w:spacing w:after="0" w:line="270" w:lineRule="auto"/>
        <w:rPr>
          <w:sz w:val="20"/>
          <w:szCs w:val="20"/>
          <w:color w:val="auto"/>
        </w:rPr>
      </w:pPr>
      <w:r>
        <w:rPr>
          <w:rFonts w:ascii="Times New Roman" w:cs="Times New Roman" w:eastAsia="Times New Roman" w:hAnsi="Times New Roman"/>
          <w:sz w:val="19"/>
          <w:szCs w:val="19"/>
          <w:color w:val="auto"/>
        </w:rPr>
        <w:t>Shares of our common stock are common equity interests. This means that our common stock will rank junior to any outstanding shares of our preferred stock that we may issue in the future or to the indebtedness under our Credit Agreements and any future indebtedness we may incur and to all creditor claims and other non-equity claims against us and our assets available to satisfy claims on us, including claims in a bankruptcy or similar proceeding.</w:t>
      </w:r>
    </w:p>
    <w:p>
      <w:pPr>
        <w:spacing w:after="0" w:line="17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is extremely volatile, which may affect our ability to raise capital in the future and may subject the value of the investment of our stockholders to sudden decreases.</w:t>
      </w:r>
    </w:p>
    <w:p>
      <w:pPr>
        <w:spacing w:after="0" w:line="167"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19"/>
          <w:szCs w:val="19"/>
          <w:color w:val="auto"/>
        </w:rPr>
        <w:t>The market price for securities of medical device and biotechnology companies, including ours, historically has been highly volatile, and the market from time to time has experienced significant price and volume fluctuations that are unrelated to the operating performance of such companies. The trading volume and prices of our common stock have been and may continue to be volatile and could fluctuate widely due to factors both within and beyond our control. During 2025, the sale price of our common stock ranged from $0.34 to $0.95 per share, and our daily trading volume ranged from four thousand to 6.9 million shares. Such volatility may be the result of broad market and industry factors. Future fluctuations in the trading price or liquidity of our common stock may harm the value of the investment</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80"/>
          </w:cols>
          <w:pgMar w:left="1440" w:top="1420" w:right="1420" w:bottom="175" w:gutter="0" w:footer="0" w:header="0"/>
          <w:type w:val="continuous"/>
        </w:sectPr>
      </w:pPr>
    </w:p>
    <w:bookmarkStart w:id="51" w:name="page52"/>
    <w:bookmarkEnd w:id="51"/>
    <w:p>
      <w:pPr>
        <w:spacing w:after="0" w:line="278" w:lineRule="auto"/>
        <w:rPr>
          <w:sz w:val="20"/>
          <w:szCs w:val="20"/>
          <w:color w:val="auto"/>
        </w:rPr>
      </w:pPr>
      <w:r>
        <w:rPr>
          <w:rFonts w:ascii="Times New Roman" w:cs="Times New Roman" w:eastAsia="Times New Roman" w:hAnsi="Times New Roman"/>
          <w:sz w:val="20"/>
          <w:szCs w:val="20"/>
          <w:color w:val="auto"/>
        </w:rPr>
        <w:t>of our stockholders in our common stock. Factors that may have a significant impact on the market price and marketability of our common stock include, among others:</w:t>
      </w:r>
    </w:p>
    <w:p>
      <w:pPr>
        <w:spacing w:after="0" w:line="181" w:lineRule="exact"/>
        <w:rPr>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observance of covenants under our Credit Agreements;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make principal, interest and other payments under our Credit Agreements;</w:t>
      </w:r>
    </w:p>
    <w:p>
      <w:pPr>
        <w:spacing w:after="0" w:line="13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of any potential future transaction(s) related to debt financing, debt restructuring or capital raising;</w:t>
      </w:r>
    </w:p>
    <w:p>
      <w:pPr>
        <w:spacing w:after="0" w:line="6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technological innovations or new commercial products by us or our present or potential competitors;</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 or other proprietary rights;</w:t>
      </w:r>
    </w:p>
    <w:p>
      <w:pPr>
        <w:spacing w:after="0" w:line="13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in our relationships with employees, suppliers, distributors, sales representatives and customers;</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acquisitions or divestitures;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and government proceedings;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adverse legislation, including changes in governmental regulation;</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reimbursement policies;</w:t>
      </w:r>
    </w:p>
    <w:p>
      <w:pPr>
        <w:spacing w:after="0" w:line="132"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33"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equity securities by our significant stockholders or management or sales of additional equity securities by our Company;</w:t>
      </w:r>
    </w:p>
    <w:p>
      <w:pPr>
        <w:spacing w:after="0" w:line="62" w:lineRule="exact"/>
        <w:rPr>
          <w:rFonts w:ascii="Arial" w:cs="Arial" w:eastAsia="Arial" w:hAnsi="Arial"/>
          <w:sz w:val="20"/>
          <w:szCs w:val="20"/>
          <w:color w:val="auto"/>
        </w:rPr>
      </w:pPr>
    </w:p>
    <w:p>
      <w:pPr>
        <w:ind w:left="1080" w:hanging="361"/>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securities analysts’ recommendations;</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short selling;</w:t>
      </w:r>
    </w:p>
    <w:p>
      <w:pPr>
        <w:spacing w:after="0" w:line="132" w:lineRule="exact"/>
        <w:rPr>
          <w:rFonts w:ascii="Arial" w:cs="Arial" w:eastAsia="Arial" w:hAnsi="Arial"/>
          <w:sz w:val="20"/>
          <w:szCs w:val="20"/>
          <w:color w:val="auto"/>
        </w:rPr>
      </w:pPr>
    </w:p>
    <w:p>
      <w:pPr>
        <w:ind w:left="1080" w:hanging="361"/>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health care policies and practices or reimbursement affecting our products or technologies;</w:t>
      </w:r>
    </w:p>
    <w:p>
      <w:pPr>
        <w:spacing w:after="0" w:line="133"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delisting of our common stock or halting or suspension of trading in our common stock by the NYSE American;</w:t>
      </w:r>
    </w:p>
    <w:p>
      <w:pPr>
        <w:spacing w:after="0" w:line="62"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economic, social and other external factors, such as epidemics or pandemics, supply chain disruptions, labor shortages and persistent inflation; and</w:t>
      </w:r>
    </w:p>
    <w:p>
      <w:pPr>
        <w:spacing w:after="0" w:line="63" w:lineRule="exact"/>
        <w:rPr>
          <w:rFonts w:ascii="Arial" w:cs="Arial" w:eastAsia="Arial" w:hAnsi="Arial"/>
          <w:sz w:val="20"/>
          <w:szCs w:val="20"/>
          <w:color w:val="auto"/>
        </w:rPr>
      </w:pPr>
    </w:p>
    <w:p>
      <w:pPr>
        <w:ind w:left="1080" w:hanging="361"/>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conditions.</w:t>
      </w:r>
    </w:p>
    <w:p>
      <w:pPr>
        <w:spacing w:after="0" w:line="23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securities class action litigation has often been instituted. These lawsuits often seek unspecified damages, and as with any litigation proceeding, one cannot predict with certainty the eventual outcome of pending litigation. Furthermore, we may have to incur substantial expenses in connection with any such lawsuits and our management’s attention and resources could be diverted from operating our business as we respond to any such litigation. We maintain insurance to cover these risks for us and our directors and officers, but our insurance is subject to high deductibles to reduce premium expense, and there is no guarantee that the insurance will cover any specific claim that we currently face or may face in the future, or that it will be adequate to cover all potential liabilities and damages.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actual operating results may differ significantly from our guidance, which could cause the market price of our common stock to decline.</w:t>
      </w:r>
    </w:p>
    <w:p>
      <w:pPr>
        <w:spacing w:after="0" w:line="16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From time to time, we issue guidance regarding our expected future performance, such as anticipated annual revenue. This guidance consists of forward-looking statements based on management’s estimates and assumptions as of the date of release and is subject to the qualifications and limitations described in the related disclosures. Our assumptions and estimates are inherently subject to significant business, economic, and competitive uncertainties and contingencies, many of which are beyond our control and may change over time. While we may present guidance as ranges intended to illustrate sensitivity to changes in key variables, actual results may fall outside of these ranges. We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0" w:right="1440" w:bottom="175" w:gutter="0" w:footer="0" w:header="0"/>
          <w:type w:val="continuous"/>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20"/>
          <w:szCs w:val="20"/>
          <w:color w:val="auto"/>
        </w:rPr>
        <w:t>provide this guidance primarily to facilitate discussions of our business outlook with analysts and investors and do not assume responsibility for projections or reports prepared by third parties. Guidance is inherently speculative and represents only management’s estimate of future performance as of the date issued. Actual results may differ materially, and the reliability of any forecast diminishes as the forecast horizon lengthens. Our failure to execute our operating strategy or the occurrence of risks described in this Annual Report on Form 10-K could cause actual results to differ materially and adversely from our guidance or market expectations, which could negatively affect investor sentiment and the market price of our common stock. Accordingly, investors should consider our guidance in context and not place undue reliance on it. Our guidance also is not prepared in accordance with, nor intended to comply with, the published guidelines of the American Institute of Certified Public Accountants, and it is not compiled, examined, or reviewed by our independent registered public accounting firm or any other independent party. Accordingly, no opinion or assurance is provided with respect to such guidance.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issue additional common stock resulting in stock ownership dilution.</w:t>
      </w:r>
    </w:p>
    <w:p>
      <w:pPr>
        <w:spacing w:after="0" w:line="23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From time to time, we issue equity securities to raise additional financing and in connection with debt restructurings. Dilution may occur due to additional future equity issuances and/or equity financing events by us, including any potential future restructuring of our outstanding indebtedness. In addition, we may raise additional capital through the sale of equity or convertible debt securities, which would further dilute the ownership interests of our stockholders. As of December 31, 2025, we had outstanding warrants to purchase 12,237,470 shares of our common stock. In addition, we had stock options to purchase 3,760,472 shares of our common stock, performance stock units covering 3,340,111 shares of our common stock, assuming target performance, and restricted stock unit or deferred stock unit awards covering 7,669,141 shares of our common stock under our equity-based compensation plans, and 12,966,721 shares available for issuance under the Xtant Medical Holdings, Inc. 2023 Equity Incentive Plan. If these or any future warrants, options or restricted stock units are exercised or otherwise converted into shares of our common stock, our stockholders will experience additional dilution.</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sale or availability for sale of substantial amounts of our common stock, or the perception that such sales could occur at any time, could adversely affect the market price of our common stock.</w:t>
      </w:r>
    </w:p>
    <w:p>
      <w:pPr>
        <w:spacing w:after="0" w:line="167" w:lineRule="exact"/>
        <w:rPr>
          <w:sz w:val="20"/>
          <w:szCs w:val="20"/>
          <w:color w:val="auto"/>
        </w:rPr>
      </w:pPr>
    </w:p>
    <w:p>
      <w:pPr>
        <w:jc w:val="both"/>
        <w:ind w:firstLine="770"/>
        <w:spacing w:after="0" w:line="247" w:lineRule="auto"/>
        <w:rPr>
          <w:sz w:val="20"/>
          <w:szCs w:val="20"/>
          <w:color w:val="auto"/>
        </w:rPr>
      </w:pPr>
      <w:r>
        <w:rPr>
          <w:rFonts w:ascii="Times New Roman" w:cs="Times New Roman" w:eastAsia="Times New Roman" w:hAnsi="Times New Roman"/>
          <w:sz w:val="20"/>
          <w:szCs w:val="20"/>
          <w:color w:val="auto"/>
        </w:rPr>
        <w:t>Sales of substantial amounts of our common stock in the public market, or the perception that these sales could occur, could adversely affect the market price of our common stock and could materially impair our ability to raise capital through equity offerings in the future. We cannot predict what effect, if any, market sales of shares of our common stock held by our stockholders or the availability of the shares for future resale will have on the market price of our common stock, although it is likely that such sales would have a material adverse impact on the trading price of our common stock, especially given the low trading volume and low public float of our common stock.</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stop publishing research or reports about us or our business, or if they downgrade our common stock, the trading volume and market price of our common stock could decline.</w:t>
      </w:r>
    </w:p>
    <w:p>
      <w:pPr>
        <w:spacing w:after="0" w:line="16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our stock price could decline rapidly. This is particularly true if we fail to meet the expectations of analysts with respect to our revenue and other operating results. Furthermore, if analysts cease to cover our Company, we could lose visibility in the market. Each of these events could, in turn, cause our trading volume and the market price of our common stock to decline.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20" w:right="1440" w:bottom="175" w:gutter="0" w:footer="0" w:header="0"/>
          <w:type w:val="continuous"/>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and agreements may discourage or prevent a change in control, even if a sale of the Company could be beneficial to our stockholders, which could cause our stock price to decline and prevent attempts by our stockholders to replace or remove our current management.</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Several provisions of our Restated Certificate of Incorporation (“Charter”) and Bylaws could make it difficult for our stockholders to change the composition of our Board of Directors or discourage, delay or prevent a merger or acquisition that our stockholders may consider favorable. These provisions include:</w:t>
      </w:r>
    </w:p>
    <w:p>
      <w:pPr>
        <w:spacing w:after="0" w:line="203" w:lineRule="exact"/>
        <w:rPr>
          <w:sz w:val="20"/>
          <w:szCs w:val="20"/>
          <w:color w:val="auto"/>
        </w:rPr>
      </w:pPr>
    </w:p>
    <w:p>
      <w:pPr>
        <w:jc w:val="both"/>
        <w:ind w:left="1080" w:hanging="360"/>
        <w:spacing w:after="0" w:line="247"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have shares of common stock and preferred stock available for issuance without stockholder approval. The existence of unissued and unreserved common stock and preferred stock may enable the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w:t>
      </w:r>
    </w:p>
    <w:p>
      <w:pPr>
        <w:spacing w:after="0" w:line="92" w:lineRule="exact"/>
        <w:rPr>
          <w:rFonts w:ascii="Arial" w:cs="Arial" w:eastAsia="Arial" w:hAnsi="Arial"/>
          <w:sz w:val="20"/>
          <w:szCs w:val="20"/>
          <w:color w:val="auto"/>
        </w:rPr>
      </w:pPr>
    </w:p>
    <w:p>
      <w:pPr>
        <w:jc w:val="both"/>
        <w:ind w:left="1080" w:hanging="360"/>
        <w:spacing w:after="0" w:line="259"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Shares of our common stock do not have cumulative voting rights in the election of directors, so our stockholders holding a majority of the shares of common stock outstanding will be able to elect all of our directors.</w:t>
      </w:r>
    </w:p>
    <w:p>
      <w:pPr>
        <w:spacing w:after="0" w:line="78"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Special meetings of the stockholders may be called only by the Board of Directors, the chair of the Board of Directors or the chief executive officer.</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Board of Directors may adopt, alter, amend or repeal our Bylaws without stockholder approval.</w:t>
      </w:r>
    </w:p>
    <w:p>
      <w:pPr>
        <w:spacing w:after="0" w:line="132" w:lineRule="exact"/>
        <w:rPr>
          <w:rFonts w:ascii="Arial" w:cs="Arial" w:eastAsia="Arial" w:hAnsi="Arial"/>
          <w:sz w:val="20"/>
          <w:szCs w:val="20"/>
          <w:color w:val="auto"/>
        </w:rPr>
      </w:pPr>
    </w:p>
    <w:p>
      <w:pPr>
        <w:jc w:val="both"/>
        <w:ind w:left="1080" w:hanging="361"/>
        <w:spacing w:after="0" w:line="249"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Unless otherwise provided by law, any newly created directorship or any vacancy occurring on the Board of Directors for any cause may be filled by the affirmative vote of a majority of the remaining members of the Board of Directors even if such majority is less than a quorum, and any director so elected shall hold office until the expiration of the term of office of the director whom he or she has replaced or until his or her successor is elected and qualified.</w:t>
      </w:r>
    </w:p>
    <w:p>
      <w:pPr>
        <w:spacing w:after="0" w:line="90"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Prior to July 26, 2030, fixing the number of directors at more than seven directors requires the approval of at least 75% of our directors then holding office.</w:t>
      </w:r>
    </w:p>
    <w:p>
      <w:pPr>
        <w:spacing w:after="0" w:line="63" w:lineRule="exact"/>
        <w:rPr>
          <w:rFonts w:ascii="Arial" w:cs="Arial" w:eastAsia="Arial" w:hAnsi="Arial"/>
          <w:sz w:val="20"/>
          <w:szCs w:val="20"/>
          <w:color w:val="auto"/>
        </w:rPr>
      </w:pPr>
    </w:p>
    <w:p>
      <w:pPr>
        <w:jc w:val="both"/>
        <w:ind w:left="1080" w:hanging="361"/>
        <w:spacing w:after="0" w:line="269" w:lineRule="auto"/>
        <w:tabs>
          <w:tab w:leader="none" w:pos="108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The affirmative vote of the holders of at least two-thirds of the voting power of the then outstanding shares of our capital stock entitled to vote generally in the election of directors, voting together as a single class, is required to amend or repeal the provisions of our Charter related to the amendment of our Bylaws, the Board of Directors and our stockholders as well as the general provisions of our Charter.</w:t>
      </w:r>
    </w:p>
    <w:p>
      <w:pPr>
        <w:spacing w:after="0" w:line="73" w:lineRule="exact"/>
        <w:rPr>
          <w:rFonts w:ascii="Arial" w:cs="Arial" w:eastAsia="Arial" w:hAnsi="Arial"/>
          <w:sz w:val="19"/>
          <w:szCs w:val="19"/>
          <w:color w:val="auto"/>
        </w:rPr>
      </w:pPr>
    </w:p>
    <w:p>
      <w:pPr>
        <w:jc w:val="both"/>
        <w:ind w:left="1080" w:hanging="361"/>
        <w:spacing w:after="0" w:line="270" w:lineRule="auto"/>
        <w:tabs>
          <w:tab w:leader="none" w:pos="108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Stockholders must follow advance notice procedures to submit nominations of candidates for election to the Board of Directors at an annual or special meeting of our stockholders, including director election contests subject to the SEC’s universal proxy rules, and must follow advance notice procedures to submit other proposals for business to be brought before an annual meeting of our stockholders.</w:t>
      </w:r>
    </w:p>
    <w:p>
      <w:pPr>
        <w:spacing w:after="0" w:line="70" w:lineRule="exact"/>
        <w:rPr>
          <w:rFonts w:ascii="Arial" w:cs="Arial" w:eastAsia="Arial" w:hAnsi="Arial"/>
          <w:sz w:val="19"/>
          <w:szCs w:val="19"/>
          <w:color w:val="auto"/>
        </w:rPr>
      </w:pPr>
    </w:p>
    <w:p>
      <w:pPr>
        <w:jc w:val="both"/>
        <w:ind w:left="1080" w:hanging="361"/>
        <w:spacing w:after="0" w:line="243"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Unless we consent in writing to an alternative forum, the Court of Chancery of the State of Delaware, (or, if the Court of Chancery of the State of Delaware does not have subject matter jurisdiction, a state court located within the State of Delaware or, if no state court located within the State of Delaware has subject matter jurisdiction, the federal district court for the District of Delaware), will be the exclusive forum for (i) any derivative action or proceeding brought on our behalf, (ii) any action asserting a claim of breach of a fiduciary duty owed by any director, officer or other employee to us or our stockholders, (iii) any action asserting a claim arising under any provision of the General Corporation Law of the State of Delaware (“DGCL”), our Charter or our Bylaws, or (iv) any action asserting a claim governed by the internal-affairs doctrine; provided, however, that unless we consent in writing to an alternative forum, the federal district courts of the United States of America shall be, to the fullest extent permitted by applicable law, the exclusive forum for the resolution of any complaint asserting a cause of action arising under the Securities Act of 1933, as amended.</w:t>
      </w:r>
    </w:p>
    <w:p>
      <w:pPr>
        <w:spacing w:after="0" w:line="20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These anti-takeover provisions could substantially impede the ability of our stockholders to benefit from a change in control and, as a result, could materially adversely affect the market price of our common stock and the ability of our stockholders to realize any potential change-in-control premium. In addition, the forum selection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20" w:right="1440" w:bottom="175" w:gutter="0" w:footer="0" w:header="0"/>
          <w:type w:val="continuous"/>
        </w:sectPr>
      </w:pPr>
    </w:p>
    <w:bookmarkStart w:id="54" w:name="page55"/>
    <w:bookmarkEnd w:id="54"/>
    <w:p>
      <w:pPr>
        <w:jc w:val="both"/>
        <w:spacing w:after="0" w:line="278" w:lineRule="auto"/>
        <w:rPr>
          <w:sz w:val="20"/>
          <w:szCs w:val="20"/>
          <w:color w:val="auto"/>
        </w:rPr>
      </w:pPr>
      <w:r>
        <w:rPr>
          <w:rFonts w:ascii="Times New Roman" w:cs="Times New Roman" w:eastAsia="Times New Roman" w:hAnsi="Times New Roman"/>
          <w:sz w:val="20"/>
          <w:szCs w:val="20"/>
          <w:color w:val="auto"/>
        </w:rPr>
        <w:t>provision in our Charter could limit the ability of our stockholders to obtain a favorable judicial forum for disputes with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never paid dividends and do not expect to do so in the foreseeable future.</w:t>
      </w:r>
    </w:p>
    <w:p>
      <w:pPr>
        <w:spacing w:after="0" w:line="24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We have not declared or paid any cash dividends on our common stock. The payment of dividends in the future will be dependent on our earnings and financial condition and on such other factors as our Board of Directors considers appropriate. Unless and until we pay dividends, stockholders may not receive a return on their shares of our common stock. There is no present intention by our Board of Directors to pay dividends on our common stock. We currently intend to retain all of our future earnings, if any, to finance the growth and development of our business. In addition, the terms of our Credit Agreements preclude us from paying dividends. As a result, appreciation, if any, in the market price of our common stock will be the sole source of gain for our stockholders for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Worldwide economic and market conditions, including with respect to financial institutions, global wars and conflicts, and social unrest could adversely affect our revenue, operating results, liquidity, and/or financial condition.</w:t>
      </w:r>
    </w:p>
    <w:p>
      <w:pPr>
        <w:spacing w:after="0" w:line="18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The health of the global economy, and the credit markets and the financial services industry in particular, as well as global wars and conflicts and the stability of the social fabric of our society, affects our business and operating results. Economic slowdowns, periods of high inflation, periods of rising interest rates and recessions, as well as disruptions in access to bank deposits or lending commitments due to bank failures, among other factors, could materially and adversely affect our revenue, operating results, liquidity, and/or financial condition. In addition, adverse or uncertain economic conditions, supply chain disruptions, labor shortages and persistent inflation, and measures taken in response thereto, including interest rate increases, could also adversely impact our suppliers’ ability to provide us with materials and components, which may negatively impact our business. As with our customers and vendors, these economic conditions make it more difficult for us to accurately forecast and plan our future business activities.</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several other general risks that could adversely affect our business, operating results and financial condition.</w:t>
      </w:r>
    </w:p>
    <w:p>
      <w:pPr>
        <w:spacing w:after="0" w:line="16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risk factors described above are those that we think may be material with regard to an investment in us that are not applicable generally to all business enterprises. However, we are subject to the many risks that affect all or most business enterprises in the United States, and our business, operating results or financial condition could be materially affected by those risks. For example, the United States has experienced, and may experience in the future, outbreaks of contagious diseases that affect public health and public perception of health risk. The extent to which public health issues impact our business, operating results, and financial condition will depend on future developments, which cannot be predicted. If a contagious disease causes medical facilities to cancel or defer elective procedures that use our products or other significant negative impacts to economic conditions, our business, operating results, and financial condition could be materially adversely impacted.</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Cybersecurity, data privacy, and data protection are critical to our business. In the ordinary course of our business, we collect and store certain confidential information such as information about our employees, contractors, vendors, customers, suppliers, independent sales agents and distributors. We have processes in place for assessing, identifying, and managing material risks from cybersecurity threats, and we monitor the Company’s overall security score to assess performance and identify areas for improvement. In recent years, we have installed a new firewall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20" w:right="1440" w:bottom="175" w:gutter="0" w:footer="0" w:header="0"/>
          <w:type w:val="continuous"/>
        </w:sectPr>
      </w:pPr>
    </w:p>
    <w:bookmarkStart w:id="55" w:name="page56"/>
    <w:bookmarkEnd w:id="55"/>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better protect from network intrusions, hired a Network and Security Administrator, and engaged a third-party service provider to perform an internal penetration test in order to identify and address vulnerabilities. Additionally, we introduced always-on VPN in an effort to better restrict off-campus network access in light of the increase in the number of our employees working remotely in recent years, enhanced our monitoring and control capabilities, and hardened our cloud computing cyber security footprint. Management continually re-assesses the Company’s cybersecurity risk environment based on changing circumstances and new information identified by its monitoring, scanning and testing as well as third party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3" w:lineRule="exact"/>
        <w:rPr>
          <w:sz w:val="20"/>
          <w:szCs w:val="20"/>
          <w:color w:val="auto"/>
        </w:rPr>
      </w:pPr>
    </w:p>
    <w:p>
      <w:pPr>
        <w:jc w:val="both"/>
        <w:ind w:right="20" w:firstLine="720"/>
        <w:spacing w:after="0" w:line="249" w:lineRule="auto"/>
        <w:rPr>
          <w:sz w:val="20"/>
          <w:szCs w:val="20"/>
          <w:color w:val="auto"/>
        </w:rPr>
      </w:pPr>
      <w:r>
        <w:rPr>
          <w:rFonts w:ascii="Times New Roman" w:cs="Times New Roman" w:eastAsia="Times New Roman" w:hAnsi="Times New Roman"/>
          <w:sz w:val="20"/>
          <w:szCs w:val="20"/>
          <w:color w:val="auto"/>
        </w:rPr>
        <w:t>Our processes for assessing, identifying, and managing cybersecurity threats have been integrated into our overall risk management processes. The information provided by these processes facilitates management’s ongoing assessment of our cybersecurity risk environment and provides current and accurate information regarding cybersecurity risks to management, our Audit Committee and Board of Directors to allow appropriate management of such risks through remediation or other risk mitigation activities.</w:t>
      </w:r>
    </w:p>
    <w:p>
      <w:pPr>
        <w:spacing w:after="0" w:line="19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maintain a cybersecurity program that is designed to identify, protect from, detect, respond to, and recover from cybersecurity threats and risks, and protect the confidentiality, integrity, and availability of its information systems, including the information residing on such systems. The National Institute of Standards and Technology Cybersecurity Framework helps us inform our cybersecurity agenda and prioritize our cybersecurity activities. We take a risk-based approach to cybersecurity, which begins with the identification and evaluation of cybersecurity risks or threats that could affect our operations, finances, legal or regulatory compliance, or reputation. The scope of our evaluation encompasses risks that may be associated with both our internally managed IT systems and key business functions and sensitive data operated or managed by third-party service providers. Once identified, cybersecurity risks and related mitigation efforts are prioritized based on their potential impact, likelihood, velocity, and vulnerability, considering both quantitative and qualitative factors. Risk mitigation strategies are developed and implemented based on the specific nature of each cybersecurity risk. These strategies include, among others, the application of cybersecurity policies and procedures, implementation of administrative, technical, and physical controls, and employee training, education, and awareness initiatives.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Management</w:t>
      </w:r>
    </w:p>
    <w:p>
      <w:pPr>
        <w:spacing w:after="0" w:line="243"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Management has implemented risk management structures, policies and procedures and is responsible for our day-to-day cybersecurity risk management. Our Vice President of Information Systems, who has been with Xtant since June 2019, is responsible for our day-to -day assessment and management of cybersecurity risks. He is also the founder of a data privacy consulting company and has over 20 years of experience in the data management space. We have implemented a number of processes which allow our Vice President of Information Systems and his team to be informed about and monitor the prevention, detection, mitigation, and remediation of cybersecurity incidents. These processes include, among other things, system alerts of potential malicious cyber activity, access to real-time dashboards that monitor and assess our systems, status reports provided on a daily, weekly and monthly basis, and regular ongoing communications with service providers regarding potential new attack vectors and vulnerabilities. Our Vice President of Information Systems and his team share such information with our management team and reports information about such risks to our Audit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Consultants and Advisors</w:t>
      </w:r>
    </w:p>
    <w:p>
      <w:pPr>
        <w:spacing w:after="0" w:line="243"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We engage various third-party cybersecurity service providers to assess and enhance our cybersecurity practices and assist with protection and monitoring of our systems and information, including with respect to protection of our e-mail, system access, network monitoring, endpoint protection, vulnerability assessments and penetration testing. We engage cybersecurity consultants, auditors, and other third parties to assess and enhance our cybersecurity practices, such as a third-party consulting firm to perform tabletop exercises and evaluate our cyber processes including an assessment of our incident response procedures.</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80"/>
          </w:cols>
          <w:pgMar w:left="1440" w:top="1420" w:right="142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Board Oversight</w:t>
      </w:r>
    </w:p>
    <w:p>
      <w:pPr>
        <w:spacing w:after="0" w:line="24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Board of Directors, both directly and through the delegation of responsibilities to the Audit Committee oversees the proper functioning of our cybersecurity risk management program. In particular, the Audit Committee assists the Board of Directors in its oversight of management’s responsibility to assess, manage and mitigate risks associated with the Company’s business and operational activities, to administer the Company’s various compliance programs, in each case including cybersecurity concerns, and to oversee our information technology systems, processes and data. The Audit Committee, which is comprised entirely of independent directors, is responsible for periodically reviewing and assessing with management (i) the adequacy of controls and security for our information technology systems, processes and data, and (ii) our contingency plans in the event of a breakdown or security breach affecting our information technology systems, it being understood that it is not possible to eliminate all such risks and that the Company will necessarily face a variety of risks with respect to information technology in the conduct of its business. The Audit Committee is additionally responsible for reviewing the cybersecurity disclosures required to be included in our filings with the SEC.</w:t>
      </w:r>
    </w:p>
    <w:p>
      <w:pPr>
        <w:spacing w:after="0" w:line="20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Audit Committee reviews a cybersecurity dashboard at its regularly held meetings, which includes certain information about overall security, employee training, and other statistics. Members of our management team often attend these discussions, and the Audit Committee has requested that our Vice President of Information Systems provide updates at two of its meetings annually. The management team and/or Audit Committee, in turn, regularly provide data protection and cybersecurity reports to the full Board of Directors.</w:t>
      </w:r>
    </w:p>
    <w:p>
      <w:pPr>
        <w:spacing w:after="0" w:line="19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Although none of the members of the Audit Committee has any work experience, degree, or certifications related to information security or cybersecurity, the Audit Committee works closely with members of our employee team with relevant expertise, and we have engaged third-party service providers to further enhance our cybersecurity efforts.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from Material Cybersecurity Threats</w:t>
      </w:r>
    </w:p>
    <w:p>
      <w:pPr>
        <w:spacing w:after="0" w:line="24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 xml:space="preserve">Although we have taken steps to prevent and mitigate data security threats, there can be no assurance that our protective measures and those of our third-party service providers will prevent or detect security breaches that could have a significant impact on our business, reputation, operating results and financial condition. We maintain cyber liability insurance; however, this insurance may not be sufficient to cover the financial, legal, business or reputational losses that may result from an interruption or breach of our systems. As of the date of this filing, we have not identified any cybersecurity threats that have materially affected or are reasonably anticipated to have a material effect on our business strategy, results of operations or financial condition. Although we have not experienced cybersecurity incidents that are individually, or in the aggregate, material, we have experienced cyberattacks in the past, which we believe have thus far been mitigated by preventative, detective, and responsive measures we have put in place. See the factors described in the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section of this Form 10-K for further detail about the cybersecurity risks we face. Maintaining a robust information security system is an ongoing priority for us and we plan to continue to identify and evaluate new, emerging risks to data protection and cybersecurity both within our Company and through our engagement of third-party service providers.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headquarters and manufacturing facility are located at 664 Cruiser Lane, Belgrade, Montana 59714. We also have three other facilities on the contiguous Belgrade campus, located at 600 Cruiser Lane, 732 Cruiser Lane, and at 667 Glider Lane. All our properties are leased under leases that expire in October 2030. The 664 Cruiser Lane lease has a five-year extension option and all other leases have the option to extend for an additional two five-year terms.</w:t>
      </w:r>
    </w:p>
    <w:p>
      <w:pPr>
        <w:spacing w:after="0" w:line="19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The facility located at 664 Cruiser Lane is approximately 14,000 square feet of space. This building has an ISO 7 (Class 10,000) environmentally controlled area as well as diagnostic testing and research laboratories. The 600 Cruiser Lane building has approximately 17,700 square feet, which includes fourteen Class 100 (ISO 5) cleanrooms, a fully equipped diagnostics laboratory, microbiology laboratory and testing laboratory. The space at 732 Cruiser Lane is approximately 21,000 square feet where one Class 1,000 (ISO 6) cleanroom is located. The validated manufacturing areas and laboratory facilities located across this campus provide storage, processing, final packaging and testing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16" w:right="1440" w:bottom="175" w:gutter="0" w:footer="0" w:header="0"/>
          <w:type w:val="continuous"/>
        </w:sectPr>
      </w:pPr>
    </w:p>
    <w:bookmarkStart w:id="57" w:name="page58"/>
    <w:bookmarkEnd w:id="57"/>
    <w:p>
      <w:pPr>
        <w:spacing w:after="0" w:line="278" w:lineRule="auto"/>
        <w:rPr>
          <w:sz w:val="20"/>
          <w:szCs w:val="20"/>
          <w:color w:val="auto"/>
        </w:rPr>
      </w:pPr>
      <w:r>
        <w:rPr>
          <w:rFonts w:ascii="Times New Roman" w:cs="Times New Roman" w:eastAsia="Times New Roman" w:hAnsi="Times New Roman"/>
          <w:sz w:val="20"/>
          <w:szCs w:val="20"/>
          <w:color w:val="auto"/>
        </w:rPr>
        <w:t>space for production of biologic tissues and manufacturing medical devices pursuant to FDA, GMP regulations, and ISO 13485:2016.</w:t>
      </w:r>
    </w:p>
    <w:p>
      <w:pPr>
        <w:spacing w:after="0" w:line="167"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We also lease an approximately 2,000 square foot facility in San Diego, California, which houses certain innovation and design functions and other corporate functions, which expires in December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Our legal proceedings are discussed in Note 12 – Commitments and Contingencies in the notes to our consolidated financial statements in this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20" w:right="1440" w:bottom="175"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common stock is listed on the NYSE American under the ticker symbol “XTNT.”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44"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As of February 28, 2026, we had 162 holders of record. A greater number of owners of our common stock are beneficial holders, whose shares of record are held by banks, brokers, and other financial institutions.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We have not paid any cash dividends and do not expect to do so in the foreseeable future. In addition, our Credit Agreements with MidCap preclude us from paying 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sell any unregistered equity securities of our Company during the quarter ended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We did not purchase any shares of our common stock or other equity securities of our Company during the quarter ended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16" w:right="1440" w:bottom="17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5"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This Management’s Discussion and Analysis provides material historical and prospective disclosures intended to enable investors and other users to assess our financial condition and results of operations. The following discussion should be read in conjunction with our consolidated financial statements and accompanying notes included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in the “Cautionary Statement Regarding Forward-Looking Statements” and under the heading “Part I. Item 1A. Risk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develop, manufacture and market regenerative medicine products and medical devices for domestic and international markets. Our products serve the specialized needs of orthopedic and neurological surgeons, as well as trauma, foot and ankle, sports medicine, wound care surgeons including orthobiologics for the promotion of bone healing, amniotic tissue and collagen for both surgical repair and chronic wound care, implants and instrumentation for the treatment of spinal disease. We promote our products primarily in the United States through independent distributors and stocking agents, supported by direct employees.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have an extensive sales channel of independent commissioned agents and stocking distributors in the United States representing some or all of our products. We also maintain a national accounts program to enable our agents to gain access to integrated delivery network hospitals and through group purchasing organizations. We have biologics contracts with major GPOs, as well as extensive access to IDNs across the United States for both biologics and spine hardware systems. While our focus is the United States market, we promote and sell our products internationally through stocking distribution partners in Europe, Canada, Mexico, South America, and certain Pacific region countries. We have recently made and intend to continue to make measured investments in the expansion of our commercial team to support our new products and maximize the reach of our broad portfolio of orthobiologics solutions.</w:t>
      </w:r>
    </w:p>
    <w:p>
      <w:pPr>
        <w:spacing w:after="0" w:line="205" w:lineRule="exact"/>
        <w:rPr>
          <w:sz w:val="20"/>
          <w:szCs w:val="20"/>
          <w:color w:val="auto"/>
        </w:rPr>
      </w:pPr>
    </w:p>
    <w:p>
      <w:pPr>
        <w:jc w:val="both"/>
        <w:ind w:firstLine="720"/>
        <w:spacing w:after="0" w:line="229" w:lineRule="auto"/>
        <w:rPr>
          <w:sz w:val="20"/>
          <w:szCs w:val="20"/>
          <w:color w:val="auto"/>
        </w:rPr>
      </w:pPr>
      <w:r>
        <w:rPr>
          <w:rFonts w:ascii="Times New Roman" w:cs="Times New Roman" w:eastAsia="Times New Roman" w:hAnsi="Times New Roman"/>
          <w:sz w:val="20"/>
          <w:szCs w:val="20"/>
          <w:color w:val="auto"/>
        </w:rPr>
        <w:t>We have focused and intend to continue to focus primarily on four key growth initiatives: (1) introduce new products, including our recently launched nanOss Strata™, an advanced synthetic bone graft designed to closely resemble natural bone; CollagenX™, a bovine collagen particulate product for surgical wound closure; OsteoFactor Pro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an allogenic growth factor solution; and Trivium™, a next-generation demineralized bone matrix, in addition to our introductions in 2024: Cortera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Posterior Fixation System, a viable bone matrix; OsteoVive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Plus and amniotic membrane allografts, SimpliGraft™ and SimpliMax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(2) expand our distribution network; (3) penetrate adjacent markets; and (4) leverage our growth platform with technology and strategic acquisitions. While the intent of these four key growth initiatives is to increase our future revenues, no assurance can be provided that we will be successful in implementing these growth initiatives or increasing our future revenues. Since one of our key growth initiatives is to leverage our growth platform with technology and strategic acquisitions and explore other strategic transactions with respect to our products and our company, including licenses, business collaborations and other business combinations or transactions with other companies, we, as a matter of course, often engage in discussions with third parties regarding such matters.</w:t>
      </w:r>
    </w:p>
    <w:p>
      <w:pPr>
        <w:spacing w:after="0" w:line="21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During the first quarter of 2025, we entered into a manufacture and license agreement with a distributor pursuant to which we agreed to manufacture and supply to the distributor our SimpliGraft® product under the distributor’s name in exchange for a one-time $1.5 million cash payment and minimum SimpliGraft® product purchase obligations of the distributor. During the fourth quarter of 2024, we entered into a license agreement with a distributor granting an exclusive right and license to manufacture and commercialize in the United States our SimpliMax™ product in exchange for a one-time $1.5 million cash payment and minimum quarterly royalty payments based on the volume of product sold by the distributor. Effective January 1, 2026, the Centers for Medicare &amp; Medicaid Services implemented a Local Coverage Determination with significant changes to reimbursement for cellular and tissue-based products, which impacted our SimpliMax™ and SimpliGraft® products. In addition, on July 14 and 15, 2025, CMS released the CY 2026 Physician Fee Schedule proposal and the CY 2026 Hospital Outpatient Prospective Payment System proposal. Under these rules, which were implemented on January 1, 2026, CMS instituted a</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16" w:right="1440" w:bottom="175" w:gutter="0" w:footer="0" w:header="0"/>
          <w:type w:val="continuous"/>
        </w:sectPr>
      </w:pPr>
    </w:p>
    <w:bookmarkStart w:id="60" w:name="page61"/>
    <w:bookmarkEnd w:id="60"/>
    <w:p>
      <w:pPr>
        <w:jc w:val="both"/>
        <w:spacing w:after="0" w:line="244" w:lineRule="auto"/>
        <w:rPr>
          <w:sz w:val="20"/>
          <w:szCs w:val="20"/>
          <w:color w:val="auto"/>
        </w:rPr>
      </w:pPr>
      <w:r>
        <w:rPr>
          <w:rFonts w:ascii="Times New Roman" w:cs="Times New Roman" w:eastAsia="Times New Roman" w:hAnsi="Times New Roman"/>
          <w:sz w:val="20"/>
          <w:szCs w:val="20"/>
          <w:color w:val="auto"/>
        </w:rPr>
        <w:t>consistent payment approach for skin substitutes across the private office and hospital outpatient departments settings with a fixed price of $127.14 per square centimeter. Together with the Local Coverage Determination and a recently announced Wasteful and Inappropriate Service Reduction model, there are several significant potential changes to reimbursement of skin substitutes that have impacted and will likely continue to impact the industry and the sale of our SimpliMax™ and SimpliGraft® products. Because of these regulatory changes, the SimpliGraft® manufacture and license agreement was terminated effective December 31, 2025 and it is possible that the SimpliMax™ license agreement may be terminated, adversely affecting our 2026 and future license revenue. During 2025, we recognized $18.7 million in license revenue and certain product revenue that likely will not repeat in 2026 due primarily to these reimbursement changes. The loss of this license and product revenue will have an adverse impact on our 2026 revenues and other operating results, including in particular, our gross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Coflex/CoFix Assets and International Hardware Business</w:t>
      </w:r>
    </w:p>
    <w:p>
      <w:pPr>
        <w:spacing w:after="0" w:line="243"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On December 1, 2025, we completed the sale of certain assets relating to our Coflex and CoFix products to Companion Spine pursuant to an Asset Purchase Agreement dated July 7, 2025. The total purchase price of the Coflex/CoFix Divestiture was $17.5 million (subject to a closing inventory valuation adjustment set forth in the Coflex/CoFix Agreement). Of the total purchase price, an aggregate of $7.5 million was previously paid to us in cash as non-refundable deposits, $1.8 million was paid to us in cash at the closing, and $8.2 million was paid to us as an unsecured promissory note issued by Companion Spine to us the closing (the “Companion Spine Note”). The outstanding principal balance of the Companion Spine Note, together with the related accrued interest, totaling $8.5 million was paid to us on February 27, 2026.</w:t>
      </w:r>
    </w:p>
    <w:p>
      <w:pPr>
        <w:spacing w:after="0" w:line="20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Also, on December 1, 2025, we completed the sale of all of our shares of equity securities of Paradigm. The total purchase price of the Paradigm Divestiture was $3.9 million, $1.7 million of which was paid to us in cash at the closing and $2.2 million paid on February 27, 2026 in settlement of a net working capital and other purchase price adjustments.</w:t>
      </w:r>
    </w:p>
    <w:p>
      <w:pPr>
        <w:spacing w:after="0" w:line="195"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aggregate purchase price associated with the two Divestitures was $21.4 million. Of the $10.0 million in cash that we received as a result of the Divestitures prior to the end of 2025, $8.0 million was used to repay a portion of our term debt, resulting in $14.0 million in principal outstanding under our term debt as of December 31, 2025. On February 27, 2026, we subsequently received $10.7 million, $2.8 million of which was used to repay a portion of our term debt, resulting in $11.2 million outstanding as of the date of the filing of this report.</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In 2025, we recognized $20.3 million in revenue from sales of our Coflex and CoFix products and international hardware products which we sold to Companion Spine. The loss of this revenue will adversely affect our 2026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December 31, 2024</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for 2025 and 2024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5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4"/>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83"/>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5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30"/>
        </w:trPr>
        <w:tc>
          <w:tcPr>
            <w:tcW w:w="3560" w:type="dxa"/>
            <w:vAlign w:val="bottom"/>
            <w:tcBorders>
              <w:top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Revenue</w:t>
            </w:r>
          </w:p>
        </w:tc>
        <w:tc>
          <w:tcPr>
            <w:tcW w:w="100" w:type="dxa"/>
            <w:vAlign w:val="bottom"/>
            <w:tcBorders>
              <w:top w:val="single" w:sz="8" w:color="auto"/>
            </w:tcBorders>
            <w:shd w:val="clear" w:color="auto" w:fill="D9D9D9"/>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shd w:val="clear" w:color="auto" w:fill="D9D9D9"/>
          </w:tcPr>
          <w:p>
            <w:pPr>
              <w:spacing w:after="0"/>
              <w:rPr>
                <w:sz w:val="20"/>
                <w:szCs w:val="20"/>
                <w:color w:val="auto"/>
              </w:rPr>
            </w:pPr>
          </w:p>
        </w:tc>
        <w:tc>
          <w:tcPr>
            <w:tcW w:w="280" w:type="dxa"/>
            <w:vAlign w:val="bottom"/>
            <w:tcBorders>
              <w:top w:val="single" w:sz="8" w:color="D9D9D9"/>
            </w:tcBorders>
            <w:shd w:val="clear" w:color="auto" w:fill="D9D9D9"/>
          </w:tcPr>
          <w:p>
            <w:pPr>
              <w:spacing w:after="0"/>
              <w:rPr>
                <w:sz w:val="20"/>
                <w:szCs w:val="20"/>
                <w:color w:val="auto"/>
              </w:rPr>
            </w:pPr>
          </w:p>
        </w:tc>
        <w:tc>
          <w:tcPr>
            <w:tcW w:w="140" w:type="dxa"/>
            <w:vAlign w:val="bottom"/>
            <w:tcBorders>
              <w:top w:val="single" w:sz="8" w:color="auto"/>
            </w:tcBorders>
            <w:shd w:val="clear" w:color="auto" w:fill="D9D9D9"/>
          </w:tcPr>
          <w:p>
            <w:pPr>
              <w:spacing w:after="0"/>
              <w:rPr>
                <w:sz w:val="20"/>
                <w:szCs w:val="20"/>
                <w:color w:val="auto"/>
              </w:rPr>
            </w:pPr>
          </w:p>
        </w:tc>
        <w:tc>
          <w:tcPr>
            <w:tcW w:w="1000" w:type="dxa"/>
            <w:vAlign w:val="bottom"/>
            <w:tcBorders>
              <w:top w:val="single" w:sz="8" w:color="auto"/>
              <w:right w:val="single" w:sz="8" w:color="D9D9D9"/>
            </w:tcBorders>
            <w:shd w:val="clear" w:color="auto" w:fill="D9D9D9"/>
          </w:tcPr>
          <w:p>
            <w:pPr>
              <w:spacing w:after="0"/>
              <w:rPr>
                <w:sz w:val="20"/>
                <w:szCs w:val="20"/>
                <w:color w:val="auto"/>
              </w:rPr>
            </w:pPr>
          </w:p>
        </w:tc>
        <w:tc>
          <w:tcPr>
            <w:tcW w:w="260" w:type="dxa"/>
            <w:vAlign w:val="bottom"/>
            <w:tcBorders>
              <w:top w:val="single" w:sz="8" w:color="D9D9D9"/>
            </w:tcBorders>
            <w:shd w:val="clear" w:color="auto" w:fill="D9D9D9"/>
          </w:tcPr>
          <w:p>
            <w:pPr>
              <w:spacing w:after="0"/>
              <w:rPr>
                <w:sz w:val="20"/>
                <w:szCs w:val="20"/>
                <w:color w:val="auto"/>
              </w:rPr>
            </w:pPr>
          </w:p>
        </w:tc>
        <w:tc>
          <w:tcPr>
            <w:tcW w:w="180" w:type="dxa"/>
            <w:vAlign w:val="bottom"/>
            <w:tcBorders>
              <w:top w:val="single" w:sz="8" w:color="D9D9D9"/>
            </w:tcBorders>
            <w:shd w:val="clear" w:color="auto" w:fill="D9D9D9"/>
          </w:tcPr>
          <w:p>
            <w:pPr>
              <w:spacing w:after="0"/>
              <w:rPr>
                <w:sz w:val="20"/>
                <w:szCs w:val="20"/>
                <w:color w:val="auto"/>
              </w:rPr>
            </w:pPr>
          </w:p>
        </w:tc>
        <w:tc>
          <w:tcPr>
            <w:tcW w:w="1140" w:type="dxa"/>
            <w:vAlign w:val="bottom"/>
            <w:tcBorders>
              <w:top w:val="single" w:sz="8" w:color="auto"/>
            </w:tcBorders>
            <w:shd w:val="clear" w:color="auto" w:fill="D9D9D9"/>
          </w:tcPr>
          <w:p>
            <w:pPr>
              <w:spacing w:after="0"/>
              <w:rPr>
                <w:sz w:val="20"/>
                <w:szCs w:val="20"/>
                <w:color w:val="auto"/>
              </w:rPr>
            </w:pPr>
          </w:p>
        </w:tc>
        <w:tc>
          <w:tcPr>
            <w:tcW w:w="280" w:type="dxa"/>
            <w:vAlign w:val="bottom"/>
            <w:tcBorders>
              <w:top w:val="single" w:sz="8" w:color="D9D9D9"/>
            </w:tcBorders>
            <w:shd w:val="clear" w:color="auto" w:fill="D9D9D9"/>
          </w:tcPr>
          <w:p>
            <w:pPr>
              <w:spacing w:after="0"/>
              <w:rPr>
                <w:sz w:val="20"/>
                <w:szCs w:val="20"/>
                <w:color w:val="auto"/>
              </w:rPr>
            </w:pPr>
          </w:p>
        </w:tc>
        <w:tc>
          <w:tcPr>
            <w:tcW w:w="140" w:type="dxa"/>
            <w:vAlign w:val="bottom"/>
            <w:tcBorders>
              <w:top w:val="single" w:sz="8" w:color="auto"/>
            </w:tcBorders>
            <w:shd w:val="clear" w:color="auto" w:fill="D9D9D9"/>
          </w:tcPr>
          <w:p>
            <w:pPr>
              <w:spacing w:after="0"/>
              <w:rPr>
                <w:sz w:val="20"/>
                <w:szCs w:val="20"/>
                <w:color w:val="auto"/>
              </w:rPr>
            </w:pPr>
          </w:p>
        </w:tc>
        <w:tc>
          <w:tcPr>
            <w:tcW w:w="980" w:type="dxa"/>
            <w:vAlign w:val="bottom"/>
            <w:tcBorders>
              <w:top w:val="single" w:sz="8" w:color="auto"/>
            </w:tcBorders>
            <w:shd w:val="clear" w:color="auto" w:fill="D9D9D9"/>
          </w:tcPr>
          <w:p>
            <w:pPr>
              <w:spacing w:after="0"/>
              <w:rPr>
                <w:sz w:val="20"/>
                <w:szCs w:val="20"/>
                <w:color w:val="auto"/>
              </w:rPr>
            </w:pPr>
          </w:p>
        </w:tc>
        <w:tc>
          <w:tcPr>
            <w:tcW w:w="280" w:type="dxa"/>
            <w:vAlign w:val="bottom"/>
            <w:tcBorders>
              <w:top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86.0%</w:t>
            </w: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115,765</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98.7%</w:t>
            </w:r>
          </w:p>
        </w:tc>
        <w:tc>
          <w:tcPr>
            <w:tcW w:w="0" w:type="dxa"/>
            <w:vAlign w:val="bottom"/>
          </w:tcPr>
          <w:p>
            <w:pPr>
              <w:spacing w:after="0"/>
              <w:rPr>
                <w:sz w:val="1"/>
                <w:szCs w:val="1"/>
                <w:color w:val="auto"/>
              </w:rPr>
            </w:pPr>
          </w:p>
        </w:tc>
      </w:tr>
      <w:tr>
        <w:trPr>
          <w:trHeight w:val="230"/>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License revenue</w:t>
            </w:r>
          </w:p>
        </w:tc>
        <w:tc>
          <w:tcPr>
            <w:tcW w:w="1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18,723</w:t>
            </w:r>
          </w:p>
        </w:tc>
        <w:tc>
          <w:tcPr>
            <w:tcW w:w="28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260" w:type="dxa"/>
            <w:vAlign w:val="bottom"/>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14.0%</w:t>
            </w:r>
          </w:p>
        </w:tc>
        <w:tc>
          <w:tcPr>
            <w:tcW w:w="180" w:type="dxa"/>
            <w:vAlign w:val="bottom"/>
            <w:shd w:val="clear" w:color="auto" w:fill="D9D9D9"/>
          </w:tcPr>
          <w:p>
            <w:pPr>
              <w:spacing w:after="0"/>
              <w:rPr>
                <w:sz w:val="20"/>
                <w:szCs w:val="20"/>
                <w:color w:val="auto"/>
              </w:rPr>
            </w:pPr>
          </w:p>
        </w:tc>
        <w:tc>
          <w:tcPr>
            <w:tcW w:w="1420" w:type="dxa"/>
            <w:vAlign w:val="bottom"/>
            <w:gridSpan w:val="2"/>
            <w:shd w:val="clear" w:color="auto" w:fill="D9D9D9"/>
          </w:tcPr>
          <w:p>
            <w:pPr>
              <w:jc w:val="right"/>
              <w:ind w:right="280"/>
              <w:spacing w:after="0"/>
              <w:rPr>
                <w:sz w:val="20"/>
                <w:szCs w:val="20"/>
                <w:color w:val="auto"/>
              </w:rPr>
            </w:pPr>
            <w:r>
              <w:rPr>
                <w:rFonts w:ascii="Times New Roman" w:cs="Times New Roman" w:eastAsia="Times New Roman" w:hAnsi="Times New Roman"/>
                <w:sz w:val="20"/>
                <w:szCs w:val="20"/>
                <w:color w:val="auto"/>
              </w:rPr>
              <w:t>1,502</w:t>
            </w:r>
          </w:p>
        </w:tc>
        <w:tc>
          <w:tcPr>
            <w:tcW w:w="140" w:type="dxa"/>
            <w:vAlign w:val="bottom"/>
            <w:shd w:val="clear" w:color="auto" w:fill="D9D9D9"/>
          </w:tcPr>
          <w:p>
            <w:pPr>
              <w:spacing w:after="0"/>
              <w:rPr>
                <w:sz w:val="20"/>
                <w:szCs w:val="20"/>
                <w:color w:val="auto"/>
              </w:rPr>
            </w:pPr>
          </w:p>
        </w:tc>
        <w:tc>
          <w:tcPr>
            <w:tcW w:w="126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30"/>
        </w:trPr>
        <w:tc>
          <w:tcPr>
            <w:tcW w:w="3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120" w:type="dxa"/>
            <w:vAlign w:val="bottom"/>
            <w:gridSpan w:val="3"/>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230"/>
        </w:trPr>
        <w:tc>
          <w:tcPr>
            <w:tcW w:w="3560" w:type="dxa"/>
            <w:vAlign w:val="bottom"/>
            <w:vMerge w:val="continue"/>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133,927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117,267</w:t>
            </w:r>
          </w:p>
        </w:tc>
        <w:tc>
          <w:tcPr>
            <w:tcW w:w="2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20" w:type="dxa"/>
            <w:vAlign w:val="bottom"/>
            <w:vMerge w:val="restart"/>
          </w:tcPr>
          <w:p>
            <w:pPr>
              <w:spacing w:after="0"/>
              <w:rPr>
                <w:sz w:val="19"/>
                <w:szCs w:val="19"/>
                <w:color w:val="auto"/>
              </w:rPr>
            </w:pPr>
          </w:p>
        </w:tc>
        <w:tc>
          <w:tcPr>
            <w:tcW w:w="1000" w:type="dxa"/>
            <w:vAlign w:val="bottom"/>
            <w:shd w:val="clear" w:color="auto" w:fill="D9D9D9"/>
          </w:tcPr>
          <w:p>
            <w:pPr>
              <w:spacing w:after="0"/>
              <w:rPr>
                <w:sz w:val="19"/>
                <w:szCs w:val="19"/>
                <w:color w:val="auto"/>
              </w:rPr>
            </w:pPr>
          </w:p>
        </w:tc>
        <w:tc>
          <w:tcPr>
            <w:tcW w:w="28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260" w:type="dxa"/>
            <w:vAlign w:val="bottom"/>
            <w:gridSpan w:val="2"/>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420" w:type="dxa"/>
            <w:vAlign w:val="bottom"/>
            <w:gridSpan w:val="2"/>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260" w:type="dxa"/>
            <w:vAlign w:val="bottom"/>
            <w:gridSpan w:val="2"/>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49,654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37.1%</w:t>
            </w:r>
          </w:p>
        </w:tc>
        <w:tc>
          <w:tcPr>
            <w:tcW w:w="1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49,051</w:t>
            </w:r>
          </w:p>
        </w:tc>
        <w:tc>
          <w:tcPr>
            <w:tcW w:w="1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41.8 %</w:t>
            </w:r>
          </w:p>
        </w:tc>
        <w:tc>
          <w:tcPr>
            <w:tcW w:w="0" w:type="dxa"/>
            <w:vAlign w:val="bottom"/>
          </w:tcPr>
          <w:p>
            <w:pPr>
              <w:spacing w:after="0"/>
              <w:rPr>
                <w:sz w:val="1"/>
                <w:szCs w:val="1"/>
                <w:color w:val="auto"/>
              </w:rPr>
            </w:pPr>
          </w:p>
        </w:tc>
      </w:tr>
      <w:tr>
        <w:trPr>
          <w:trHeight w:val="30"/>
        </w:trPr>
        <w:tc>
          <w:tcPr>
            <w:tcW w:w="356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D9D9D9"/>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D9D9D9"/>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D9D9D9"/>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vMerge w:val="restart"/>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highlight w:val="lightGray"/>
                <w:w w:val="83"/>
              </w:rPr>
              <w:t>%</w:t>
            </w:r>
          </w:p>
        </w:tc>
        <w:tc>
          <w:tcPr>
            <w:tcW w:w="0" w:type="dxa"/>
            <w:vAlign w:val="bottom"/>
          </w:tcPr>
          <w:p>
            <w:pPr>
              <w:spacing w:after="0" w:line="20" w:lineRule="exact"/>
              <w:rPr>
                <w:sz w:val="1"/>
                <w:szCs w:val="1"/>
                <w:color w:val="auto"/>
              </w:rPr>
            </w:pPr>
          </w:p>
        </w:tc>
      </w:tr>
      <w:tr>
        <w:trPr>
          <w:trHeight w:val="240"/>
        </w:trPr>
        <w:tc>
          <w:tcPr>
            <w:tcW w:w="3560" w:type="dxa"/>
            <w:vAlign w:val="bottom"/>
            <w:vMerge w:val="continue"/>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84,273</w:t>
            </w:r>
          </w:p>
        </w:tc>
        <w:tc>
          <w:tcPr>
            <w:tcW w:w="28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260" w:type="dxa"/>
            <w:vAlign w:val="bottom"/>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62.9%</w:t>
            </w:r>
          </w:p>
        </w:tc>
        <w:tc>
          <w:tcPr>
            <w:tcW w:w="180" w:type="dxa"/>
            <w:vAlign w:val="bottom"/>
            <w:shd w:val="clear" w:color="auto" w:fill="D9D9D9"/>
          </w:tcPr>
          <w:p>
            <w:pPr>
              <w:spacing w:after="0"/>
              <w:rPr>
                <w:sz w:val="20"/>
                <w:szCs w:val="20"/>
                <w:color w:val="auto"/>
              </w:rPr>
            </w:pPr>
          </w:p>
        </w:tc>
        <w:tc>
          <w:tcPr>
            <w:tcW w:w="11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68,216</w:t>
            </w:r>
          </w:p>
        </w:tc>
        <w:tc>
          <w:tcPr>
            <w:tcW w:w="28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280" w:type="dxa"/>
            <w:vAlign w:val="bottom"/>
            <w:vMerge w:val="continue"/>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560" w:type="dxa"/>
            <w:vAlign w:val="bottom"/>
            <w:tcBorders>
              <w:top w:val="single" w:sz="8" w:color="D9D9D9"/>
            </w:tcBorders>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D9D9D9"/>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80" w:type="dxa"/>
            <w:vAlign w:val="bottom"/>
            <w:tcBorders>
              <w:top w:val="single" w:sz="8" w:color="D9D9D9"/>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80" w:type="dxa"/>
            <w:vAlign w:val="bottom"/>
            <w:tcBorders>
              <w:top w:val="single" w:sz="8" w:color="D9D9D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-168910</wp:posOffset>
                </wp:positionV>
                <wp:extent cx="225615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615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999pt" to="177.65pt,-13.2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3862705</wp:posOffset>
                </wp:positionH>
                <wp:positionV relativeFrom="paragraph">
                  <wp:posOffset>-324485</wp:posOffset>
                </wp:positionV>
                <wp:extent cx="177165" cy="1651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 cy="165100"/>
                        </a:xfrm>
                        <a:prstGeom prst="rect">
                          <a:avLst/>
                        </a:prstGeom>
                        <a:solidFill>
                          <a:srgbClr val="D9D9D9"/>
                        </a:solidFill>
                      </wps:spPr>
                      <wps:bodyPr/>
                    </wps:wsp>
                  </a:graphicData>
                </a:graphic>
              </wp:anchor>
            </w:drawing>
          </mc:Choice>
          <mc:Fallback>
            <w:pict>
              <v:rect id="Shape 11" o:spid="_x0000_s1036" style="position:absolute;margin-left:304.15pt;margin-top:-25.5499pt;width:13.95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-168910</wp:posOffset>
                </wp:positionV>
                <wp:extent cx="2965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pt,-13.2999pt" to="327.45pt,-13.2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-168910</wp:posOffset>
                </wp:positionV>
                <wp:extent cx="177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9pt,-13.2999pt" to="397.9pt,-13.2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5765800</wp:posOffset>
                </wp:positionH>
                <wp:positionV relativeFrom="paragraph">
                  <wp:posOffset>-168910</wp:posOffset>
                </wp:positionV>
                <wp:extent cx="177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pt,-13.2999pt" to="468pt,-13.2999pt" o:allowincell="f" strokecolor="#FFFFFF" strokeweight="1.5pt"/>
            </w:pict>
          </mc:Fallback>
        </mc:AlternateConten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7"/>
        </w:trPr>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
              <w:spacing w:after="0" w:line="18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1"/>
              <w:spacing w:after="0" w:line="186"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0" w:type="dxa"/>
            <w:vAlign w:val="bottom"/>
            <w:tcBorders>
              <w:bottom w:val="single" w:sz="8" w:color="D9D9D9"/>
            </w:tcBorders>
          </w:tcPr>
          <w:p>
            <w:pPr>
              <w:spacing w:after="0"/>
              <w:rPr>
                <w:sz w:val="20"/>
                <w:szCs w:val="20"/>
                <w:color w:val="auto"/>
              </w:rPr>
            </w:pPr>
          </w:p>
        </w:tc>
        <w:tc>
          <w:tcPr>
            <w:tcW w:w="316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D9D9D9"/>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0" w:type="dxa"/>
            <w:vAlign w:val="bottom"/>
            <w:tcBorders>
              <w:bottom w:val="single" w:sz="8" w:color="D9D9D9"/>
            </w:tcBorders>
            <w:shd w:val="clear" w:color="auto" w:fill="D9D9D9"/>
          </w:tcPr>
          <w:p>
            <w:pPr>
              <w:spacing w:after="0"/>
              <w:rPr>
                <w:sz w:val="17"/>
                <w:szCs w:val="17"/>
                <w:color w:val="auto"/>
              </w:rPr>
            </w:pPr>
          </w:p>
        </w:tc>
        <w:tc>
          <w:tcPr>
            <w:tcW w:w="3360" w:type="dxa"/>
            <w:vAlign w:val="bottom"/>
            <w:tcBorders>
              <w:right w:val="single" w:sz="8" w:color="D9D9D9"/>
            </w:tcBorders>
            <w:gridSpan w:val="2"/>
            <w:shd w:val="clear" w:color="auto" w:fill="D9D9D9"/>
          </w:tcPr>
          <w:p>
            <w:pPr>
              <w:spacing w:after="0" w:line="201" w:lineRule="exact"/>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960" w:type="dxa"/>
            <w:vAlign w:val="bottom"/>
            <w:shd w:val="clear" w:color="auto" w:fill="D9D9D9"/>
          </w:tcPr>
          <w:p>
            <w:pPr>
              <w:jc w:val="right"/>
              <w:spacing w:after="0" w:line="201" w:lineRule="exact"/>
              <w:rPr>
                <w:sz w:val="20"/>
                <w:szCs w:val="20"/>
                <w:color w:val="auto"/>
              </w:rPr>
            </w:pPr>
            <w:r>
              <w:rPr>
                <w:rFonts w:ascii="Times New Roman" w:cs="Times New Roman" w:eastAsia="Times New Roman" w:hAnsi="Times New Roman"/>
                <w:sz w:val="20"/>
                <w:szCs w:val="20"/>
                <w:color w:val="auto"/>
              </w:rPr>
              <w:t>29,375</w:t>
            </w:r>
          </w:p>
        </w:tc>
        <w:tc>
          <w:tcPr>
            <w:tcW w:w="20" w:type="dxa"/>
            <w:vAlign w:val="bottom"/>
            <w:shd w:val="clear" w:color="auto" w:fill="D9D9D9"/>
          </w:tcPr>
          <w:p>
            <w:pPr>
              <w:spacing w:after="0"/>
              <w:rPr>
                <w:sz w:val="17"/>
                <w:szCs w:val="17"/>
                <w:color w:val="auto"/>
              </w:rPr>
            </w:pPr>
          </w:p>
        </w:tc>
        <w:tc>
          <w:tcPr>
            <w:tcW w:w="260" w:type="dxa"/>
            <w:vAlign w:val="bottom"/>
            <w:tcBorders>
              <w:right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1300" w:type="dxa"/>
            <w:vAlign w:val="bottom"/>
            <w:tcBorders>
              <w:bottom w:val="single" w:sz="8" w:color="D9D9D9"/>
            </w:tcBorders>
            <w:gridSpan w:val="3"/>
            <w:shd w:val="clear" w:color="auto" w:fill="D9D9D9"/>
          </w:tcPr>
          <w:p>
            <w:pPr>
              <w:jc w:val="right"/>
              <w:ind w:right="120"/>
              <w:spacing w:after="0" w:line="201" w:lineRule="exact"/>
              <w:rPr>
                <w:sz w:val="20"/>
                <w:szCs w:val="20"/>
                <w:color w:val="auto"/>
              </w:rPr>
            </w:pPr>
            <w:r>
              <w:rPr>
                <w:rFonts w:ascii="Times New Roman" w:cs="Times New Roman" w:eastAsia="Times New Roman" w:hAnsi="Times New Roman"/>
                <w:sz w:val="20"/>
                <w:szCs w:val="20"/>
                <w:color w:val="auto"/>
              </w:rPr>
              <w:t>21.9%</w:t>
            </w:r>
          </w:p>
        </w:tc>
        <w:tc>
          <w:tcPr>
            <w:tcW w:w="200" w:type="dxa"/>
            <w:vAlign w:val="bottom"/>
            <w:tcBorders>
              <w:bottom w:val="single" w:sz="8" w:color="D9D9D9"/>
              <w:right w:val="single" w:sz="8" w:color="D9D9D9"/>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1" w:lineRule="exact"/>
              <w:rPr>
                <w:sz w:val="20"/>
                <w:szCs w:val="20"/>
                <w:color w:val="auto"/>
              </w:rPr>
            </w:pPr>
            <w:r>
              <w:rPr>
                <w:rFonts w:ascii="Times New Roman" w:cs="Times New Roman" w:eastAsia="Times New Roman" w:hAnsi="Times New Roman"/>
                <w:sz w:val="20"/>
                <w:szCs w:val="20"/>
                <w:color w:val="auto"/>
              </w:rPr>
              <w:t>28,691</w:t>
            </w:r>
          </w:p>
        </w:tc>
        <w:tc>
          <w:tcPr>
            <w:tcW w:w="280" w:type="dxa"/>
            <w:vAlign w:val="bottom"/>
            <w:tcBorders>
              <w:right w:val="single" w:sz="8" w:color="D9D9D9"/>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line="201" w:lineRule="exact"/>
              <w:rPr>
                <w:sz w:val="20"/>
                <w:szCs w:val="20"/>
                <w:color w:val="auto"/>
              </w:rPr>
            </w:pPr>
            <w:r>
              <w:rPr>
                <w:rFonts w:ascii="Times New Roman" w:cs="Times New Roman" w:eastAsia="Times New Roman" w:hAnsi="Times New Roman"/>
                <w:sz w:val="20"/>
                <w:szCs w:val="20"/>
                <w:color w:val="auto"/>
              </w:rPr>
              <w:t>24.5</w:t>
            </w:r>
          </w:p>
        </w:tc>
        <w:tc>
          <w:tcPr>
            <w:tcW w:w="280" w:type="dxa"/>
            <w:vAlign w:val="bottom"/>
            <w:shd w:val="clear" w:color="auto" w:fill="D9D9D9"/>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1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Sales and marketing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45,512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34.0%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line="209" w:lineRule="exact"/>
              <w:rPr>
                <w:sz w:val="20"/>
                <w:szCs w:val="20"/>
                <w:color w:val="auto"/>
              </w:rPr>
            </w:pPr>
            <w:r>
              <w:rPr>
                <w:rFonts w:ascii="Times New Roman" w:cs="Times New Roman" w:eastAsia="Times New Roman" w:hAnsi="Times New Roman"/>
                <w:sz w:val="20"/>
                <w:szCs w:val="20"/>
                <w:color w:val="auto"/>
              </w:rPr>
              <w:t>49,214</w:t>
            </w:r>
          </w:p>
        </w:tc>
        <w:tc>
          <w:tcPr>
            <w:tcW w:w="10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42.0</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highlight w:val="white"/>
              </w:rPr>
              <w:t>%</w:t>
            </w:r>
          </w:p>
        </w:tc>
        <w:tc>
          <w:tcPr>
            <w:tcW w:w="0" w:type="dxa"/>
            <w:vAlign w:val="bottom"/>
          </w:tcPr>
          <w:p>
            <w:pPr>
              <w:spacing w:after="0"/>
              <w:rPr>
                <w:sz w:val="1"/>
                <w:szCs w:val="1"/>
                <w:color w:val="auto"/>
              </w:rPr>
            </w:pPr>
          </w:p>
        </w:tc>
      </w:tr>
      <w:tr>
        <w:trPr>
          <w:trHeight w:val="230"/>
        </w:trPr>
        <w:tc>
          <w:tcPr>
            <w:tcW w:w="200" w:type="dxa"/>
            <w:vAlign w:val="bottom"/>
            <w:shd w:val="clear" w:color="auto" w:fill="D9D9D9"/>
          </w:tcPr>
          <w:p>
            <w:pPr>
              <w:spacing w:after="0"/>
              <w:rPr>
                <w:sz w:val="20"/>
                <w:szCs w:val="20"/>
                <w:color w:val="auto"/>
              </w:rPr>
            </w:pPr>
          </w:p>
        </w:tc>
        <w:tc>
          <w:tcPr>
            <w:tcW w:w="3360" w:type="dxa"/>
            <w:vAlign w:val="bottom"/>
            <w:tcBorders>
              <w:right w:val="single" w:sz="8" w:color="D9D9D9"/>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2,102</w:t>
            </w:r>
          </w:p>
        </w:tc>
        <w:tc>
          <w:tcPr>
            <w:tcW w:w="20" w:type="dxa"/>
            <w:vAlign w:val="bottom"/>
            <w:shd w:val="clear" w:color="auto" w:fill="D9D9D9"/>
          </w:tcPr>
          <w:p>
            <w:pPr>
              <w:spacing w:after="0"/>
              <w:rPr>
                <w:sz w:val="20"/>
                <w:szCs w:val="20"/>
                <w:color w:val="auto"/>
              </w:rPr>
            </w:pPr>
          </w:p>
        </w:tc>
        <w:tc>
          <w:tcPr>
            <w:tcW w:w="26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2,385</w:t>
            </w:r>
          </w:p>
        </w:tc>
        <w:tc>
          <w:tcPr>
            <w:tcW w:w="28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0" w:type="dxa"/>
            <w:vAlign w:val="bottom"/>
          </w:tcPr>
          <w:p>
            <w:pPr>
              <w:spacing w:after="0"/>
              <w:rPr>
                <w:sz w:val="1"/>
                <w:szCs w:val="1"/>
                <w:color w:val="auto"/>
              </w:rPr>
            </w:pPr>
          </w:p>
        </w:tc>
      </w:tr>
      <w:tr>
        <w:trPr>
          <w:trHeight w:val="30"/>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0" w:type="dxa"/>
            <w:vAlign w:val="bottom"/>
          </w:tcPr>
          <w:p>
            <w:pPr>
              <w:spacing w:after="0" w:line="20" w:lineRule="exact"/>
              <w:rPr>
                <w:sz w:val="1"/>
                <w:szCs w:val="1"/>
                <w:color w:val="auto"/>
              </w:rPr>
            </w:pPr>
          </w:p>
        </w:tc>
      </w:tr>
      <w:tr>
        <w:trPr>
          <w:trHeight w:val="230"/>
        </w:trPr>
        <w:tc>
          <w:tcPr>
            <w:tcW w:w="35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76,989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57.5%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3360" w:type="dxa"/>
            <w:vAlign w:val="bottom"/>
            <w:gridSpan w:val="2"/>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20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60" w:type="dxa"/>
            <w:vAlign w:val="bottom"/>
            <w:shd w:val="clear" w:color="auto" w:fill="D9D9D9"/>
          </w:tcPr>
          <w:p>
            <w:pPr>
              <w:spacing w:after="0"/>
              <w:rPr>
                <w:sz w:val="2"/>
                <w:szCs w:val="2"/>
                <w:color w:val="auto"/>
              </w:rPr>
            </w:pPr>
          </w:p>
        </w:tc>
        <w:tc>
          <w:tcPr>
            <w:tcW w:w="20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0" w:type="dxa"/>
            <w:vAlign w:val="bottom"/>
          </w:tcPr>
          <w:p>
            <w:pPr>
              <w:spacing w:after="0" w:line="20" w:lineRule="exact"/>
              <w:rPr>
                <w:sz w:val="1"/>
                <w:szCs w:val="1"/>
                <w:color w:val="auto"/>
              </w:rPr>
            </w:pPr>
          </w:p>
        </w:tc>
      </w:tr>
      <w:tr>
        <w:trPr>
          <w:trHeight w:val="239"/>
        </w:trPr>
        <w:tc>
          <w:tcPr>
            <w:tcW w:w="3360" w:type="dxa"/>
            <w:vAlign w:val="bottom"/>
            <w:gridSpan w:val="2"/>
            <w:vMerge w:val="continue"/>
            <w:shd w:val="clear" w:color="auto" w:fill="D9D9D9"/>
          </w:tcPr>
          <w:p>
            <w:pPr>
              <w:spacing w:after="0"/>
              <w:rPr>
                <w:sz w:val="20"/>
                <w:szCs w:val="20"/>
                <w:color w:val="auto"/>
              </w:rPr>
            </w:pP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7,284</w:t>
            </w:r>
          </w:p>
        </w:tc>
        <w:tc>
          <w:tcPr>
            <w:tcW w:w="20" w:type="dxa"/>
            <w:vAlign w:val="bottom"/>
            <w:shd w:val="clear" w:color="auto" w:fill="D9D9D9"/>
          </w:tcPr>
          <w:p>
            <w:pPr>
              <w:spacing w:after="0"/>
              <w:rPr>
                <w:sz w:val="20"/>
                <w:szCs w:val="20"/>
                <w:color w:val="auto"/>
              </w:rPr>
            </w:pPr>
          </w:p>
        </w:tc>
        <w:tc>
          <w:tcPr>
            <w:tcW w:w="26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(12,074)</w:t>
            </w:r>
          </w:p>
        </w:tc>
        <w:tc>
          <w:tcPr>
            <w:tcW w:w="28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80" w:type="dxa"/>
            <w:vAlign w:val="bottom"/>
            <w:vMerge w:val="continue"/>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3560" w:type="dxa"/>
            <w:vAlign w:val="bottom"/>
            <w:tcBorders>
              <w:top w:val="single" w:sz="8" w:color="D9D9D9"/>
            </w:tcBorders>
            <w:gridSpan w:val="3"/>
          </w:tcPr>
          <w:p>
            <w:pPr>
              <w:spacing w:after="0"/>
              <w:rPr>
                <w:sz w:val="20"/>
                <w:szCs w:val="20"/>
                <w:color w:val="auto"/>
              </w:rPr>
            </w:pPr>
            <w:r>
              <w:rPr>
                <w:rFonts w:ascii="Times New Roman" w:cs="Times New Roman" w:eastAsia="Times New Roman" w:hAnsi="Times New Roman"/>
                <w:sz w:val="20"/>
                <w:szCs w:val="20"/>
                <w:color w:val="auto"/>
              </w:rPr>
              <w:t>Other (Expense) Income</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D9D9D9"/>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D9D9D9"/>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D9D9D9"/>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D9D9D9"/>
          </w:tcPr>
          <w:p>
            <w:pPr>
              <w:spacing w:after="0"/>
              <w:rPr>
                <w:sz w:val="20"/>
                <w:szCs w:val="20"/>
                <w:color w:val="auto"/>
              </w:rPr>
            </w:pPr>
          </w:p>
        </w:tc>
        <w:tc>
          <w:tcPr>
            <w:tcW w:w="3360" w:type="dxa"/>
            <w:vAlign w:val="bottom"/>
            <w:tcBorders>
              <w:right w:val="single" w:sz="8" w:color="D9D9D9"/>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(3,671</w:t>
            </w:r>
          </w:p>
        </w:tc>
        <w:tc>
          <w:tcPr>
            <w:tcW w:w="20" w:type="dxa"/>
            <w:vAlign w:val="bottom"/>
            <w:shd w:val="clear" w:color="auto" w:fill="D9D9D9"/>
          </w:tcPr>
          <w:p>
            <w:pPr>
              <w:spacing w:after="0"/>
              <w:rPr>
                <w:sz w:val="20"/>
                <w:szCs w:val="20"/>
                <w:color w:val="auto"/>
              </w:rPr>
            </w:pPr>
          </w:p>
        </w:tc>
        <w:tc>
          <w:tcPr>
            <w:tcW w:w="260" w:type="dxa"/>
            <w:vAlign w:val="bottom"/>
            <w:tcBorders>
              <w:right w:val="single" w:sz="8" w:color="D9D9D9"/>
            </w:tcBorders>
            <w:shd w:val="clear" w:color="auto" w:fill="D9D9D9"/>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gridSpan w:val="2"/>
            <w:shd w:val="clear" w:color="auto" w:fill="D9D9D9"/>
          </w:tcPr>
          <w:p>
            <w:pPr>
              <w:jc w:val="right"/>
              <w:ind w:right="140"/>
              <w:spacing w:after="0"/>
              <w:rPr>
                <w:sz w:val="20"/>
                <w:szCs w:val="20"/>
                <w:color w:val="auto"/>
              </w:rPr>
            </w:pPr>
            <w:r>
              <w:rPr>
                <w:rFonts w:ascii="Times New Roman" w:cs="Times New Roman" w:eastAsia="Times New Roman" w:hAnsi="Times New Roman"/>
                <w:sz w:val="20"/>
                <w:szCs w:val="20"/>
                <w:color w:val="auto"/>
              </w:rPr>
              <w:t>(4,160)</w:t>
            </w:r>
          </w:p>
        </w:tc>
        <w:tc>
          <w:tcPr>
            <w:tcW w:w="100" w:type="dxa"/>
            <w:vAlign w:val="bottom"/>
            <w:shd w:val="clear" w:color="auto" w:fill="D9D9D9"/>
          </w:tcPr>
          <w:p>
            <w:pPr>
              <w:spacing w:after="0"/>
              <w:rPr>
                <w:sz w:val="20"/>
                <w:szCs w:val="20"/>
                <w:color w:val="auto"/>
              </w:rPr>
            </w:pPr>
          </w:p>
        </w:tc>
        <w:tc>
          <w:tcPr>
            <w:tcW w:w="130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r>
        <w:trPr>
          <w:trHeight w:val="229"/>
        </w:trPr>
        <w:tc>
          <w:tcPr>
            <w:tcW w:w="200" w:type="dxa"/>
            <w:vAlign w:val="bottom"/>
            <w:shd w:val="clear" w:color="auto" w:fill="D9D9D9"/>
          </w:tcPr>
          <w:p>
            <w:pPr>
              <w:spacing w:after="0"/>
              <w:rPr>
                <w:sz w:val="19"/>
                <w:szCs w:val="19"/>
                <w:color w:val="auto"/>
              </w:rPr>
            </w:pPr>
          </w:p>
        </w:tc>
        <w:tc>
          <w:tcPr>
            <w:tcW w:w="31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9"/>
              </w:rPr>
              <w:t>Unrealized foreign currency translation</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26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28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2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D9D9D9"/>
          </w:tcPr>
          <w:p>
            <w:pPr>
              <w:spacing w:after="0"/>
              <w:rPr>
                <w:sz w:val="20"/>
                <w:szCs w:val="20"/>
                <w:color w:val="auto"/>
              </w:rPr>
            </w:pPr>
          </w:p>
        </w:tc>
        <w:tc>
          <w:tcPr>
            <w:tcW w:w="31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(loss) gain</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shd w:val="clear" w:color="auto" w:fill="D9D9D9"/>
          </w:tcPr>
          <w:p>
            <w:pPr>
              <w:spacing w:after="0"/>
              <w:rPr>
                <w:sz w:val="20"/>
                <w:szCs w:val="20"/>
                <w:color w:val="auto"/>
              </w:rPr>
            </w:pPr>
          </w:p>
        </w:tc>
        <w:tc>
          <w:tcPr>
            <w:tcW w:w="260" w:type="dxa"/>
            <w:vAlign w:val="bottom"/>
            <w:tcBorders>
              <w:right w:val="single" w:sz="8" w:color="D9D9D9"/>
            </w:tcBorders>
            <w:shd w:val="clear" w:color="auto" w:fill="D9D9D9"/>
          </w:tcPr>
          <w:p>
            <w:pPr>
              <w:jc w:val="right"/>
              <w:ind w:right="180"/>
              <w:spacing w:after="0"/>
              <w:rPr>
                <w:sz w:val="20"/>
                <w:szCs w:val="20"/>
                <w:color w:val="auto"/>
              </w:rPr>
            </w:pPr>
            <w:r>
              <w:rPr>
                <w:rFonts w:ascii="Times New Roman" w:cs="Times New Roman" w:eastAsia="Times New Roman" w:hAnsi="Times New Roman"/>
                <w:sz w:val="8"/>
                <w:szCs w:val="8"/>
                <w:color w:val="auto"/>
                <w:highlight w:val="lightGray"/>
                <w:w w:val="73"/>
              </w:rPr>
              <w:t>)</w:t>
            </w:r>
          </w:p>
        </w:tc>
        <w:tc>
          <w:tcPr>
            <w:tcW w:w="10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gridSpan w:val="2"/>
            <w:shd w:val="clear" w:color="auto" w:fill="D9D9D9"/>
          </w:tcPr>
          <w:p>
            <w:pPr>
              <w:jc w:val="right"/>
              <w:ind w:right="200"/>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divestiture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r>
        <w:trPr>
          <w:trHeight w:val="229"/>
        </w:trPr>
        <w:tc>
          <w:tcPr>
            <w:tcW w:w="200" w:type="dxa"/>
            <w:vAlign w:val="bottom"/>
            <w:shd w:val="clear" w:color="auto" w:fill="D9D9D9"/>
          </w:tcPr>
          <w:p>
            <w:pPr>
              <w:spacing w:after="0"/>
              <w:rPr>
                <w:sz w:val="19"/>
                <w:szCs w:val="19"/>
                <w:color w:val="auto"/>
              </w:rPr>
            </w:pPr>
          </w:p>
        </w:tc>
        <w:tc>
          <w:tcPr>
            <w:tcW w:w="3360" w:type="dxa"/>
            <w:vAlign w:val="bottom"/>
            <w:tcBorders>
              <w:right w:val="single" w:sz="8" w:color="D9D9D9"/>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shd w:val="clear" w:color="auto" w:fill="D9D9D9"/>
          </w:tcPr>
          <w:p>
            <w:pPr>
              <w:spacing w:after="0"/>
              <w:rPr>
                <w:sz w:val="19"/>
                <w:szCs w:val="19"/>
                <w:color w:val="auto"/>
              </w:rPr>
            </w:pPr>
          </w:p>
        </w:tc>
        <w:tc>
          <w:tcPr>
            <w:tcW w:w="26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gridSpan w:val="3"/>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8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Other (Expense) Income</w:t>
            </w: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9D9D9"/>
            </w:tcBorders>
            <w:vMerge w:val="restart"/>
          </w:tcPr>
          <w:p>
            <w:pPr>
              <w:spacing w:after="0" w:line="20" w:lineRule="exact"/>
              <w:rPr>
                <w:sz w:val="1"/>
                <w:szCs w:val="1"/>
                <w:color w:val="auto"/>
              </w:rPr>
            </w:pPr>
          </w:p>
        </w:tc>
        <w:tc>
          <w:tcPr>
            <w:tcW w:w="26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gridSpan w:val="2"/>
            <w:shd w:val="clear" w:color="auto" w:fill="000000"/>
          </w:tcPr>
          <w:p>
            <w:pPr>
              <w:spacing w:after="0" w:line="20" w:lineRule="exact"/>
              <w:rPr>
                <w:sz w:val="1"/>
                <w:szCs w:val="1"/>
                <w:color w:val="auto"/>
              </w:rPr>
            </w:pPr>
          </w:p>
        </w:tc>
        <w:tc>
          <w:tcPr>
            <w:tcW w:w="26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0" w:type="dxa"/>
            <w:vAlign w:val="bottom"/>
          </w:tcPr>
          <w:p>
            <w:pPr>
              <w:spacing w:after="0" w:line="20" w:lineRule="exact"/>
              <w:rPr>
                <w:sz w:val="1"/>
                <w:szCs w:val="1"/>
                <w:color w:val="auto"/>
              </w:rPr>
            </w:pPr>
          </w:p>
        </w:tc>
      </w:tr>
      <w:tr>
        <w:trPr>
          <w:trHeight w:val="230"/>
        </w:trPr>
        <w:tc>
          <w:tcPr>
            <w:tcW w:w="3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(283</w:t>
            </w:r>
          </w:p>
        </w:tc>
        <w:tc>
          <w:tcPr>
            <w:tcW w:w="20" w:type="dxa"/>
            <w:vAlign w:val="bottom"/>
            <w:vMerge w:val="continue"/>
          </w:tcPr>
          <w:p>
            <w:pPr>
              <w:spacing w:after="0"/>
              <w:rPr>
                <w:sz w:val="20"/>
                <w:szCs w:val="20"/>
                <w:color w:val="auto"/>
              </w:rPr>
            </w:pP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20"/>
                <w:szCs w:val="20"/>
                <w:color w:val="auto"/>
              </w:rPr>
            </w:pPr>
          </w:p>
        </w:tc>
        <w:tc>
          <w:tcPr>
            <w:tcW w:w="1300" w:type="dxa"/>
            <w:vAlign w:val="bottom"/>
            <w:gridSpan w:val="3"/>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(4,188</w:t>
            </w:r>
          </w:p>
        </w:tc>
        <w:tc>
          <w:tcPr>
            <w:tcW w:w="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(3.6</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Borders>
              <w:top w:val="single" w:sz="8" w:color="D9D9D9"/>
              <w:right w:val="single" w:sz="8" w:color="D9D9D9"/>
            </w:tcBorders>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Income (Loss) from Operations</w:t>
            </w:r>
          </w:p>
        </w:tc>
        <w:tc>
          <w:tcPr>
            <w:tcW w:w="100" w:type="dxa"/>
            <w:vAlign w:val="bottom"/>
            <w:tcBorders>
              <w:top w:val="single" w:sz="8" w:color="auto"/>
            </w:tcBorders>
            <w:shd w:val="clear" w:color="auto" w:fill="D9D9D9"/>
          </w:tcPr>
          <w:p>
            <w:pPr>
              <w:spacing w:after="0"/>
              <w:rPr>
                <w:sz w:val="20"/>
                <w:szCs w:val="20"/>
                <w:color w:val="auto"/>
              </w:rPr>
            </w:pPr>
          </w:p>
        </w:tc>
        <w:tc>
          <w:tcPr>
            <w:tcW w:w="60" w:type="dxa"/>
            <w:vAlign w:val="bottom"/>
            <w:tcBorders>
              <w:top w:val="single" w:sz="8" w:color="auto"/>
            </w:tcBorders>
            <w:shd w:val="clear" w:color="auto" w:fill="D9D9D9"/>
          </w:tcPr>
          <w:p>
            <w:pPr>
              <w:spacing w:after="0"/>
              <w:rPr>
                <w:sz w:val="20"/>
                <w:szCs w:val="20"/>
                <w:color w:val="auto"/>
              </w:rPr>
            </w:pPr>
          </w:p>
        </w:tc>
        <w:tc>
          <w:tcPr>
            <w:tcW w:w="960" w:type="dxa"/>
            <w:vAlign w:val="bottom"/>
            <w:tcBorders>
              <w:top w:val="single" w:sz="8" w:color="auto"/>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60" w:type="dxa"/>
            <w:vAlign w:val="bottom"/>
            <w:tcBorders>
              <w:top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200" w:type="dxa"/>
            <w:vAlign w:val="bottom"/>
            <w:tcBorders>
              <w:top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020" w:type="dxa"/>
            <w:vAlign w:val="bottom"/>
            <w:tcBorders>
              <w:top w:val="single" w:sz="8" w:color="auto"/>
            </w:tcBorders>
            <w:shd w:val="clear" w:color="auto" w:fill="D9D9D9"/>
          </w:tcPr>
          <w:p>
            <w:pPr>
              <w:spacing w:after="0"/>
              <w:rPr>
                <w:sz w:val="20"/>
                <w:szCs w:val="20"/>
                <w:color w:val="auto"/>
              </w:rPr>
            </w:pPr>
          </w:p>
        </w:tc>
        <w:tc>
          <w:tcPr>
            <w:tcW w:w="280" w:type="dxa"/>
            <w:vAlign w:val="bottom"/>
            <w:tcBorders>
              <w:top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020" w:type="dxa"/>
            <w:vAlign w:val="bottom"/>
            <w:tcBorders>
              <w:top w:val="single" w:sz="8" w:color="auto"/>
            </w:tcBorders>
            <w:shd w:val="clear" w:color="auto" w:fill="D9D9D9"/>
          </w:tcPr>
          <w:p>
            <w:pPr>
              <w:spacing w:after="0"/>
              <w:rPr>
                <w:sz w:val="20"/>
                <w:szCs w:val="20"/>
                <w:color w:val="auto"/>
              </w:rPr>
            </w:pPr>
          </w:p>
        </w:tc>
        <w:tc>
          <w:tcPr>
            <w:tcW w:w="280" w:type="dxa"/>
            <w:vAlign w:val="bottom"/>
            <w:tcBorders>
              <w:top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tcBorders>
              <w:right w:val="single" w:sz="8" w:color="D9D9D9"/>
            </w:tcBorders>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Before Provision for Income Taxes</w:t>
            </w:r>
          </w:p>
        </w:tc>
        <w:tc>
          <w:tcPr>
            <w:tcW w:w="10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7,001</w:t>
            </w:r>
          </w:p>
        </w:tc>
        <w:tc>
          <w:tcPr>
            <w:tcW w:w="20" w:type="dxa"/>
            <w:vAlign w:val="bottom"/>
            <w:shd w:val="clear" w:color="auto" w:fill="D9D9D9"/>
          </w:tcPr>
          <w:p>
            <w:pPr>
              <w:spacing w:after="0"/>
              <w:rPr>
                <w:sz w:val="20"/>
                <w:szCs w:val="20"/>
                <w:color w:val="auto"/>
              </w:rPr>
            </w:pPr>
          </w:p>
        </w:tc>
        <w:tc>
          <w:tcPr>
            <w:tcW w:w="26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5.2%</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(16,262)</w:t>
            </w:r>
          </w:p>
        </w:tc>
        <w:tc>
          <w:tcPr>
            <w:tcW w:w="28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3"/>
        </w:trPr>
        <w:tc>
          <w:tcPr>
            <w:tcW w:w="3560" w:type="dxa"/>
            <w:vAlign w:val="bottom"/>
            <w:gridSpan w:val="3"/>
          </w:tcPr>
          <w:p>
            <w:pPr>
              <w:spacing w:after="0"/>
              <w:rPr>
                <w:sz w:val="20"/>
                <w:szCs w:val="20"/>
                <w:color w:val="auto"/>
              </w:rPr>
            </w:pPr>
            <w:r>
              <w:rPr>
                <w:rFonts w:ascii="Times New Roman" w:cs="Times New Roman" w:eastAsia="Times New Roman" w:hAnsi="Times New Roman"/>
                <w:sz w:val="20"/>
                <w:szCs w:val="20"/>
                <w:color w:val="auto"/>
                <w:highlight w:val="white"/>
              </w:rPr>
              <w:t>(Provision) Benefit for Income Taxes</w:t>
            </w: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top w:val="single" w:sz="8" w:color="D9D9D9"/>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80" w:type="dxa"/>
            <w:vAlign w:val="bottom"/>
            <w:tcBorders>
              <w:top w:val="single" w:sz="8" w:color="D9D9D9"/>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80" w:type="dxa"/>
            <w:vAlign w:val="bottom"/>
            <w:tcBorders>
              <w:top w:val="single" w:sz="8" w:color="D9D9D9"/>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Current and Deferred</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9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9D9D9"/>
          </w:tcPr>
          <w:p>
            <w:pPr>
              <w:spacing w:after="0"/>
              <w:rPr>
                <w:sz w:val="20"/>
                <w:szCs w:val="20"/>
                <w:color w:val="auto"/>
              </w:rPr>
            </w:pPr>
          </w:p>
        </w:tc>
        <w:tc>
          <w:tcPr>
            <w:tcW w:w="260" w:type="dxa"/>
            <w:vAlign w:val="bottom"/>
            <w:tcBorders>
              <w:right w:val="single" w:sz="8" w:color="D9D9D9"/>
            </w:tcBorders>
            <w:shd w:val="clear" w:color="auto" w:fill="D9D9D9"/>
          </w:tcPr>
          <w:p>
            <w:pPr>
              <w:jc w:val="right"/>
              <w:ind w:right="180"/>
              <w:spacing w:after="0"/>
              <w:rPr>
                <w:sz w:val="20"/>
                <w:szCs w:val="20"/>
                <w:color w:val="auto"/>
              </w:rPr>
            </w:pPr>
            <w:r>
              <w:rPr>
                <w:rFonts w:ascii="Times New Roman" w:cs="Times New Roman" w:eastAsia="Times New Roman" w:hAnsi="Times New Roman"/>
                <w:sz w:val="8"/>
                <w:szCs w:val="8"/>
                <w:color w:val="auto"/>
                <w:highlight w:val="lightGray"/>
                <w:w w:val="73"/>
              </w:rPr>
              <w:t>)</w:t>
            </w:r>
          </w:p>
        </w:tc>
        <w:tc>
          <w:tcPr>
            <w:tcW w:w="10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28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0" w:type="dxa"/>
            <w:vAlign w:val="bottom"/>
          </w:tcPr>
          <w:p>
            <w:pPr>
              <w:spacing w:after="0"/>
              <w:rPr>
                <w:sz w:val="1"/>
                <w:szCs w:val="1"/>
                <w:color w:val="auto"/>
              </w:rPr>
            </w:pPr>
          </w:p>
        </w:tc>
      </w:tr>
      <w:tr>
        <w:trPr>
          <w:trHeight w:val="30"/>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60" w:type="dxa"/>
            <w:vAlign w:val="bottom"/>
            <w:gridSpan w:val="2"/>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0" w:type="dxa"/>
            <w:vAlign w:val="bottom"/>
          </w:tcPr>
          <w:p>
            <w:pPr>
              <w:spacing w:after="0" w:line="20" w:lineRule="exact"/>
              <w:rPr>
                <w:sz w:val="1"/>
                <w:szCs w:val="1"/>
                <w:color w:val="auto"/>
              </w:rPr>
            </w:pPr>
          </w:p>
        </w:tc>
      </w:tr>
      <w:tr>
        <w:trPr>
          <w:trHeight w:val="233"/>
        </w:trPr>
        <w:tc>
          <w:tcPr>
            <w:tcW w:w="3560" w:type="dxa"/>
            <w:vAlign w:val="bottom"/>
            <w:gridSpan w:val="3"/>
            <w:vMerge w:val="continue"/>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3149600</wp:posOffset>
                </wp:positionH>
                <wp:positionV relativeFrom="paragraph">
                  <wp:posOffset>-2807970</wp:posOffset>
                </wp:positionV>
                <wp:extent cx="712470" cy="14605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470" cy="146050"/>
                        </a:xfrm>
                        <a:prstGeom prst="rect">
                          <a:avLst/>
                        </a:prstGeom>
                        <a:solidFill>
                          <a:srgbClr val="FFFFFF"/>
                        </a:solidFill>
                      </wps:spPr>
                      <wps:bodyPr/>
                    </wps:wsp>
                  </a:graphicData>
                </a:graphic>
              </wp:anchor>
            </w:drawing>
          </mc:Choice>
          <mc:Fallback>
            <w:pict>
              <v:rect id="Shape 15" o:spid="_x0000_s1040" style="position:absolute;margin-left:248pt;margin-top:-221.0999pt;width:56.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-2807970</wp:posOffset>
                </wp:positionV>
                <wp:extent cx="295910" cy="1460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910" cy="146050"/>
                        </a:xfrm>
                        <a:prstGeom prst="rect">
                          <a:avLst/>
                        </a:prstGeom>
                        <a:solidFill>
                          <a:srgbClr val="FFFFFF"/>
                        </a:solidFill>
                      </wps:spPr>
                      <wps:bodyPr/>
                    </wps:wsp>
                  </a:graphicData>
                </a:graphic>
              </wp:anchor>
            </w:drawing>
          </mc:Choice>
          <mc:Fallback>
            <w:pict>
              <v:rect id="Shape 16" o:spid="_x0000_s1041" style="position:absolute;margin-left:304.1pt;margin-top:-221.0999pt;width:23.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2973070</wp:posOffset>
                </wp:positionH>
                <wp:positionV relativeFrom="paragraph">
                  <wp:posOffset>-2506345</wp:posOffset>
                </wp:positionV>
                <wp:extent cx="17653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53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1pt,-197.3499pt" to="248pt,-197.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3862705</wp:posOffset>
                </wp:positionH>
                <wp:positionV relativeFrom="paragraph">
                  <wp:posOffset>-2661920</wp:posOffset>
                </wp:positionV>
                <wp:extent cx="177165" cy="16573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 cy="165735"/>
                        </a:xfrm>
                        <a:prstGeom prst="rect">
                          <a:avLst/>
                        </a:prstGeom>
                        <a:solidFill>
                          <a:srgbClr val="D9D9D9"/>
                        </a:solidFill>
                      </wps:spPr>
                      <wps:bodyPr/>
                    </wps:wsp>
                  </a:graphicData>
                </a:graphic>
              </wp:anchor>
            </w:drawing>
          </mc:Choice>
          <mc:Fallback>
            <w:pict>
              <v:rect id="Shape 18" o:spid="_x0000_s1043" style="position:absolute;margin-left:304.15pt;margin-top:-209.5999pt;width:13.95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-2506345</wp:posOffset>
                </wp:positionV>
                <wp:extent cx="29654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pt,-197.3499pt" to="327.45pt,-197.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-2176145</wp:posOffset>
                </wp:positionV>
                <wp:extent cx="225615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615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1.3499pt" to="177.65pt,-171.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2973070</wp:posOffset>
                </wp:positionH>
                <wp:positionV relativeFrom="paragraph">
                  <wp:posOffset>-2176145</wp:posOffset>
                </wp:positionV>
                <wp:extent cx="17653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53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1pt,-171.3499pt" to="248pt,-171.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3862705</wp:posOffset>
                </wp:positionH>
                <wp:positionV relativeFrom="paragraph">
                  <wp:posOffset>-2331085</wp:posOffset>
                </wp:positionV>
                <wp:extent cx="177165" cy="1644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 cy="164465"/>
                        </a:xfrm>
                        <a:prstGeom prst="rect">
                          <a:avLst/>
                        </a:prstGeom>
                        <a:solidFill>
                          <a:srgbClr val="D9D9D9"/>
                        </a:solidFill>
                      </wps:spPr>
                      <wps:bodyPr/>
                    </wps:wsp>
                  </a:graphicData>
                </a:graphic>
              </wp:anchor>
            </w:drawing>
          </mc:Choice>
          <mc:Fallback>
            <w:pict>
              <v:rect id="Shape 22" o:spid="_x0000_s1047" style="position:absolute;margin-left:304.15pt;margin-top:-183.5499pt;width:13.9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-2176145</wp:posOffset>
                </wp:positionV>
                <wp:extent cx="2965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pt,-171.3499pt" to="327.45pt,-171.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-2176145</wp:posOffset>
                </wp:positionV>
                <wp:extent cx="177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9pt,-171.3499pt" to="397.9pt,-171.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5765800</wp:posOffset>
                </wp:positionH>
                <wp:positionV relativeFrom="paragraph">
                  <wp:posOffset>-2176145</wp:posOffset>
                </wp:positionV>
                <wp:extent cx="177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pt,-171.3499pt" to="468pt,-171.3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-1437005</wp:posOffset>
                </wp:positionV>
                <wp:extent cx="177800" cy="14668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146685"/>
                        </a:xfrm>
                        <a:prstGeom prst="rect">
                          <a:avLst/>
                        </a:prstGeom>
                        <a:solidFill>
                          <a:srgbClr val="D9D9D9"/>
                        </a:solidFill>
                      </wps:spPr>
                      <wps:bodyPr/>
                    </wps:wsp>
                  </a:graphicData>
                </a:graphic>
              </wp:anchor>
            </w:drawing>
          </mc:Choice>
          <mc:Fallback>
            <w:pict>
              <v:rect id="Shape 26" o:spid="_x0000_s1051" style="position:absolute;margin-left:304.1pt;margin-top:-113.1499pt;width:1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2973070</wp:posOffset>
                </wp:positionH>
                <wp:positionV relativeFrom="paragraph">
                  <wp:posOffset>-989330</wp:posOffset>
                </wp:positionV>
                <wp:extent cx="17653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530" cy="4763"/>
                        </a:xfrm>
                        <a:prstGeom prst="line">
                          <a:avLst/>
                        </a:prstGeom>
                        <a:solidFill>
                          <a:srgbClr val="FFFFFF"/>
                        </a:solidFill>
                        <a:ln w="19051">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1pt,-77.8999pt" to="248pt,-77.8999pt" o:allowincell="f" strokecolor="#FFFFFF" strokeweight="1.5001pt"/>
            </w:pict>
          </mc:Fallback>
        </mc:AlternateContent>
        <mc:AlternateContent>
          <mc:Choice Requires="wps">
            <w:drawing>
              <wp:anchor simplePos="0" relativeHeight="251657728" behindDoc="1" locked="0" layoutInCell="0" allowOverlap="1">
                <wp:simplePos x="0" y="0"/>
                <wp:positionH relativeFrom="column">
                  <wp:posOffset>3862705</wp:posOffset>
                </wp:positionH>
                <wp:positionV relativeFrom="paragraph">
                  <wp:posOffset>-1143635</wp:posOffset>
                </wp:positionV>
                <wp:extent cx="177165" cy="1644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 cy="164465"/>
                        </a:xfrm>
                        <a:prstGeom prst="rect">
                          <a:avLst/>
                        </a:prstGeom>
                        <a:solidFill>
                          <a:srgbClr val="D9D9D9"/>
                        </a:solidFill>
                      </wps:spPr>
                      <wps:bodyPr/>
                    </wps:wsp>
                  </a:graphicData>
                </a:graphic>
              </wp:anchor>
            </w:drawing>
          </mc:Choice>
          <mc:Fallback>
            <w:pict>
              <v:rect id="Shape 28" o:spid="_x0000_s1053" style="position:absolute;margin-left:304.15pt;margin-top:-90.0499pt;width:13.9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-989330</wp:posOffset>
                </wp:positionV>
                <wp:extent cx="2965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19051">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pt,-77.8999pt" to="327.45pt,-77.8999pt" o:allowincell="f" strokecolor="#FFFFFF" strokeweight="1.5001pt"/>
            </w:pict>
          </mc:Fallback>
        </mc:AlternateContent>
        <mc:AlternateContent>
          <mc:Choice Requires="wps">
            <w:drawing>
              <wp:anchor simplePos="0" relativeHeight="251657728" behindDoc="1" locked="0" layoutInCell="0" allowOverlap="1">
                <wp:simplePos x="0" y="0"/>
                <wp:positionH relativeFrom="column">
                  <wp:posOffset>3209290</wp:posOffset>
                </wp:positionH>
                <wp:positionV relativeFrom="paragraph">
                  <wp:posOffset>-814070</wp:posOffset>
                </wp:positionV>
                <wp:extent cx="652780" cy="2914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 cy="291465"/>
                        </a:xfrm>
                        <a:prstGeom prst="rect">
                          <a:avLst/>
                        </a:prstGeom>
                        <a:solidFill>
                          <a:srgbClr val="D9D9D9"/>
                        </a:solidFill>
                      </wps:spPr>
                      <wps:bodyPr/>
                    </wps:wsp>
                  </a:graphicData>
                </a:graphic>
              </wp:anchor>
            </w:drawing>
          </mc:Choice>
          <mc:Fallback>
            <w:pict>
              <v:rect id="Shape 30" o:spid="_x0000_s1055" style="position:absolute;margin-left:252.7pt;margin-top:-64.0999pt;width:51.4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3862705</wp:posOffset>
                </wp:positionH>
                <wp:positionV relativeFrom="paragraph">
                  <wp:posOffset>-814070</wp:posOffset>
                </wp:positionV>
                <wp:extent cx="177165" cy="3111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 cy="311150"/>
                        </a:xfrm>
                        <a:prstGeom prst="rect">
                          <a:avLst/>
                        </a:prstGeom>
                        <a:solidFill>
                          <a:srgbClr val="D9D9D9"/>
                        </a:solidFill>
                      </wps:spPr>
                      <wps:bodyPr/>
                    </wps:wsp>
                  </a:graphicData>
                </a:graphic>
              </wp:anchor>
            </w:drawing>
          </mc:Choice>
          <mc:Fallback>
            <w:pict>
              <v:rect id="Shape 31" o:spid="_x0000_s1056" style="position:absolute;margin-left:304.15pt;margin-top:-64.0999pt;width:13.95pt;height: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-668020</wp:posOffset>
                </wp:positionV>
                <wp:extent cx="177800" cy="14541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145415"/>
                        </a:xfrm>
                        <a:prstGeom prst="rect">
                          <a:avLst/>
                        </a:prstGeom>
                        <a:solidFill>
                          <a:srgbClr val="D9D9D9"/>
                        </a:solidFill>
                      </wps:spPr>
                      <wps:bodyPr/>
                    </wps:wsp>
                  </a:graphicData>
                </a:graphic>
              </wp:anchor>
            </w:drawing>
          </mc:Choice>
          <mc:Fallback>
            <w:pict>
              <v:rect id="Shape 32" o:spid="_x0000_s1057" style="position:absolute;margin-left:304.1pt;margin-top:-52.5999pt;width:14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-513080</wp:posOffset>
                </wp:positionV>
                <wp:extent cx="29654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pt,-40.3999pt" to="327.45pt,-40.3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-513080</wp:posOffset>
                </wp:positionV>
                <wp:extent cx="1778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9pt,-40.3999pt" to="397.9pt,-40.3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5765800</wp:posOffset>
                </wp:positionH>
                <wp:positionV relativeFrom="paragraph">
                  <wp:posOffset>-513080</wp:posOffset>
                </wp:positionV>
                <wp:extent cx="1778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pt,-40.3999pt" to="468pt,-40.3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3862070</wp:posOffset>
                </wp:positionH>
                <wp:positionV relativeFrom="paragraph">
                  <wp:posOffset>-186690</wp:posOffset>
                </wp:positionV>
                <wp:extent cx="2965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pt,-14.6999pt" to="327.45pt,-14.6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231902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902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182.6pt,-1.24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2973070</wp:posOffset>
                </wp:positionH>
                <wp:positionV relativeFrom="paragraph">
                  <wp:posOffset>-15875</wp:posOffset>
                </wp:positionV>
                <wp:extent cx="297053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053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1pt,-1.2499pt" to="468pt,-1.2499pt" o:allowincell="f" strokecolor="#FFFFFF" strokeweight="2.5199pt"/>
            </w:pict>
          </mc:Fallback>
        </mc:AlternateConten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Total revenue for the year ended December 31, 2025 increased 14% to $133.9 million compared to $117.3 million for the prior year. This increase is attributed primarily to $18.7 million of license revenue recognized for the year ended December 31, 2025 compared to $1.5 million for the year ended December 31, 2024, and an increase in volume of orthobiologics sales. These increases were partially offset by decreased hardware revenue in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spacing w:after="0" w:line="237"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Cost of sales consists primarily of manufacturing cost, product purchase costs, and depreciation of surgical instruments. Cost of sales also includes reserves for estimated excess inventory and inventory on consignment that may be missing and not returned. Cost of sales increased by 1%, or $0.6 million, to $49.7 million for the year ended December 31, 2025 from $49.1 million for the year ended December 31, 2024. The increase was due primarily to increased charges for excess and obsolete inventory, partially offset by reduced product costs resulting from the transition to internal production in 2025 compared to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37"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Gross profit as a percentage of revenue increased to 62.9% for the year ended December 31, 2025 compared to 58.2% for the year ended December 31, 2024. Of this increase, 530 basis points were due to sales mix and greater scale, partially offset by a decrease of 260 basis points due to increased charges for excess and obsolete inventory.</w:t>
      </w: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19" w:right="1440" w:bottom="17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7"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for corporate employees, cash-based and stock-based compensation related costs, amortization, and corporate expenses for legal, accounting and other professional fees, as well as occupancy costs. General and administrative expenses increased 2%, or $0.7 million, to $29.4 million for the year ended December 31, 2025 compared to $28.7 million for the year ended December 31, 2024. This increase is primarily attributable to $2.2 million of additional expense related to various compensation plans, $0.7 million of additional bad debt expense, $0.7 million of additional legal fees associated primarily with the divestiture transactions with Companion Spine, partially offset by $1.2 million of reduced stock-based compensation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23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Sales and marketing expenses consist primarily of sales commissions; personnel costs for sales and marketing employees; costs for trade shows, sales conventions and meetings; travel expenses; advertising; and other sales and marketing related costs. Sales and marketing expenses decreased 8%, or $3.7 million, to $45.5 million for the year ended December 31, 2025 compared to $49.2 million for the year ended December 31, 2024. This decrease is primarily due to reduced commission expense of $ 3.9 million resulting from revenue mix and $2.1 million of reduced compensation expense related to headcount, partially offset by $2.9 million of additional consulting fees.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38" w:lineRule="exact"/>
        <w:rPr>
          <w:sz w:val="20"/>
          <w:szCs w:val="20"/>
          <w:color w:val="auto"/>
        </w:rPr>
      </w:pPr>
    </w:p>
    <w:p>
      <w:pPr>
        <w:jc w:val="both"/>
        <w:ind w:firstLine="721"/>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consist primarily of internal costs for the development of new product technologies. Research and development expenses decreased 12%, or $0.3 million, to $2.1 million for year ended December 31, 2025 compared to $2.4 million for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3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Interest expense for the year ended December 31, 2025 decreased $0.5 million to $3.7 million as compared to $4.2 million for the year ended December 31, 2024. This decrease resulted primarily from reduced borrowings on our revolving line of credit, as well as prepayments totaling $8.0 million on our term loan, during 2025 as compared to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23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recognized $0.1 million of interest income during the year ended December 31, 2025 related to the Companion Spine Note receivable from the sale of assets related to our Coflex and CoFix products to Companion Spine.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Divestiture</w:t>
      </w:r>
    </w:p>
    <w:p>
      <w:pPr>
        <w:spacing w:after="0" w:line="23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recognized a gain on divestiture of $3.3 million for the year ended December 31, 2025 as a result of the sale of assets related to our Coflex and CoFix products and international hardware business to Companion Spine during 2025. No similar gain was recognized during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 Current and Deferred</w:t>
      </w:r>
    </w:p>
    <w:p>
      <w:pPr>
        <w:spacing w:after="0" w:line="23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Income tax provision for the year ended December 31, 2025 was $2.0 million compared to $0.2 million for the year ended December 31, 2024. This change resulted primarily due to our net income position and an increase in cash federal and state taxes in 2025.</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22" w:right="1440" w:bottom="17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Since our inception, we have financed our operations primarily through operating cash flows, private placements of equity securities and convertible debt, debt facilities, common stock rights offerings, and other debt transactions. The following table summarizes our working capital as of December 31, 2025 and 2024 (in thousands):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48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D9D9D9"/>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D9D9D9"/>
            </w:tcBorders>
          </w:tcPr>
          <w:p>
            <w:pPr>
              <w:spacing w:after="0"/>
              <w:rPr>
                <w:sz w:val="20"/>
                <w:szCs w:val="20"/>
                <w:color w:val="auto"/>
              </w:rPr>
            </w:pPr>
          </w:p>
        </w:tc>
      </w:tr>
      <w:tr>
        <w:trPr>
          <w:trHeight w:val="229"/>
        </w:trPr>
        <w:tc>
          <w:tcPr>
            <w:tcW w:w="44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17,328</w:t>
            </w:r>
          </w:p>
        </w:tc>
        <w:tc>
          <w:tcPr>
            <w:tcW w:w="540" w:type="dxa"/>
            <w:vAlign w:val="bottom"/>
            <w:gridSpan w:val="2"/>
            <w:shd w:val="clear" w:color="auto" w:fill="D9D9D9"/>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6,221</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17,803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20,660</w:t>
            </w:r>
          </w:p>
        </w:tc>
      </w:tr>
      <w:tr>
        <w:trPr>
          <w:trHeight w:val="230"/>
        </w:trPr>
        <w:tc>
          <w:tcPr>
            <w:tcW w:w="44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Inventories</w:t>
            </w:r>
          </w:p>
        </w:tc>
        <w:tc>
          <w:tcPr>
            <w:tcW w:w="14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30,263</w:t>
            </w:r>
          </w:p>
        </w:tc>
        <w:tc>
          <w:tcPr>
            <w:tcW w:w="10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9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38,634</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Note receivable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4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Total current assets</w:t>
            </w:r>
          </w:p>
        </w:tc>
        <w:tc>
          <w:tcPr>
            <w:tcW w:w="14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78,245</w:t>
            </w:r>
          </w:p>
        </w:tc>
        <w:tc>
          <w:tcPr>
            <w:tcW w:w="10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9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67,116</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3,844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7,918</w:t>
            </w:r>
          </w:p>
        </w:tc>
      </w:tr>
      <w:tr>
        <w:trPr>
          <w:trHeight w:val="230"/>
        </w:trPr>
        <w:tc>
          <w:tcPr>
            <w:tcW w:w="44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4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10,626</w:t>
            </w:r>
          </w:p>
        </w:tc>
        <w:tc>
          <w:tcPr>
            <w:tcW w:w="10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9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7,771</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4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Line of credit</w:t>
            </w:r>
          </w:p>
        </w:tc>
        <w:tc>
          <w:tcPr>
            <w:tcW w:w="140" w:type="dxa"/>
            <w:vAlign w:val="bottom"/>
            <w:shd w:val="clear" w:color="auto" w:fill="D9D9D9"/>
          </w:tcPr>
          <w:p>
            <w:pPr>
              <w:spacing w:after="0"/>
              <w:rPr>
                <w:sz w:val="19"/>
                <w:szCs w:val="19"/>
                <w:color w:val="auto"/>
              </w:rPr>
            </w:pPr>
          </w:p>
        </w:tc>
        <w:tc>
          <w:tcPr>
            <w:tcW w:w="280" w:type="dxa"/>
            <w:vAlign w:val="bottom"/>
            <w:shd w:val="clear" w:color="auto" w:fill="D9D9D9"/>
          </w:tcPr>
          <w:p>
            <w:pPr>
              <w:spacing w:after="0"/>
              <w:rPr>
                <w:sz w:val="19"/>
                <w:szCs w:val="19"/>
                <w:color w:val="auto"/>
              </w:rPr>
            </w:pPr>
          </w:p>
        </w:tc>
        <w:tc>
          <w:tcPr>
            <w:tcW w:w="11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10,857</w:t>
            </w:r>
          </w:p>
        </w:tc>
        <w:tc>
          <w:tcPr>
            <w:tcW w:w="10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9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12,120</w:t>
            </w:r>
          </w:p>
        </w:tc>
      </w:tr>
      <w:tr>
        <w:trPr>
          <w:trHeight w:val="230"/>
        </w:trPr>
        <w:tc>
          <w:tcPr>
            <w:tcW w:w="4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29,484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28,581</w:t>
            </w:r>
          </w:p>
        </w:tc>
      </w:tr>
      <w:tr>
        <w:trPr>
          <w:trHeight w:val="230"/>
        </w:trPr>
        <w:tc>
          <w:tcPr>
            <w:tcW w:w="4480" w:type="dxa"/>
            <w:vAlign w:val="bottom"/>
            <w:shd w:val="clear" w:color="auto" w:fill="D9D9D9"/>
          </w:tcPr>
          <w:p>
            <w:pPr>
              <w:ind w:left="400"/>
              <w:spacing w:after="0"/>
              <w:rPr>
                <w:sz w:val="20"/>
                <w:szCs w:val="20"/>
                <w:color w:val="auto"/>
              </w:rPr>
            </w:pPr>
            <w:r>
              <w:rPr>
                <w:rFonts w:ascii="Times New Roman" w:cs="Times New Roman" w:eastAsia="Times New Roman" w:hAnsi="Times New Roman"/>
                <w:sz w:val="20"/>
                <w:szCs w:val="20"/>
                <w:color w:val="auto"/>
              </w:rPr>
              <w:t>Net working capital</w:t>
            </w:r>
          </w:p>
        </w:tc>
        <w:tc>
          <w:tcPr>
            <w:tcW w:w="14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48,761</w:t>
            </w:r>
          </w:p>
        </w:tc>
        <w:tc>
          <w:tcPr>
            <w:tcW w:w="10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9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38,535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2025 was $12.5 million compared to net cash used in operating activities of $11.9 million for the year ended December 31, 2024. This change relates primarily to net income for the year ended December 31, 2025 compared to a net loss for the year ended December 31, 2024.</w:t>
      </w:r>
    </w:p>
    <w:p>
      <w:pPr>
        <w:spacing w:after="0" w:line="19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Net cash provided by investing activities for the year ended December 31, 2025 was $7.9 million compared to net cash used in investing activities of $3.7 million for the year ended December 31, 2024. This change relates primarily to the proceeds from the Divestitures to Companion Spine.</w:t>
      </w:r>
    </w:p>
    <w:p>
      <w:pPr>
        <w:spacing w:after="0" w:line="18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Net cash used in financing activities for the year ended December 31, 2025 was $9.6 million compared to net cash provided by financing activities of $16.1 million for the year ended December 31, 2024. This change relates primarily to $8.7 million of reduced revolver borrowings, net of repayments, during 2025 compared to 2024; an $8.0 million payment on long-term debt using a portion of the proceeds from the Divestitures in 2025; $5.0 million additional borrowings during 2024; and $4.5 million in proceeds from a private placement during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March 7, 2024, the Company, as guarantor, and certain of our subsidiaries, as borrowers (collectively, the “Borrowers”), entered into an Amended and Restated Credit, Security and Guaranty Agreement (Term Loan) (as amended from time to time, the “Term Credit Agreement”) and an Amended and Restated Credit, Security and Guaranty Agreement (Revolving Loan) (as amended from time to time, the “Revolving Credit Agreement” and, together with the Term Credit Agreement, the “Credit Agreements”) with MidCap Financial Trust and MidCap Funding IV Trust (collectively, “MidCap”), each in its respective capacity as agent, and lenders from time to time party thereto.</w:t>
      </w:r>
    </w:p>
    <w:p>
      <w:pPr>
        <w:spacing w:after="0" w:line="20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On May 14, 2024, we entered into Amendment No. 1 to Amended and Restated Credit, Security and Guarantee Agreement (Term Loan) (“Term Amendment No. 1”), which amended the Term Credit Agreement, and Amendment No. 1 to Amended and Restated Credit, Security and Guarantee Agreement (Revolving Loan) (“Revolving Amendment No. 1” and, together with Term Amendment No. 1, the “Amendments No. 1”), which amended the Revolving Credit Agreement. The Term Amendment No. 1 increased the amount of term loans that may be borrowed by $5.0 million to a maximum of $22.0 million, which was fully drawn as of December 31, 2025. In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16" w:right="1440" w:bottom="175" w:gutter="0" w:footer="0" w:header="0"/>
          <w:type w:val="continuous"/>
        </w:sectPr>
      </w:pPr>
    </w:p>
    <w:bookmarkStart w:id="64" w:name="page65"/>
    <w:bookmarkEnd w:id="64"/>
    <w:p>
      <w:pPr>
        <w:jc w:val="both"/>
        <w:spacing w:after="0" w:line="252" w:lineRule="auto"/>
        <w:rPr>
          <w:sz w:val="20"/>
          <w:szCs w:val="20"/>
          <w:color w:val="auto"/>
        </w:rPr>
      </w:pPr>
      <w:r>
        <w:rPr>
          <w:rFonts w:ascii="Times New Roman" w:cs="Times New Roman" w:eastAsia="Times New Roman" w:hAnsi="Times New Roman"/>
          <w:sz w:val="20"/>
          <w:szCs w:val="20"/>
          <w:color w:val="auto"/>
        </w:rPr>
        <w:t>addition, the Amendments No. 1 re-set the date certain fees payable in connection with optional prepayments are determined to May 14, 2024 and consequently extended such fees’ original expiration. The exit fees were increased by 2.50% to 6.50% of the principal amount borrowed pursuant to the Term Credit Agreement. The terms of borrowing under the Credit Agreements otherwise remained materially unchanged after the Amendments No. 1.</w:t>
      </w:r>
    </w:p>
    <w:p>
      <w:pPr>
        <w:spacing w:after="0" w:line="19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On July 7, 2025, we entered into a Limited Consent and Amendment No. 3 to Amended and Restated Credit, Security and Guaranty Agreement (Term Loan) (the “Term Loan Limited Consent”) with MidCap Financial Trust and a Limited Consent and Amendment No. 3 to Amended and Restated Credit, Security and Guaranty Agreement (Revolving Loan) (the “Revolving Loan Limited Consent” and together with the Term Loan Limited Consent, the “Limited Consent Agreements”) with MidCap Funding IV Trust. Under the Limited Consent Agreements, MidCap agreed, subject to the terms and conditions set forth in the Limited Consent Agreements, to, among other things, consent to us entering into the Coflex/CoFix Agreement and Paradigm Agreement and the consummation of the Divestitures in accordance with the terms and subject to the conditions set forth therein, including our prepayment in accordance with the Term Loan Credit Agreement of $9.6 million to MidCap from the proceeds of the Divestitures.</w:t>
      </w:r>
    </w:p>
    <w:p>
      <w:pPr>
        <w:spacing w:after="0" w:line="18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On March 26, 2026, we entered into Amendment No. 4 to Amended and Restated Credit, Security and Guaranty Agreement (Term Loan) with MidCap Financial Trust and Amendment No. 4 to Amended and Restated Credit, Security and Guaranty Agreement (Revolving Loan) with MidCap Funding IV Trust (collectively, the “Amendment No. 4s”)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the orthobiologics products and correspondingly adjusted the minimum net revenue amounts.</w:t>
      </w:r>
    </w:p>
    <w:p>
      <w:pPr>
        <w:spacing w:after="0" w:line="20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Revolving Credit Agreement, as amended, provides for a secured revolving credit facility (the “Revolving Facility,” and, together with the secured term credit facility under the Term Credit Agreement, the “Facilities”) under which the Borrowers may borrow up to $17.0 million at any one time, the availability of which is determined based on a borrowing base equal to percentages of certain accounts receivable and inventory of the Borrowers in accordance with a formula set forth in the Revolving Credit Agreement. All borrowings under the Revolving Facility are subject to the satisfaction of customary conditions, including the absence of default, the accuracy of representations and warranties in all material respects and the delivery of an updated borrowing base certificate.</w:t>
      </w:r>
    </w:p>
    <w:p>
      <w:pPr>
        <w:spacing w:after="0" w:line="20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The Facilities have a maturity date of March 1, 2029. 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 As of December 31, 2025, we had $10.9 million outstanding and $3.8 million of availability under the Revolving Credit Facility. As mentioned above, on February 27, 2026, we received $10.7 million upon repayment of the Companion Spine Note and settlement of the net working capital and other purchase price adjustments, $2.8 million of which was used to repay a portion of our term debt, resulting in $11.2 million outstanding as of the date of the filing of this report.</w:t>
      </w:r>
    </w:p>
    <w:p>
      <w:pPr>
        <w:spacing w:after="0" w:line="18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loans and other obligations pursuant to the Credit Agreements bear interest at a per annum rate equal to the sum of the SOFR Interest Rate, as such term is defined in the Credit Agreements, plus the applicable margin of 6.50% in the case of the Term Credit Agreement, and an applicable margin of 4.50% in the case of the Revolving Credit Agreement, subject in each case to a floor of 2.50%. As of December 31, 2025, the effective rate of the Term Credit Agreement, inclusive of authorization of debt issuance costs and accretion of the final payment, was 14.08%, and the effective rate of the Revolving Credit Agreement was 8.49%.</w:t>
      </w:r>
    </w:p>
    <w:p>
      <w:pPr>
        <w:spacing w:after="0" w:line="20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The Credit Agreements contain affirmative and negative covenants customarily applicable to senior secured credit facilities, including covenants that, among other things, limit or restrict the ability of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 In addition, the Credit Agreements require the Borrowers and the Company to maintain net product revenue at or above minimum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type w:val="continuous"/>
        </w:sectPr>
      </w:pPr>
    </w:p>
    <w:bookmarkStart w:id="65" w:name="page66"/>
    <w:bookmarkEnd w:id="65"/>
    <w:p>
      <w:pPr>
        <w:jc w:val="both"/>
        <w:spacing w:after="0" w:line="247" w:lineRule="auto"/>
        <w:rPr>
          <w:sz w:val="20"/>
          <w:szCs w:val="20"/>
          <w:color w:val="auto"/>
        </w:rPr>
      </w:pPr>
      <w:r>
        <w:rPr>
          <w:rFonts w:ascii="Times New Roman" w:cs="Times New Roman" w:eastAsia="Times New Roman" w:hAnsi="Times New Roman"/>
          <w:sz w:val="20"/>
          <w:szCs w:val="20"/>
          <w:color w:val="auto"/>
        </w:rPr>
        <w:t>levels and to maintain a certain minimum liquidity level, in each case as specified in the Credit Agreements. As of December 31, 2025, we were in compliance with all applicable covenants under the Credit Agreements. As of December 31, 2025, our Credit Agreements included a minimum net revenue covenant, however, pursuant to the Amendment No. 4s executed in March 2026, we were not required to comply with the minimum net revenue covenant for the quarter ended December 31, 2025. Under the covenant terms in effect prior to the Amendment No. 4s, we would not have been in compliance with the minimum net revenue requirement for that quarter.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Requirements</w:t>
      </w:r>
    </w:p>
    <w:p>
      <w:pPr>
        <w:spacing w:after="0" w:line="239"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We believe that our $17.3 million of cash and cash equivalents as of December 31, 2025, together with the $10.7 million in cash we received on February 27, 2026 from Companion Spine in connection with the Divestitures, our anticipated operating cash flows and amounts available under the Facilities, will be sufficient to meet our anticipated cash requirements through at least March 2027. However, we may require or seek additional capital to fund our future operations and business strategy prior to March 2027. Accordingly, there is no assurance that we will not need or seek additional financing prior to such time.</w:t>
      </w:r>
    </w:p>
    <w:p>
      <w:pPr>
        <w:spacing w:after="0" w:line="20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may elect to raise additional financing even before we need it if market conditions for raising additional capital are favorable. We may seek to raise additional financing through various sources, such as equity and debt financings, or additional debt restructurings or refinancings.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or our business, financial performance or prospects deteriorate.</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To the extent that we raise additional capital through the sale of equity or convertible debt securities or the restructuring or refinancing of our debt, the interests of our current stockholders may be diluted, and the terms may include discounted equity purchase prices, warrant coverage, liquidation or other preferences or rights that would adversely affect the rights of our current stockholders. If we issue common stock, we may do so at purchase prices that represent a discount to our trading price and/or we may issue warrants to the purchasers, which could further dilute our current stockholders. If we issue preferred stock, it could adversely affect the rights of our stockholders or reduce the value of our common stock. In particular, specific rights or preferences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may be required to obtain the consent of MidCap Financial Trust and MidCap Funding IV Trust under our Credit Agreements, and no assurance can be provided that they would provide such consent, which could limit our ability to raise additional financing and the terms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Information regarding recent accounting pronouncements is included in Note 1 to our consolidated financial statements in “</w:t>
      </w:r>
      <w:r>
        <w:rPr>
          <w:rFonts w:ascii="Times New Roman" w:cs="Times New Roman" w:eastAsia="Times New Roman" w:hAnsi="Times New Roman"/>
          <w:sz w:val="20"/>
          <w:szCs w:val="20"/>
          <w:i w:val="1"/>
          <w:iCs w:val="1"/>
          <w:color w:val="auto"/>
        </w:rPr>
        <w:t>Item 8. Financial Statements and Supplementary Data</w:t>
      </w:r>
      <w:r>
        <w:rPr>
          <w:rFonts w:ascii="Times New Roman" w:cs="Times New Roman" w:eastAsia="Times New Roman" w:hAnsi="Times New Roman"/>
          <w:sz w:val="20"/>
          <w:szCs w:val="20"/>
          <w:color w:val="auto"/>
        </w:rPr>
        <w: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All of our significant accounting policies and estimates are described in Note 1 to our consolidated financial statements in “</w:t>
      </w:r>
      <w:r>
        <w:rPr>
          <w:rFonts w:ascii="Times New Roman" w:cs="Times New Roman" w:eastAsia="Times New Roman" w:hAnsi="Times New Roman"/>
          <w:sz w:val="19"/>
          <w:szCs w:val="19"/>
          <w:i w:val="1"/>
          <w:iCs w:val="1"/>
          <w:color w:val="auto"/>
        </w:rPr>
        <w:t>Item 8. Financial Statements and Supplementary Data</w:t>
      </w:r>
      <w:r>
        <w:rPr>
          <w:rFonts w:ascii="Times New Roman" w:cs="Times New Roman" w:eastAsia="Times New Roman" w:hAnsi="Times New Roman"/>
          <w:sz w:val="19"/>
          <w:szCs w:val="19"/>
          <w:color w:val="auto"/>
        </w:rPr>
        <w:t>.” Certain of our more critical accounting estimates require the application of significant judgment by management in selecting the appropriate assumptions in determining the estimate. By their nature, these judgments are subject to an inherent degree of uncertainty. We develop these judgments based on our historical experience, terms of existing contracts, our observance of trends in the industry, information provided by our customers, and information available from other outside sources, as appropriate. Actual results may differ from these estimates under different assumption conditions.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20" w:right="1440" w:bottom="175" w:gutter="0" w:footer="0" w:header="0"/>
          <w:type w:val="continuous"/>
        </w:sectPr>
      </w:pPr>
    </w:p>
    <w:bookmarkStart w:id="66" w:name="page67"/>
    <w:bookmarkEnd w:id="66"/>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believe that the following financial estimate is both important to the portrayal of our financial condition and results of operations and requires subjective or complex judgments. Further, we believe that the item discussed below is properly recorded in our consolidated financial statements for all periods presented. Our management has discussed the development, selection, and disclosure of our most critical financial estimates with the Audit Committee of the Board of Directors and with our independent registered public accounting firm. The judgments about those financial estimates are based on information available as of the date of our financial statements. Our most critical accounting estimate is inventory valuation, as described in more detail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23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Cost is determined using the specific identification method and includes materials, labor and overhead. We calculate an inventory reserve for estimated obsolescence and excess inventory based on historical usage and sales, as well as assumptions about anticipated future demand for products. A significant sustained decrease in demand could result in an increase in the amount of excess inventory quantities on hand. Additionally, our industry is characterized by regular new product development and introductions that could result in an increase in the amount of obsolete inventory quantities on hand due to cannibalization of existing products. Our estimates for excess and obsolete inventory are reviewed and updated on a quarterly basis. Our estimates of anticipated future product demand may prove to be inaccurate in which case we may be required to incur charges for excess and obsolete inventory. Increases in our inventory reserves result in a corresponding expense, which is recorded to cost of sales. We believe the total reserve at December 31, 2025 is adequate.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Item 7A is inapplicable to us as a smaller reporting company.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20" w:right="1440" w:bottom="175"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75"/>
        </w:trPr>
        <w:tc>
          <w:tcPr>
            <w:tcW w:w="8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60" w:type="dxa"/>
            <w:vAlign w:val="bottom"/>
          </w:tcPr>
          <w:p>
            <w:pPr>
              <w:spacing w:after="0"/>
              <w:rPr>
                <w:sz w:val="20"/>
                <w:szCs w:val="20"/>
                <w:color w:val="auto"/>
              </w:rPr>
            </w:pPr>
          </w:p>
        </w:tc>
        <w:tc>
          <w:tcPr>
            <w:tcW w:w="524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Firms (PCAOB ID Number 248)</w:t>
            </w:r>
          </w:p>
        </w:tc>
        <w:tc>
          <w:tcPr>
            <w:tcW w:w="11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(Loss)</w:t>
            </w:r>
          </w:p>
        </w:tc>
        <w:tc>
          <w:tcPr>
            <w:tcW w:w="11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w:t>
            </w:r>
          </w:p>
        </w:tc>
        <w:tc>
          <w:tcPr>
            <w:tcW w:w="11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1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16" w:right="1440" w:bottom="175" w:gutter="0" w:footer="0" w:header="0"/>
          <w:type w:val="continuous"/>
        </w:sectPr>
      </w:pPr>
    </w:p>
    <w:bookmarkStart w:id="68" w:name="page69"/>
    <w:bookmarkEnd w:id="68"/>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Xtant Medical Holdings,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Xtant Medical Holdings, Inc. (a Delaware corporation) and subsidiaries (the “Company”) as of December 31, 2025 and 2024, the related consolidated statements of operations, comprehensive income (loss), changes in shareholders’ equity, and cash flows for each of the two years in the period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23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critical matter communicated below is a matter arising from the current period audit of the financial statements that was communicated or required to be communicated to the audit committee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Reserves for excess and obsolete spinal implant inventory</w:t>
      </w:r>
    </w:p>
    <w:p>
      <w:pPr>
        <w:spacing w:after="0" w:line="22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As described further in Note (1), Business Description and Summary of Significant Accounting Policies, to the consolidated financial statements, inventories are stated at the lower of cost or net realizable value. The Company calculates an inventory reserve for estimated obsolescence and excess inventory based on historical usage and sales, as well as assumptions regarding future demand for its products. We identified the estimation of reserves for excess and obsolete spinal implant inventory to be a critical audit matter.</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16" w:right="1440" w:bottom="175" w:gutter="0" w:footer="0" w:header="0"/>
          <w:type w:val="continuous"/>
        </w:sectPr>
      </w:pPr>
    </w:p>
    <w:bookmarkStart w:id="69" w:name="page70"/>
    <w:bookmarkEnd w:id="69"/>
    <w:p>
      <w:pPr>
        <w:ind w:right="60"/>
        <w:spacing w:after="0" w:line="263" w:lineRule="auto"/>
        <w:rPr>
          <w:sz w:val="20"/>
          <w:szCs w:val="20"/>
          <w:color w:val="auto"/>
        </w:rPr>
      </w:pPr>
      <w:r>
        <w:rPr>
          <w:rFonts w:ascii="Times New Roman" w:cs="Times New Roman" w:eastAsia="Times New Roman" w:hAnsi="Times New Roman"/>
          <w:sz w:val="20"/>
          <w:szCs w:val="20"/>
          <w:color w:val="auto"/>
        </w:rPr>
        <w:t>The principal consideration for our determination that excess and obsolete spinal implant inventory reserves is a critical audit matter is that the determination involves subjective auditor judgment because of the assumptions and judgments used in determining the excess and obsolete inventory reserves, including future demand for existing and new product launches.</w:t>
      </w:r>
    </w:p>
    <w:p>
      <w:pPr>
        <w:spacing w:after="0" w:line="7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color w:val="auto"/>
        </w:rPr>
        <w:t>Our audit procedures related to excess and obsolete spinal implant inventory reserves included the following, among others:</w:t>
      </w:r>
    </w:p>
    <w:p>
      <w:pPr>
        <w:spacing w:after="0" w:line="58" w:lineRule="exact"/>
        <w:rPr>
          <w:sz w:val="20"/>
          <w:szCs w:val="20"/>
          <w:color w:val="auto"/>
        </w:rPr>
      </w:pPr>
    </w:p>
    <w:p>
      <w:pPr>
        <w:ind w:left="1080" w:hanging="360"/>
        <w:spacing w:after="0" w:line="277" w:lineRule="auto"/>
        <w:tabs>
          <w:tab w:leader="none" w:pos="10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Obtained an understanding of management’s relevant controls to estimate excess and obsolete spinal implant inventories.</w:t>
      </w:r>
    </w:p>
    <w:p>
      <w:pPr>
        <w:spacing w:after="0" w:line="62" w:lineRule="exact"/>
        <w:rPr>
          <w:rFonts w:ascii="Arial" w:cs="Arial" w:eastAsia="Arial" w:hAnsi="Arial"/>
          <w:sz w:val="20"/>
          <w:szCs w:val="20"/>
          <w:color w:val="auto"/>
        </w:rPr>
      </w:pPr>
    </w:p>
    <w:p>
      <w:pPr>
        <w:ind w:left="1080" w:hanging="360"/>
        <w:spacing w:after="0"/>
        <w:tabs>
          <w:tab w:leader="none" w:pos="10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Tested the accuracy and completeness of underlying data used in the reserve calculations.</w:t>
      </w:r>
    </w:p>
    <w:p>
      <w:pPr>
        <w:spacing w:after="0" w:line="132" w:lineRule="exact"/>
        <w:rPr>
          <w:rFonts w:ascii="Arial" w:cs="Arial" w:eastAsia="Arial" w:hAnsi="Arial"/>
          <w:sz w:val="20"/>
          <w:szCs w:val="20"/>
          <w:color w:val="auto"/>
        </w:rPr>
      </w:pPr>
    </w:p>
    <w:p>
      <w:pPr>
        <w:jc w:val="both"/>
        <w:ind w:left="1080" w:hanging="360"/>
        <w:spacing w:after="0" w:line="259" w:lineRule="auto"/>
        <w:tabs>
          <w:tab w:leader="none" w:pos="10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Performed sensitivities to evaluate the reasonableness of assumptions used in determining the inventory reserves, specifically future demand for the Company’s products and reserve percentages by inventory type for new launch inventory.</w:t>
      </w:r>
    </w:p>
    <w:p>
      <w:pPr>
        <w:spacing w:after="0" w:line="78"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Assessed management’s ability to estimate saleable quantities by comparing the prior year estimates to actual sales in the current year.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9360"/>
          </w:cols>
          <w:pgMar w:left="1440" w:top="142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25" w:right="1440" w:bottom="175" w:gutter="0" w:footer="0" w:header="0"/>
          <w:type w:val="continuous"/>
        </w:sectPr>
      </w:pPr>
    </w:p>
    <w:bookmarkStart w:id="70" w:name="page71"/>
    <w:bookmarkEnd w:id="70"/>
    <w:p>
      <w:pPr>
        <w:jc w:val="center"/>
        <w:ind w:right="4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XTANT MEDICAL HOLDINGS, INC. Consolidated Statements of Operations </w:t>
      </w:r>
      <w:r>
        <w:rPr>
          <w:rFonts w:ascii="Times New Roman" w:cs="Times New Roman" w:eastAsia="Times New Roman" w:hAnsi="Times New Roman"/>
          <w:sz w:val="20"/>
          <w:szCs w:val="20"/>
          <w:color w:val="auto"/>
        </w:rPr>
        <w:t>(In thousands, except number of shares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9"/>
        </w:trPr>
        <w:tc>
          <w:tcPr>
            <w:tcW w:w="598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D9D9D9"/>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115,204</w:t>
            </w:r>
          </w:p>
        </w:tc>
        <w:tc>
          <w:tcPr>
            <w:tcW w:w="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License revenue</w:t>
            </w:r>
          </w:p>
        </w:tc>
        <w:tc>
          <w:tcPr>
            <w:tcW w:w="200" w:type="dxa"/>
            <w:vAlign w:val="bottom"/>
            <w:shd w:val="clear" w:color="auto" w:fill="D9D9D9"/>
          </w:tcPr>
          <w:p>
            <w:pPr>
              <w:spacing w:after="0"/>
              <w:rPr>
                <w:sz w:val="20"/>
                <w:szCs w:val="20"/>
                <w:color w:val="auto"/>
              </w:rPr>
            </w:pPr>
          </w:p>
        </w:tc>
        <w:tc>
          <w:tcPr>
            <w:tcW w:w="24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18,723</w:t>
            </w:r>
          </w:p>
        </w:tc>
        <w:tc>
          <w:tcPr>
            <w:tcW w:w="20" w:type="dxa"/>
            <w:vAlign w:val="bottom"/>
            <w:tcBorders>
              <w:bottom w:val="single" w:sz="8" w:color="auto"/>
            </w:tcBorders>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20" w:type="dxa"/>
            <w:vAlign w:val="bottom"/>
            <w:tcBorders>
              <w:bottom w:val="single" w:sz="8" w:color="auto"/>
            </w:tcBorders>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133,927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117,267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240" w:type="dxa"/>
            <w:vAlign w:val="bottom"/>
            <w:tcBorders>
              <w:bottom w:val="single" w:sz="8" w:color="D9D9D9"/>
            </w:tcBorders>
            <w:shd w:val="clear" w:color="auto" w:fill="D9D9D9"/>
          </w:tcPr>
          <w:p>
            <w:pPr>
              <w:spacing w:after="0"/>
              <w:rPr>
                <w:sz w:val="20"/>
                <w:szCs w:val="20"/>
                <w:color w:val="auto"/>
              </w:rPr>
            </w:pPr>
          </w:p>
        </w:tc>
        <w:tc>
          <w:tcPr>
            <w:tcW w:w="1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6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30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80" w:type="dxa"/>
            <w:vAlign w:val="bottom"/>
            <w:tcBorders>
              <w:left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8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200" w:type="dxa"/>
            <w:vAlign w:val="bottom"/>
            <w:tcBorders>
              <w:bottom w:val="single" w:sz="8" w:color="D9D9D9"/>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49,654</w:t>
            </w:r>
          </w:p>
        </w:tc>
        <w:tc>
          <w:tcPr>
            <w:tcW w:w="26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49,051</w:t>
            </w: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84,273</w:t>
            </w: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68,216</w:t>
            </w: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20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45,512</w:t>
            </w:r>
          </w:p>
        </w:tc>
        <w:tc>
          <w:tcPr>
            <w:tcW w:w="20" w:type="dxa"/>
            <w:vAlign w:val="bottom"/>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49,214</w:t>
            </w:r>
          </w:p>
        </w:tc>
        <w:tc>
          <w:tcPr>
            <w:tcW w:w="20" w:type="dxa"/>
            <w:vAlign w:val="bottom"/>
          </w:tcPr>
          <w:p>
            <w:pPr>
              <w:spacing w:after="0"/>
              <w:rPr>
                <w:sz w:val="19"/>
                <w:szCs w:val="19"/>
                <w:color w:val="auto"/>
              </w:rPr>
            </w:pPr>
          </w:p>
        </w:tc>
        <w:tc>
          <w:tcPr>
            <w:tcW w:w="80" w:type="dxa"/>
            <w:vAlign w:val="bottom"/>
            <w:tcBorders>
              <w:left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Borders>
              <w:bottom w:val="single" w:sz="8" w:color="D9D9D9"/>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2,102</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Borders>
              <w:bottom w:val="single" w:sz="8" w:color="D9D9D9"/>
            </w:tcBorders>
            <w:shd w:val="clear" w:color="auto" w:fill="D9D9D9"/>
          </w:tcPr>
          <w:p>
            <w:pPr>
              <w:spacing w:after="0"/>
              <w:rPr>
                <w:sz w:val="20"/>
                <w:szCs w:val="20"/>
                <w:color w:val="auto"/>
              </w:rPr>
            </w:pPr>
          </w:p>
        </w:tc>
        <w:tc>
          <w:tcPr>
            <w:tcW w:w="24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76,989</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80,290</w:t>
            </w:r>
          </w:p>
        </w:tc>
        <w:tc>
          <w:tcPr>
            <w:tcW w:w="20" w:type="dxa"/>
            <w:vAlign w:val="bottom"/>
            <w:tcBorders>
              <w:bottom w:val="single" w:sz="8" w:color="auto"/>
            </w:tcBorders>
          </w:tcPr>
          <w:p>
            <w:pPr>
              <w:spacing w:after="0"/>
              <w:rPr>
                <w:sz w:val="20"/>
                <w:szCs w:val="20"/>
                <w:color w:val="auto"/>
              </w:rPr>
            </w:pPr>
          </w:p>
        </w:tc>
        <w:tc>
          <w:tcPr>
            <w:tcW w:w="80" w:type="dxa"/>
            <w:vAlign w:val="bottom"/>
            <w:tcBorders>
              <w:left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7,284</w:t>
            </w:r>
          </w:p>
        </w:tc>
        <w:tc>
          <w:tcPr>
            <w:tcW w:w="20" w:type="dxa"/>
            <w:vAlign w:val="bottom"/>
            <w:vMerge w:val="continue"/>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(12,074)</w:t>
            </w:r>
          </w:p>
        </w:tc>
        <w:tc>
          <w:tcPr>
            <w:tcW w:w="20" w:type="dxa"/>
            <w:vAlign w:val="bottom"/>
            <w:vMerge w:val="continue"/>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Other (Expense) Income</w:t>
            </w:r>
          </w:p>
        </w:tc>
        <w:tc>
          <w:tcPr>
            <w:tcW w:w="20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16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left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Unrealized foreign currency translation (loss) gain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Gain on divestiture</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3,281</w:t>
            </w: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00" w:type="dxa"/>
            <w:vAlign w:val="bottom"/>
            <w:tcBorders>
              <w:bottom w:val="single" w:sz="8" w:color="D9D9D9"/>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Other (Expense) Income</w:t>
            </w:r>
          </w:p>
        </w:tc>
        <w:tc>
          <w:tcPr>
            <w:tcW w:w="200" w:type="dxa"/>
            <w:vAlign w:val="bottom"/>
            <w:tcBorders>
              <w:bottom w:val="single" w:sz="8" w:color="D9D9D9"/>
            </w:tcBorders>
            <w:shd w:val="clear" w:color="auto" w:fill="D9D9D9"/>
          </w:tcPr>
          <w:p>
            <w:pPr>
              <w:spacing w:after="0"/>
              <w:rPr>
                <w:sz w:val="20"/>
                <w:szCs w:val="20"/>
                <w:color w:val="auto"/>
              </w:rPr>
            </w:pPr>
          </w:p>
        </w:tc>
        <w:tc>
          <w:tcPr>
            <w:tcW w:w="24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(4,188)</w:t>
            </w:r>
          </w:p>
        </w:tc>
        <w:tc>
          <w:tcPr>
            <w:tcW w:w="20" w:type="dxa"/>
            <w:vAlign w:val="bottom"/>
            <w:tcBorders>
              <w:bottom w:val="single" w:sz="8" w:color="auto"/>
            </w:tcBorders>
          </w:tcPr>
          <w:p>
            <w:pPr>
              <w:spacing w:after="0"/>
              <w:rPr>
                <w:sz w:val="20"/>
                <w:szCs w:val="20"/>
                <w:color w:val="auto"/>
              </w:rPr>
            </w:pPr>
          </w:p>
        </w:tc>
        <w:tc>
          <w:tcPr>
            <w:tcW w:w="80" w:type="dxa"/>
            <w:vAlign w:val="bottom"/>
            <w:tcBorders>
              <w:left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Income (Loss) from Operations Before Provision for Income Taxes</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7,001</w:t>
            </w:r>
          </w:p>
        </w:tc>
        <w:tc>
          <w:tcPr>
            <w:tcW w:w="20" w:type="dxa"/>
            <w:vAlign w:val="bottom"/>
            <w:vMerge w:val="continue"/>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(16,262)</w:t>
            </w:r>
          </w:p>
        </w:tc>
        <w:tc>
          <w:tcPr>
            <w:tcW w:w="20" w:type="dxa"/>
            <w:vAlign w:val="bottom"/>
            <w:vMerge w:val="continue"/>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Provision for Income Taxes Current and Deferred</w:t>
            </w:r>
          </w:p>
        </w:tc>
        <w:tc>
          <w:tcPr>
            <w:tcW w:w="200" w:type="dxa"/>
            <w:vAlign w:val="bottom"/>
            <w:tcBorders>
              <w:bottom w:val="single" w:sz="8" w:color="D9D9D9"/>
            </w:tcBorders>
            <w:shd w:val="clear" w:color="auto" w:fill="D9D9D9"/>
          </w:tcPr>
          <w:p>
            <w:pPr>
              <w:spacing w:after="0"/>
              <w:rPr>
                <w:sz w:val="20"/>
                <w:szCs w:val="20"/>
                <w:color w:val="auto"/>
              </w:rPr>
            </w:pPr>
          </w:p>
        </w:tc>
        <w:tc>
          <w:tcPr>
            <w:tcW w:w="24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20" w:type="dxa"/>
            <w:vAlign w:val="bottom"/>
            <w:tcBorders>
              <w:bottom w:val="single" w:sz="8" w:color="auto"/>
            </w:tcBorders>
            <w:vMerge w:val="continue"/>
          </w:tcPr>
          <w:p>
            <w:pPr>
              <w:spacing w:after="0"/>
              <w:rPr>
                <w:sz w:val="20"/>
                <w:szCs w:val="20"/>
                <w:color w:val="auto"/>
              </w:rPr>
            </w:pPr>
          </w:p>
        </w:tc>
        <w:tc>
          <w:tcPr>
            <w:tcW w:w="80" w:type="dxa"/>
            <w:vAlign w:val="bottom"/>
            <w:tcBorders>
              <w:left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80" w:type="dxa"/>
            <w:vAlign w:val="bottom"/>
            <w:tcBorders>
              <w:bottom w:val="single" w:sz="8" w:color="D9D9D9"/>
            </w:tcBorders>
            <w:shd w:val="clear" w:color="auto" w:fill="D9D9D9"/>
          </w:tcPr>
          <w:p>
            <w:pPr>
              <w:spacing w:after="0" w:line="228" w:lineRule="exact"/>
              <w:rPr>
                <w:sz w:val="20"/>
                <w:szCs w:val="20"/>
                <w:color w:val="auto"/>
              </w:rPr>
            </w:pPr>
            <w:r>
              <w:rPr>
                <w:rFonts w:ascii="Times New Roman" w:cs="Times New Roman" w:eastAsia="Times New Roman" w:hAnsi="Times New Roman"/>
                <w:sz w:val="20"/>
                <w:szCs w:val="20"/>
                <w:color w:val="auto"/>
              </w:rPr>
              <w:t>Net Income (Loss)</w:t>
            </w:r>
          </w:p>
        </w:tc>
        <w:tc>
          <w:tcPr>
            <w:tcW w:w="200" w:type="dxa"/>
            <w:vAlign w:val="bottom"/>
            <w:tcBorders>
              <w:bottom w:val="single" w:sz="8" w:color="D9D9D9"/>
            </w:tcBorders>
            <w:shd w:val="clear" w:color="auto" w:fill="D9D9D9"/>
          </w:tcPr>
          <w:p>
            <w:pPr>
              <w:spacing w:after="0"/>
              <w:rPr>
                <w:sz w:val="23"/>
                <w:szCs w:val="23"/>
                <w:color w:val="auto"/>
              </w:rPr>
            </w:pPr>
          </w:p>
        </w:tc>
        <w:tc>
          <w:tcPr>
            <w:tcW w:w="240" w:type="dxa"/>
            <w:vAlign w:val="bottom"/>
            <w:tcBorders>
              <w:bottom w:val="single" w:sz="8" w:color="auto"/>
            </w:tcBorders>
            <w:shd w:val="clear" w:color="auto" w:fill="D9D9D9"/>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4,973</w:t>
            </w:r>
          </w:p>
        </w:tc>
        <w:tc>
          <w:tcPr>
            <w:tcW w:w="20" w:type="dxa"/>
            <w:vAlign w:val="bottom"/>
            <w:tcBorders>
              <w:bottom w:val="single" w:sz="8" w:color="auto"/>
            </w:tcBorders>
            <w:vMerge w:val="continue"/>
          </w:tcPr>
          <w:p>
            <w:pPr>
              <w:spacing w:after="0"/>
              <w:rPr>
                <w:sz w:val="23"/>
                <w:szCs w:val="23"/>
                <w:color w:val="auto"/>
              </w:rPr>
            </w:pPr>
          </w:p>
        </w:tc>
        <w:tc>
          <w:tcPr>
            <w:tcW w:w="260" w:type="dxa"/>
            <w:vAlign w:val="bottom"/>
            <w:tcBorders>
              <w:bottom w:val="single" w:sz="8" w:color="D9D9D9"/>
            </w:tcBorders>
            <w:shd w:val="clear" w:color="auto" w:fill="D9D9D9"/>
          </w:tcPr>
          <w:p>
            <w:pPr>
              <w:spacing w:after="0"/>
              <w:rPr>
                <w:sz w:val="23"/>
                <w:szCs w:val="23"/>
                <w:color w:val="auto"/>
              </w:rPr>
            </w:pPr>
          </w:p>
        </w:tc>
        <w:tc>
          <w:tcPr>
            <w:tcW w:w="10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(16,449)</w:t>
            </w:r>
          </w:p>
        </w:tc>
        <w:tc>
          <w:tcPr>
            <w:tcW w:w="20" w:type="dxa"/>
            <w:vAlign w:val="bottom"/>
            <w:tcBorders>
              <w:bottom w:val="single" w:sz="8" w:color="auto"/>
            </w:tcBorders>
            <w:vMerge w:val="continue"/>
          </w:tcPr>
          <w:p>
            <w:pPr>
              <w:spacing w:after="0"/>
              <w:rPr>
                <w:sz w:val="23"/>
                <w:szCs w:val="23"/>
                <w:color w:val="auto"/>
              </w:rPr>
            </w:pPr>
          </w:p>
        </w:tc>
        <w:tc>
          <w:tcPr>
            <w:tcW w:w="80" w:type="dxa"/>
            <w:vAlign w:val="bottom"/>
            <w:tcBorders>
              <w:left w:val="single" w:sz="8" w:color="D9D9D9"/>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Income (Loss) Per Share:</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(0.12)</w:t>
            </w: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Dilutive</w:t>
            </w:r>
          </w:p>
        </w:tc>
        <w:tc>
          <w:tcPr>
            <w:tcW w:w="200" w:type="dxa"/>
            <w:vAlign w:val="bottom"/>
            <w:shd w:val="clear" w:color="auto" w:fill="D9D9D9"/>
          </w:tcPr>
          <w:p>
            <w:pPr>
              <w:spacing w:after="0"/>
              <w:rPr>
                <w:sz w:val="19"/>
                <w:szCs w:val="19"/>
                <w:color w:val="auto"/>
              </w:rPr>
            </w:pPr>
          </w:p>
        </w:tc>
        <w:tc>
          <w:tcPr>
            <w:tcW w:w="240" w:type="dxa"/>
            <w:vAlign w:val="bottom"/>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0" w:type="dxa"/>
            <w:vAlign w:val="bottom"/>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(0.12)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Shares used in the computation:</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139,531,791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133,665,075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Dilutive</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150,042,556</w:t>
            </w: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133,665,075</w:t>
            </w:r>
          </w:p>
        </w:tc>
        <w:tc>
          <w:tcPr>
            <w:tcW w:w="20" w:type="dxa"/>
            <w:vAlign w:val="bottom"/>
          </w:tcPr>
          <w:p>
            <w:pPr>
              <w:spacing w:after="0"/>
              <w:rPr>
                <w:sz w:val="20"/>
                <w:szCs w:val="20"/>
                <w:color w:val="auto"/>
              </w:rPr>
            </w:pPr>
          </w:p>
        </w:tc>
        <w:tc>
          <w:tcPr>
            <w:tcW w:w="80" w:type="dxa"/>
            <w:vAlign w:val="bottom"/>
            <w:tcBorders>
              <w:left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4989195</wp:posOffset>
                </wp:positionH>
                <wp:positionV relativeFrom="paragraph">
                  <wp:posOffset>-729615</wp:posOffset>
                </wp:positionV>
                <wp:extent cx="894715" cy="14541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4715" cy="145415"/>
                        </a:xfrm>
                        <a:prstGeom prst="rect">
                          <a:avLst/>
                        </a:prstGeom>
                        <a:solidFill>
                          <a:srgbClr val="D9D9D9"/>
                        </a:solidFill>
                      </wps:spPr>
                      <wps:bodyPr/>
                    </wps:wsp>
                  </a:graphicData>
                </a:graphic>
              </wp:anchor>
            </w:drawing>
          </mc:Choice>
          <mc:Fallback>
            <w:pict>
              <v:rect id="Shape 39" o:spid="_x0000_s1064" style="position:absolute;margin-left:392.85pt;margin-top:-57.4499pt;width:70.4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5053330</wp:posOffset>
                </wp:positionH>
                <wp:positionV relativeFrom="paragraph">
                  <wp:posOffset>-729615</wp:posOffset>
                </wp:positionV>
                <wp:extent cx="830580" cy="14541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145415"/>
                        </a:xfrm>
                        <a:prstGeom prst="rect">
                          <a:avLst/>
                        </a:prstGeom>
                        <a:solidFill>
                          <a:srgbClr val="D9D9D9"/>
                        </a:solidFill>
                      </wps:spPr>
                      <wps:bodyPr/>
                    </wps:wsp>
                  </a:graphicData>
                </a:graphic>
              </wp:anchor>
            </w:drawing>
          </mc:Choice>
          <mc:Fallback>
            <w:pict>
              <v:rect id="Shape 40" o:spid="_x0000_s1065" style="position:absolute;margin-left:397.9pt;margin-top:-57.4499pt;width:65.4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16" w:right="1440" w:bottom="175" w:gutter="0" w:footer="0" w:header="0"/>
          <w:type w:val="continuous"/>
        </w:sectPr>
      </w:pPr>
    </w:p>
    <w:bookmarkStart w:id="71" w:name="page72"/>
    <w:bookmarkEnd w:id="71"/>
    <w:p>
      <w:pPr>
        <w:jc w:val="center"/>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XTANT MEDICAL HOLDINGS, INC. Consolidated Statements of Comprehensive Income (Loss) </w:t>
      </w:r>
      <w:r>
        <w:rPr>
          <w:rFonts w:ascii="Times New Roman" w:cs="Times New Roman" w:eastAsia="Times New Roman" w:hAnsi="Times New Roman"/>
          <w:sz w:val="20"/>
          <w:szCs w:val="20"/>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r>
      <w:tr>
        <w:trPr>
          <w:trHeight w:val="239"/>
        </w:trPr>
        <w:tc>
          <w:tcPr>
            <w:tcW w:w="598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gridSpan w:val="2"/>
          </w:tcPr>
          <w:p>
            <w:pPr>
              <w:spacing w:after="0"/>
              <w:rPr>
                <w:sz w:val="20"/>
                <w:szCs w:val="20"/>
                <w:color w:val="auto"/>
              </w:rPr>
            </w:pPr>
          </w:p>
        </w:tc>
        <w:tc>
          <w:tcPr>
            <w:tcW w:w="9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D9D9D9"/>
            </w:tcBorders>
          </w:tcPr>
          <w:p>
            <w:pPr>
              <w:spacing w:after="0"/>
              <w:rPr>
                <w:sz w:val="20"/>
                <w:szCs w:val="20"/>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9D9D9"/>
          </w:tcPr>
          <w:p>
            <w:pPr>
              <w:spacing w:after="0"/>
              <w:rPr>
                <w:sz w:val="20"/>
                <w:szCs w:val="20"/>
                <w:color w:val="auto"/>
              </w:rPr>
            </w:pPr>
          </w:p>
        </w:tc>
        <w:tc>
          <w:tcPr>
            <w:tcW w:w="58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4,973</w:t>
            </w:r>
          </w:p>
        </w:tc>
        <w:tc>
          <w:tcPr>
            <w:tcW w:w="500" w:type="dxa"/>
            <w:vAlign w:val="bottom"/>
            <w:gridSpan w:val="3"/>
            <w:shd w:val="clear" w:color="auto" w:fill="D9D9D9"/>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(16,449</w:t>
            </w: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820" w:type="dxa"/>
            <w:vAlign w:val="bottom"/>
            <w:tcBorders>
              <w:bottom w:val="single" w:sz="8" w:color="auto"/>
            </w:tcBorders>
            <w:shd w:val="clear" w:color="auto" w:fill="D9D9D9"/>
          </w:tcPr>
          <w:p>
            <w:pPr>
              <w:spacing w:after="0"/>
              <w:rPr>
                <w:sz w:val="20"/>
                <w:szCs w:val="20"/>
                <w:color w:val="auto"/>
              </w:rPr>
            </w:pPr>
          </w:p>
        </w:tc>
        <w:tc>
          <w:tcPr>
            <w:tcW w:w="4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1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r>
      <w:tr>
        <w:trPr>
          <w:trHeight w:val="24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(Loss)</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(16,794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4813935</wp:posOffset>
                </wp:positionH>
                <wp:positionV relativeFrom="paragraph">
                  <wp:posOffset>-174625</wp:posOffset>
                </wp:positionV>
                <wp:extent cx="17589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89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05pt,-13.7499pt" to="392.9pt,-13.7499pt" o:allowincell="f" strokecolor="#FFFFFF" strokeweight="1.5pt"/>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16" w:right="1440" w:bottom="175"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thousands, except number of shares and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08"/>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D9D9D9"/>
            </w:tcBorders>
          </w:tcPr>
          <w:p>
            <w:pPr>
              <w:spacing w:after="0"/>
              <w:rPr>
                <w:sz w:val="20"/>
                <w:szCs w:val="20"/>
                <w:color w:val="auto"/>
              </w:rPr>
            </w:pPr>
          </w:p>
        </w:tc>
        <w:tc>
          <w:tcPr>
            <w:tcW w:w="180" w:type="dxa"/>
            <w:vAlign w:val="bottom"/>
            <w:tcBorders>
              <w:bottom w:val="single" w:sz="8" w:color="D9D9D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ASSETS</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Cash and cash-equivalents</w:t>
            </w:r>
          </w:p>
        </w:tc>
        <w:tc>
          <w:tcPr>
            <w:tcW w:w="30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17,053</w:t>
            </w:r>
          </w:p>
        </w:tc>
        <w:tc>
          <w:tcPr>
            <w:tcW w:w="100" w:type="dxa"/>
            <w:vAlign w:val="bottom"/>
            <w:shd w:val="clear" w:color="auto" w:fill="D9D9D9"/>
          </w:tcPr>
          <w:p>
            <w:pPr>
              <w:spacing w:after="0"/>
              <w:rPr>
                <w:sz w:val="19"/>
                <w:szCs w:val="19"/>
                <w:color w:val="auto"/>
              </w:rPr>
            </w:pPr>
          </w:p>
        </w:tc>
        <w:tc>
          <w:tcPr>
            <w:tcW w:w="3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6,199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9"/>
              </w:rPr>
              <w:t>Trade accounts receivable, net of allowance for credit losses of $2,165 and</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$1,437, respectively</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17,803</w:t>
            </w:r>
          </w:p>
        </w:tc>
        <w:tc>
          <w:tcPr>
            <w:tcW w:w="100" w:type="dxa"/>
            <w:vAlign w:val="bottom"/>
            <w:shd w:val="clear" w:color="auto" w:fill="D9D9D9"/>
          </w:tcPr>
          <w:p>
            <w:pPr>
              <w:spacing w:after="0"/>
              <w:rPr>
                <w:sz w:val="19"/>
                <w:szCs w:val="19"/>
                <w:color w:val="auto"/>
              </w:rPr>
            </w:pPr>
          </w:p>
        </w:tc>
        <w:tc>
          <w:tcPr>
            <w:tcW w:w="18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20,660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38,634</w:t>
            </w: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Note receivable</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10,462</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Prepaid and other current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1,601</w:t>
            </w:r>
          </w:p>
        </w:tc>
        <w:tc>
          <w:tcPr>
            <w:tcW w:w="0" w:type="dxa"/>
            <w:vAlign w:val="bottom"/>
          </w:tcPr>
          <w:p>
            <w:pPr>
              <w:spacing w:after="0"/>
              <w:rPr>
                <w:sz w:val="1"/>
                <w:szCs w:val="1"/>
                <w:color w:val="auto"/>
              </w:rPr>
            </w:pPr>
          </w:p>
        </w:tc>
      </w:tr>
      <w:tr>
        <w:trPr>
          <w:trHeight w:val="30"/>
        </w:trPr>
        <w:tc>
          <w:tcPr>
            <w:tcW w:w="5980" w:type="dxa"/>
            <w:vAlign w:val="bottom"/>
            <w:shd w:val="clear" w:color="auto" w:fill="D9D9D9"/>
          </w:tcPr>
          <w:p>
            <w:pPr>
              <w:spacing w:after="0"/>
              <w:rPr>
                <w:sz w:val="2"/>
                <w:szCs w:val="2"/>
                <w:color w:val="auto"/>
              </w:rPr>
            </w:pPr>
          </w:p>
        </w:tc>
        <w:tc>
          <w:tcPr>
            <w:tcW w:w="20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80" w:type="dxa"/>
            <w:vAlign w:val="bottom"/>
            <w:tcBorders>
              <w:right w:val="single" w:sz="8" w:color="D9D9D9"/>
            </w:tcBorders>
            <w:shd w:val="clear" w:color="auto" w:fill="D9D9D9"/>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78,245</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67,116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10,131</w:t>
            </w: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Right of use asset, net</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3,192</w:t>
            </w:r>
          </w:p>
        </w:tc>
        <w:tc>
          <w:tcPr>
            <w:tcW w:w="100" w:type="dxa"/>
            <w:vAlign w:val="bottom"/>
            <w:shd w:val="clear" w:color="auto" w:fill="D9D9D9"/>
          </w:tcPr>
          <w:p>
            <w:pPr>
              <w:spacing w:after="0"/>
              <w:rPr>
                <w:sz w:val="19"/>
                <w:szCs w:val="19"/>
                <w:color w:val="auto"/>
              </w:rPr>
            </w:pPr>
          </w:p>
        </w:tc>
        <w:tc>
          <w:tcPr>
            <w:tcW w:w="18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829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7,302</w:t>
            </w: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8,356</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72"/>
        </w:trPr>
        <w:tc>
          <w:tcPr>
            <w:tcW w:w="5980" w:type="dxa"/>
            <w:vAlign w:val="bottom"/>
            <w:tcBorders>
              <w:top w:val="single" w:sz="8" w:color="D9D9D9"/>
              <w:bottom w:val="single" w:sz="8" w:color="D9D9D9"/>
            </w:tcBorders>
            <w:shd w:val="clear" w:color="auto" w:fill="D9D9D9"/>
          </w:tcPr>
          <w:p>
            <w:pPr>
              <w:spacing w:after="0" w:line="228" w:lineRule="exact"/>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tcBorders>
              <w:top w:val="single" w:sz="8" w:color="D9D9D9"/>
              <w:bottom w:val="single" w:sz="8" w:color="D9D9D9"/>
              <w:right w:val="single" w:sz="8" w:color="D9D9D9"/>
            </w:tcBorders>
            <w:shd w:val="clear" w:color="auto" w:fill="D9D9D9"/>
          </w:tcPr>
          <w:p>
            <w:pPr>
              <w:spacing w:after="0"/>
              <w:rPr>
                <w:sz w:val="23"/>
                <w:szCs w:val="23"/>
                <w:color w:val="auto"/>
              </w:rPr>
            </w:pPr>
          </w:p>
        </w:tc>
        <w:tc>
          <w:tcPr>
            <w:tcW w:w="1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94,145</w:t>
            </w:r>
          </w:p>
        </w:tc>
        <w:tc>
          <w:tcPr>
            <w:tcW w:w="100" w:type="dxa"/>
            <w:vAlign w:val="bottom"/>
            <w:tcBorders>
              <w:top w:val="single" w:sz="8" w:color="D9D9D9"/>
              <w:bottom w:val="single" w:sz="8" w:color="D9D9D9"/>
            </w:tcBorders>
            <w:shd w:val="clear" w:color="auto" w:fill="D9D9D9"/>
          </w:tcPr>
          <w:p>
            <w:pPr>
              <w:spacing w:after="0"/>
              <w:rPr>
                <w:sz w:val="23"/>
                <w:szCs w:val="23"/>
                <w:color w:val="auto"/>
              </w:rPr>
            </w:pPr>
          </w:p>
        </w:tc>
        <w:tc>
          <w:tcPr>
            <w:tcW w:w="180" w:type="dxa"/>
            <w:vAlign w:val="bottom"/>
            <w:tcBorders>
              <w:top w:val="single" w:sz="8" w:color="D9D9D9"/>
              <w:bottom w:val="single" w:sz="8" w:color="D9D9D9"/>
              <w:right w:val="single" w:sz="8" w:color="D9D9D9"/>
            </w:tcBorders>
            <w:shd w:val="clear" w:color="auto" w:fill="D9D9D9"/>
          </w:tcPr>
          <w:p>
            <w:pPr>
              <w:spacing w:after="0"/>
              <w:rPr>
                <w:sz w:val="23"/>
                <w:szCs w:val="23"/>
                <w:color w:val="auto"/>
              </w:rPr>
            </w:pPr>
          </w:p>
        </w:tc>
        <w:tc>
          <w:tcPr>
            <w:tcW w:w="1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93,837</w:t>
            </w:r>
          </w:p>
        </w:tc>
        <w:tc>
          <w:tcPr>
            <w:tcW w:w="100" w:type="dxa"/>
            <w:vAlign w:val="bottom"/>
            <w:tcBorders>
              <w:top w:val="single" w:sz="8" w:color="D9D9D9"/>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LIABILITIES &amp; STOCKHOLDERS’ EQUITY</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2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0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3,844</w:t>
            </w:r>
          </w:p>
        </w:tc>
        <w:tc>
          <w:tcPr>
            <w:tcW w:w="100" w:type="dxa"/>
            <w:vAlign w:val="bottom"/>
            <w:shd w:val="clear" w:color="auto" w:fill="D9D9D9"/>
          </w:tcPr>
          <w:p>
            <w:pPr>
              <w:spacing w:after="0"/>
              <w:rPr>
                <w:sz w:val="20"/>
                <w:szCs w:val="20"/>
                <w:color w:val="auto"/>
              </w:rPr>
            </w:pPr>
          </w:p>
        </w:tc>
        <w:tc>
          <w:tcPr>
            <w:tcW w:w="3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7,918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10,626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7,771</w:t>
            </w: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Current portion long-term debt</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3,500</w:t>
            </w:r>
          </w:p>
        </w:tc>
        <w:tc>
          <w:tcPr>
            <w:tcW w:w="100" w:type="dxa"/>
            <w:vAlign w:val="bottom"/>
            <w:shd w:val="clear" w:color="auto" w:fill="D9D9D9"/>
          </w:tcPr>
          <w:p>
            <w:pPr>
              <w:spacing w:after="0"/>
              <w:rPr>
                <w:sz w:val="19"/>
                <w:szCs w:val="19"/>
                <w:color w:val="auto"/>
              </w:rPr>
            </w:pPr>
          </w:p>
        </w:tc>
        <w:tc>
          <w:tcPr>
            <w:tcW w:w="18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lease liability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703</w:t>
            </w: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Current portion of finance lease obligations</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Line of credit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10,857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12,120</w:t>
            </w:r>
          </w:p>
        </w:tc>
        <w:tc>
          <w:tcPr>
            <w:tcW w:w="0" w:type="dxa"/>
            <w:vAlign w:val="bottom"/>
          </w:tcPr>
          <w:p>
            <w:pPr>
              <w:spacing w:after="0"/>
              <w:rPr>
                <w:sz w:val="1"/>
                <w:szCs w:val="1"/>
                <w:color w:val="auto"/>
              </w:rPr>
            </w:pPr>
          </w:p>
        </w:tc>
      </w:tr>
      <w:tr>
        <w:trPr>
          <w:trHeight w:val="30"/>
        </w:trPr>
        <w:tc>
          <w:tcPr>
            <w:tcW w:w="598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0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80" w:type="dxa"/>
            <w:vAlign w:val="bottom"/>
            <w:tcBorders>
              <w:right w:val="single" w:sz="8" w:color="D9D9D9"/>
            </w:tcBorders>
            <w:shd w:val="clear" w:color="auto" w:fill="D9D9D9"/>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shd w:val="clear" w:color="auto" w:fill="D9D9D9"/>
          </w:tcPr>
          <w:p>
            <w:pPr>
              <w:spacing w:after="0"/>
              <w:rPr>
                <w:sz w:val="20"/>
                <w:szCs w:val="20"/>
                <w:color w:val="auto"/>
              </w:rPr>
            </w:pP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29,484</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28,581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Lease liability, net</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shd w:val="clear" w:color="auto" w:fill="D9D9D9"/>
          </w:tcPr>
          <w:p>
            <w:pPr>
              <w:spacing w:after="0"/>
              <w:rPr>
                <w:sz w:val="19"/>
                <w:szCs w:val="19"/>
                <w:color w:val="auto"/>
              </w:rPr>
            </w:pPr>
          </w:p>
        </w:tc>
        <w:tc>
          <w:tcPr>
            <w:tcW w:w="18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166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Financing lease obligations,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Long-term debt, plus premium and less issuance costs</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11,026</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22,038</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0"/>
        </w:trPr>
        <w:tc>
          <w:tcPr>
            <w:tcW w:w="598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tcBorders>
              <w:top w:val="single" w:sz="8" w:color="D9D9D9"/>
              <w:bottom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auto"/>
            </w:tcBorders>
            <w:shd w:val="clear" w:color="auto" w:fill="D9D9D9"/>
          </w:tcPr>
          <w:p>
            <w:pPr>
              <w:spacing w:after="0"/>
              <w:rPr>
                <w:sz w:val="20"/>
                <w:szCs w:val="20"/>
                <w:color w:val="auto"/>
              </w:rPr>
            </w:pPr>
          </w:p>
        </w:tc>
        <w:tc>
          <w:tcPr>
            <w:tcW w:w="13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43,192</w:t>
            </w: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180" w:type="dxa"/>
            <w:vAlign w:val="bottom"/>
            <w:tcBorders>
              <w:top w:val="single" w:sz="8" w:color="D9D9D9"/>
              <w:bottom w:val="single" w:sz="8" w:color="D9D9D9"/>
              <w:right w:val="single" w:sz="8" w:color="D9D9D9"/>
            </w:tcBorders>
            <w:shd w:val="clear" w:color="auto" w:fill="D9D9D9"/>
          </w:tcPr>
          <w:p>
            <w:pPr>
              <w:spacing w:after="0"/>
              <w:rPr>
                <w:sz w:val="20"/>
                <w:szCs w:val="20"/>
                <w:color w:val="auto"/>
              </w:rPr>
            </w:pPr>
          </w:p>
        </w:tc>
        <w:tc>
          <w:tcPr>
            <w:tcW w:w="140" w:type="dxa"/>
            <w:vAlign w:val="bottom"/>
            <w:tcBorders>
              <w:top w:val="single" w:sz="8" w:color="auto"/>
              <w:bottom w:val="single" w:sz="8" w:color="auto"/>
            </w:tcBorders>
            <w:shd w:val="clear" w:color="auto" w:fill="D9D9D9"/>
          </w:tcPr>
          <w:p>
            <w:pPr>
              <w:spacing w:after="0"/>
              <w:rPr>
                <w:sz w:val="20"/>
                <w:szCs w:val="20"/>
                <w:color w:val="auto"/>
              </w:rPr>
            </w:pPr>
          </w:p>
        </w:tc>
        <w:tc>
          <w:tcPr>
            <w:tcW w:w="12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50,874</w:t>
            </w: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40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8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2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Preferred stock, $0.000001 par value; 10,000,000 shares authorized; no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shares issued and outstanding</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5980" w:type="dxa"/>
            <w:vAlign w:val="bottom"/>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Common stock, $0.000001 par value; 300,000,000 shares authorized;</w:t>
            </w:r>
          </w:p>
        </w:tc>
        <w:tc>
          <w:tcPr>
            <w:tcW w:w="200" w:type="dxa"/>
            <w:vAlign w:val="bottom"/>
            <w:tcBorders>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0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80" w:type="dxa"/>
            <w:vAlign w:val="bottom"/>
            <w:tcBorders>
              <w:right w:val="single" w:sz="8" w:color="D9D9D9"/>
            </w:tcBorders>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2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140,039,557 and 139,045,664 shares issued and outstanding as of</w:t>
            </w:r>
          </w:p>
        </w:tc>
        <w:tc>
          <w:tcPr>
            <w:tcW w:w="200" w:type="dxa"/>
            <w:vAlign w:val="bottom"/>
            <w:tcBorders>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0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80" w:type="dxa"/>
            <w:vAlign w:val="bottom"/>
            <w:tcBorders>
              <w:right w:val="single" w:sz="8" w:color="D9D9D9"/>
            </w:tcBorders>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12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December 31, 2025 and 2024, respectively</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305,439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302,738</w:t>
            </w:r>
          </w:p>
        </w:tc>
        <w:tc>
          <w:tcPr>
            <w:tcW w:w="0" w:type="dxa"/>
            <w:vAlign w:val="bottom"/>
          </w:tcPr>
          <w:p>
            <w:pPr>
              <w:spacing w:after="0"/>
              <w:rPr>
                <w:sz w:val="1"/>
                <w:szCs w:val="1"/>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0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40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(254,486)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(259,459)</w:t>
            </w:r>
          </w:p>
        </w:tc>
        <w:tc>
          <w:tcPr>
            <w:tcW w:w="0" w:type="dxa"/>
            <w:vAlign w:val="bottom"/>
          </w:tcPr>
          <w:p>
            <w:pPr>
              <w:spacing w:after="0"/>
              <w:rPr>
                <w:sz w:val="1"/>
                <w:szCs w:val="1"/>
                <w:color w:val="auto"/>
              </w:rPr>
            </w:pPr>
          </w:p>
        </w:tc>
      </w:tr>
      <w:tr>
        <w:trPr>
          <w:trHeight w:val="239"/>
        </w:trPr>
        <w:tc>
          <w:tcPr>
            <w:tcW w:w="598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00" w:type="dxa"/>
            <w:vAlign w:val="bottom"/>
            <w:tcBorders>
              <w:top w:val="single" w:sz="8" w:color="D9D9D9"/>
              <w:bottom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auto"/>
            </w:tcBorders>
            <w:shd w:val="clear" w:color="auto" w:fill="D9D9D9"/>
          </w:tcPr>
          <w:p>
            <w:pPr>
              <w:spacing w:after="0"/>
              <w:rPr>
                <w:sz w:val="20"/>
                <w:szCs w:val="20"/>
                <w:color w:val="auto"/>
              </w:rPr>
            </w:pPr>
          </w:p>
        </w:tc>
        <w:tc>
          <w:tcPr>
            <w:tcW w:w="13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50,953</w:t>
            </w: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180" w:type="dxa"/>
            <w:vAlign w:val="bottom"/>
            <w:tcBorders>
              <w:top w:val="single" w:sz="8" w:color="D9D9D9"/>
              <w:bottom w:val="single" w:sz="8" w:color="D9D9D9"/>
              <w:right w:val="single" w:sz="8" w:color="D9D9D9"/>
            </w:tcBorders>
            <w:shd w:val="clear" w:color="auto" w:fill="D9D9D9"/>
          </w:tcPr>
          <w:p>
            <w:pPr>
              <w:spacing w:after="0"/>
              <w:rPr>
                <w:sz w:val="20"/>
                <w:szCs w:val="20"/>
                <w:color w:val="auto"/>
              </w:rPr>
            </w:pPr>
          </w:p>
        </w:tc>
        <w:tc>
          <w:tcPr>
            <w:tcW w:w="140" w:type="dxa"/>
            <w:vAlign w:val="bottom"/>
            <w:tcBorders>
              <w:top w:val="single" w:sz="8" w:color="auto"/>
              <w:bottom w:val="single" w:sz="8" w:color="auto"/>
            </w:tcBorders>
            <w:shd w:val="clear" w:color="auto" w:fill="D9D9D9"/>
          </w:tcPr>
          <w:p>
            <w:pPr>
              <w:spacing w:after="0"/>
              <w:rPr>
                <w:sz w:val="20"/>
                <w:szCs w:val="20"/>
                <w:color w:val="auto"/>
              </w:rPr>
            </w:pPr>
          </w:p>
        </w:tc>
        <w:tc>
          <w:tcPr>
            <w:tcW w:w="12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42,963</w:t>
            </w: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&amp; Stockholders’ Equity</w:t>
            </w:r>
          </w:p>
        </w:tc>
        <w:tc>
          <w:tcPr>
            <w:tcW w:w="2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94,145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93,837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6" w:right="1440" w:bottom="175"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XTANT MEDICAL HOLDINGS, INC.</w:t>
      </w:r>
    </w:p>
    <w:p>
      <w:pPr>
        <w:spacing w:after="0" w:line="31" w:lineRule="exact"/>
        <w:rPr>
          <w:sz w:val="20"/>
          <w:szCs w:val="20"/>
          <w:color w:val="auto"/>
        </w:rPr>
      </w:pPr>
    </w:p>
    <w:p>
      <w:pPr>
        <w:ind w:left="2500" w:right="2080" w:hanging="406"/>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Consolidated Statements of Changes in Stockholders’ Equity </w:t>
      </w:r>
      <w:r>
        <w:rPr>
          <w:rFonts w:ascii="Times New Roman" w:cs="Times New Roman" w:eastAsia="Times New Roman" w:hAnsi="Times New Roman"/>
          <w:sz w:val="19"/>
          <w:szCs w:val="19"/>
          <w:color w:val="auto"/>
        </w:rPr>
        <w:t>(In thousands, except number of shares and par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8"/>
        </w:trPr>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30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420" w:type="dxa"/>
            <w:vAlign w:val="bottom"/>
          </w:tcPr>
          <w:p>
            <w:pPr>
              <w:spacing w:after="0"/>
              <w:rPr>
                <w:sz w:val="20"/>
                <w:szCs w:val="20"/>
                <w:color w:val="auto"/>
              </w:rPr>
            </w:pPr>
          </w:p>
        </w:tc>
        <w:tc>
          <w:tcPr>
            <w:tcW w:w="1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0"/>
        </w:trPr>
        <w:tc>
          <w:tcPr>
            <w:tcW w:w="24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0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0"/>
        </w:trPr>
        <w:tc>
          <w:tcPr>
            <w:tcW w:w="2420" w:type="dxa"/>
            <w:vAlign w:val="bottom"/>
            <w:tcBorders>
              <w:top w:val="single" w:sz="8" w:color="D9D9D9"/>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Balance at December 31,</w:t>
            </w:r>
          </w:p>
        </w:tc>
        <w:tc>
          <w:tcPr>
            <w:tcW w:w="106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D9D9D9"/>
            </w:tcBorders>
            <w:shd w:val="clear" w:color="auto" w:fill="D9D9D9"/>
          </w:tcPr>
          <w:p>
            <w:pPr>
              <w:spacing w:after="0"/>
              <w:rPr>
                <w:sz w:val="20"/>
                <w:szCs w:val="20"/>
                <w:color w:val="auto"/>
              </w:rPr>
            </w:pPr>
          </w:p>
        </w:tc>
        <w:tc>
          <w:tcPr>
            <w:tcW w:w="280" w:type="dxa"/>
            <w:vAlign w:val="bottom"/>
            <w:tcBorders>
              <w:top w:val="single" w:sz="8" w:color="auto"/>
            </w:tcBorders>
            <w:shd w:val="clear" w:color="auto" w:fill="D9D9D9"/>
          </w:tcPr>
          <w:p>
            <w:pPr>
              <w:spacing w:after="0"/>
              <w:rPr>
                <w:sz w:val="20"/>
                <w:szCs w:val="20"/>
                <w:color w:val="auto"/>
              </w:rPr>
            </w:pPr>
          </w:p>
        </w:tc>
        <w:tc>
          <w:tcPr>
            <w:tcW w:w="22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D9D9D9"/>
              <w:right w:val="single" w:sz="8" w:color="D9D9D9"/>
            </w:tcBorders>
            <w:shd w:val="clear" w:color="auto" w:fill="D9D9D9"/>
          </w:tcPr>
          <w:p>
            <w:pPr>
              <w:spacing w:after="0"/>
              <w:rPr>
                <w:sz w:val="20"/>
                <w:szCs w:val="20"/>
                <w:color w:val="auto"/>
              </w:rPr>
            </w:pPr>
          </w:p>
        </w:tc>
        <w:tc>
          <w:tcPr>
            <w:tcW w:w="140" w:type="dxa"/>
            <w:vAlign w:val="bottom"/>
            <w:tcBorders>
              <w:top w:val="single" w:sz="8" w:color="auto"/>
            </w:tcBorders>
            <w:shd w:val="clear" w:color="auto" w:fill="D9D9D9"/>
          </w:tcPr>
          <w:p>
            <w:pPr>
              <w:spacing w:after="0"/>
              <w:rPr>
                <w:sz w:val="20"/>
                <w:szCs w:val="20"/>
                <w:color w:val="auto"/>
              </w:rPr>
            </w:pPr>
          </w:p>
        </w:tc>
        <w:tc>
          <w:tcPr>
            <w:tcW w:w="780" w:type="dxa"/>
            <w:vAlign w:val="bottom"/>
            <w:tcBorders>
              <w:top w:val="single" w:sz="8" w:color="auto"/>
            </w:tcBorders>
            <w:shd w:val="clear" w:color="auto" w:fill="D9D9D9"/>
          </w:tcPr>
          <w:p>
            <w:pPr>
              <w:spacing w:after="0"/>
              <w:rPr>
                <w:sz w:val="20"/>
                <w:szCs w:val="20"/>
                <w:color w:val="auto"/>
              </w:rPr>
            </w:pPr>
          </w:p>
        </w:tc>
        <w:tc>
          <w:tcPr>
            <w:tcW w:w="120" w:type="dxa"/>
            <w:vAlign w:val="bottom"/>
            <w:tcBorders>
              <w:top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300" w:type="dxa"/>
            <w:vAlign w:val="bottom"/>
            <w:tcBorders>
              <w:top w:val="single" w:sz="8" w:color="auto"/>
              <w:right w:val="single" w:sz="8" w:color="D9D9D9"/>
            </w:tcBorders>
            <w:shd w:val="clear" w:color="auto" w:fill="D9D9D9"/>
          </w:tcPr>
          <w:p>
            <w:pPr>
              <w:spacing w:after="0"/>
              <w:rPr>
                <w:sz w:val="20"/>
                <w:szCs w:val="20"/>
                <w:color w:val="auto"/>
              </w:rPr>
            </w:pPr>
          </w:p>
        </w:tc>
        <w:tc>
          <w:tcPr>
            <w:tcW w:w="20" w:type="dxa"/>
            <w:vAlign w:val="bottom"/>
            <w:tcBorders>
              <w:top w:val="single" w:sz="8" w:color="D9D9D9"/>
            </w:tcBorders>
            <w:shd w:val="clear" w:color="auto" w:fill="D9D9D9"/>
          </w:tcPr>
          <w:p>
            <w:pPr>
              <w:spacing w:after="0"/>
              <w:rPr>
                <w:sz w:val="20"/>
                <w:szCs w:val="20"/>
                <w:color w:val="auto"/>
              </w:rPr>
            </w:pPr>
          </w:p>
        </w:tc>
        <w:tc>
          <w:tcPr>
            <w:tcW w:w="160" w:type="dxa"/>
            <w:vAlign w:val="bottom"/>
            <w:tcBorders>
              <w:top w:val="single" w:sz="8" w:color="auto"/>
            </w:tcBorders>
            <w:shd w:val="clear" w:color="auto" w:fill="D9D9D9"/>
          </w:tcPr>
          <w:p>
            <w:pPr>
              <w:spacing w:after="0"/>
              <w:rPr>
                <w:sz w:val="20"/>
                <w:szCs w:val="20"/>
                <w:color w:val="auto"/>
              </w:rPr>
            </w:pPr>
          </w:p>
        </w:tc>
        <w:tc>
          <w:tcPr>
            <w:tcW w:w="980" w:type="dxa"/>
            <w:vAlign w:val="bottom"/>
            <w:tcBorders>
              <w:top w:val="single" w:sz="8" w:color="auto"/>
            </w:tcBorders>
            <w:shd w:val="clear" w:color="auto" w:fill="D9D9D9"/>
          </w:tcPr>
          <w:p>
            <w:pPr>
              <w:spacing w:after="0"/>
              <w:rPr>
                <w:sz w:val="20"/>
                <w:szCs w:val="20"/>
                <w:color w:val="auto"/>
              </w:rPr>
            </w:pPr>
          </w:p>
        </w:tc>
        <w:tc>
          <w:tcPr>
            <w:tcW w:w="120" w:type="dxa"/>
            <w:vAlign w:val="bottom"/>
            <w:tcBorders>
              <w:top w:val="single" w:sz="8" w:color="D9D9D9"/>
              <w:left w:val="single" w:sz="8" w:color="D9D9D9"/>
              <w:right w:val="single" w:sz="8" w:color="D9D9D9"/>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360" w:type="dxa"/>
            <w:vAlign w:val="bottom"/>
            <w:tcBorders>
              <w:top w:val="single" w:sz="8" w:color="auto"/>
              <w:right w:val="single" w:sz="8" w:color="D9D9D9"/>
            </w:tcBorders>
            <w:shd w:val="clear" w:color="auto" w:fill="D9D9D9"/>
          </w:tcPr>
          <w:p>
            <w:pPr>
              <w:spacing w:after="0"/>
              <w:rPr>
                <w:sz w:val="20"/>
                <w:szCs w:val="20"/>
                <w:color w:val="auto"/>
              </w:rPr>
            </w:pPr>
          </w:p>
        </w:tc>
      </w:tr>
      <w:tr>
        <w:trPr>
          <w:trHeight w:val="229"/>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2023</w:t>
            </w:r>
          </w:p>
        </w:tc>
        <w:tc>
          <w:tcPr>
            <w:tcW w:w="10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130,180,031</w:t>
            </w:r>
          </w:p>
        </w:tc>
        <w:tc>
          <w:tcPr>
            <w:tcW w:w="100" w:type="dxa"/>
            <w:vAlign w:val="bottom"/>
            <w:shd w:val="clear" w:color="auto" w:fill="D9D9D9"/>
          </w:tcPr>
          <w:p>
            <w:pPr>
              <w:spacing w:after="0"/>
              <w:rPr>
                <w:sz w:val="19"/>
                <w:szCs w:val="19"/>
                <w:color w:val="auto"/>
              </w:rPr>
            </w:pPr>
          </w:p>
        </w:tc>
        <w:tc>
          <w:tcPr>
            <w:tcW w:w="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2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24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w:t>
            </w:r>
          </w:p>
        </w:tc>
        <w:tc>
          <w:tcPr>
            <w:tcW w:w="7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294,330</w:t>
            </w:r>
          </w:p>
        </w:tc>
        <w:tc>
          <w:tcPr>
            <w:tcW w:w="12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(243,010)</w:t>
            </w:r>
          </w:p>
        </w:tc>
        <w:tc>
          <w:tcPr>
            <w:tcW w:w="120" w:type="dxa"/>
            <w:vAlign w:val="bottom"/>
            <w:tcBorders>
              <w:left w:val="single" w:sz="8" w:color="D9D9D9"/>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51,349</w:t>
            </w:r>
          </w:p>
        </w:tc>
      </w:tr>
      <w:tr>
        <w:trPr>
          <w:trHeight w:val="230"/>
        </w:trPr>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2420" w:type="dxa"/>
            <w:vAlign w:val="bottom"/>
            <w:tcBorders>
              <w:right w:val="single" w:sz="8" w:color="D9D9D9"/>
            </w:tcBorders>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Private placement of</w:t>
            </w:r>
          </w:p>
        </w:tc>
        <w:tc>
          <w:tcPr>
            <w:tcW w:w="10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00" w:type="dxa"/>
            <w:vAlign w:val="bottom"/>
            <w:tcBorders>
              <w:right w:val="single" w:sz="8" w:color="D9D9D9"/>
            </w:tcBorders>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120" w:type="dxa"/>
            <w:vAlign w:val="bottom"/>
            <w:tcBorders>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00" w:type="dxa"/>
            <w:vAlign w:val="bottom"/>
            <w:tcBorders>
              <w:right w:val="single" w:sz="8" w:color="D9D9D9"/>
            </w:tcBorders>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120" w:type="dxa"/>
            <w:vAlign w:val="bottom"/>
            <w:tcBorders>
              <w:left w:val="single" w:sz="8" w:color="D9D9D9"/>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60" w:type="dxa"/>
            <w:vAlign w:val="bottom"/>
            <w:tcBorders>
              <w:right w:val="single" w:sz="8" w:color="D9D9D9"/>
            </w:tcBorders>
            <w:shd w:val="clear" w:color="auto" w:fill="D9D9D9"/>
          </w:tcPr>
          <w:p>
            <w:pPr>
              <w:spacing w:after="0"/>
              <w:rPr>
                <w:sz w:val="18"/>
                <w:szCs w:val="18"/>
                <w:color w:val="auto"/>
              </w:rPr>
            </w:pPr>
          </w:p>
        </w:tc>
      </w:tr>
      <w:tr>
        <w:trPr>
          <w:trHeight w:val="25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 net of</w:t>
            </w:r>
          </w:p>
        </w:tc>
        <w:tc>
          <w:tcPr>
            <w:tcW w:w="10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00" w:type="dxa"/>
            <w:vAlign w:val="bottom"/>
            <w:tcBorders>
              <w:right w:val="single" w:sz="8" w:color="D9D9D9"/>
            </w:tcBorders>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120" w:type="dxa"/>
            <w:vAlign w:val="bottom"/>
            <w:tcBorders>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980" w:type="dxa"/>
            <w:vAlign w:val="bottom"/>
            <w:shd w:val="clear" w:color="auto" w:fill="D9D9D9"/>
          </w:tcPr>
          <w:p>
            <w:pPr>
              <w:spacing w:after="0"/>
              <w:rPr>
                <w:sz w:val="21"/>
                <w:szCs w:val="21"/>
                <w:color w:val="auto"/>
              </w:rPr>
            </w:pPr>
          </w:p>
        </w:tc>
        <w:tc>
          <w:tcPr>
            <w:tcW w:w="120" w:type="dxa"/>
            <w:vAlign w:val="bottom"/>
            <w:tcBorders>
              <w:left w:val="single" w:sz="8" w:color="D9D9D9"/>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60" w:type="dxa"/>
            <w:vAlign w:val="bottom"/>
            <w:tcBorders>
              <w:right w:val="single" w:sz="8" w:color="D9D9D9"/>
            </w:tcBorders>
            <w:shd w:val="clear" w:color="auto" w:fill="D9D9D9"/>
          </w:tcPr>
          <w:p>
            <w:pPr>
              <w:spacing w:after="0"/>
              <w:rPr>
                <w:sz w:val="21"/>
                <w:szCs w:val="21"/>
                <w:color w:val="auto"/>
              </w:rPr>
            </w:pPr>
          </w:p>
        </w:tc>
      </w:tr>
      <w:tr>
        <w:trPr>
          <w:trHeight w:val="23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issuance costs of $544</w:t>
            </w:r>
          </w:p>
        </w:tc>
        <w:tc>
          <w:tcPr>
            <w:tcW w:w="10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7,812,500</w:t>
            </w:r>
          </w:p>
        </w:tc>
        <w:tc>
          <w:tcPr>
            <w:tcW w:w="1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7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4,456</w:t>
            </w:r>
          </w:p>
        </w:tc>
        <w:tc>
          <w:tcPr>
            <w:tcW w:w="12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4,456</w:t>
            </w:r>
          </w:p>
        </w:tc>
      </w:tr>
      <w:tr>
        <w:trPr>
          <w:trHeight w:val="210"/>
        </w:trPr>
        <w:tc>
          <w:tcPr>
            <w:tcW w:w="24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Common stock issued upon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vesting and settlement of</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1,314,495</w:t>
            </w:r>
          </w:p>
        </w:tc>
        <w:tc>
          <w:tcPr>
            <w:tcW w:w="280" w:type="dxa"/>
            <w:vAlign w:val="bottom"/>
          </w:tcPr>
          <w:p>
            <w:pPr>
              <w:spacing w:after="0"/>
              <w:rPr>
                <w:sz w:val="21"/>
                <w:szCs w:val="21"/>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0"/>
        </w:trPr>
        <w:tc>
          <w:tcPr>
            <w:tcW w:w="2420" w:type="dxa"/>
            <w:vAlign w:val="bottom"/>
            <w:tcBorders>
              <w:right w:val="single" w:sz="8" w:color="D9D9D9"/>
            </w:tcBorders>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Withholding on common</w:t>
            </w:r>
          </w:p>
        </w:tc>
        <w:tc>
          <w:tcPr>
            <w:tcW w:w="10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00" w:type="dxa"/>
            <w:vAlign w:val="bottom"/>
            <w:tcBorders>
              <w:right w:val="single" w:sz="8" w:color="D9D9D9"/>
            </w:tcBorders>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120" w:type="dxa"/>
            <w:vAlign w:val="bottom"/>
            <w:tcBorders>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00" w:type="dxa"/>
            <w:vAlign w:val="bottom"/>
            <w:tcBorders>
              <w:right w:val="single" w:sz="8" w:color="D9D9D9"/>
            </w:tcBorders>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120" w:type="dxa"/>
            <w:vAlign w:val="bottom"/>
            <w:tcBorders>
              <w:left w:val="single" w:sz="8" w:color="D9D9D9"/>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60" w:type="dxa"/>
            <w:vAlign w:val="bottom"/>
            <w:tcBorders>
              <w:right w:val="single" w:sz="8" w:color="D9D9D9"/>
            </w:tcBorders>
            <w:shd w:val="clear" w:color="auto" w:fill="D9D9D9"/>
          </w:tcPr>
          <w:p>
            <w:pPr>
              <w:spacing w:after="0"/>
              <w:rPr>
                <w:sz w:val="18"/>
                <w:szCs w:val="18"/>
                <w:color w:val="auto"/>
              </w:rPr>
            </w:pPr>
          </w:p>
        </w:tc>
      </w:tr>
      <w:tr>
        <w:trPr>
          <w:trHeight w:val="23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upon vesting and</w:t>
            </w:r>
          </w:p>
        </w:tc>
        <w:tc>
          <w:tcPr>
            <w:tcW w:w="10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780" w:type="dxa"/>
            <w:vAlign w:val="bottom"/>
            <w:shd w:val="clear" w:color="auto" w:fill="D9D9D9"/>
          </w:tcPr>
          <w:p>
            <w:pPr>
              <w:spacing w:after="0"/>
              <w:rPr>
                <w:sz w:val="20"/>
                <w:szCs w:val="20"/>
                <w:color w:val="auto"/>
              </w:rPr>
            </w:pPr>
          </w:p>
        </w:tc>
        <w:tc>
          <w:tcPr>
            <w:tcW w:w="12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spacing w:after="0"/>
              <w:rPr>
                <w:sz w:val="20"/>
                <w:szCs w:val="20"/>
                <w:color w:val="auto"/>
              </w:rPr>
            </w:pPr>
          </w:p>
        </w:tc>
      </w:tr>
      <w:tr>
        <w:trPr>
          <w:trHeight w:val="25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settlement of restricted stock</w:t>
            </w:r>
          </w:p>
        </w:tc>
        <w:tc>
          <w:tcPr>
            <w:tcW w:w="10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00" w:type="dxa"/>
            <w:vAlign w:val="bottom"/>
            <w:tcBorders>
              <w:right w:val="single" w:sz="8" w:color="D9D9D9"/>
            </w:tcBorders>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120" w:type="dxa"/>
            <w:vAlign w:val="bottom"/>
            <w:tcBorders>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980" w:type="dxa"/>
            <w:vAlign w:val="bottom"/>
            <w:shd w:val="clear" w:color="auto" w:fill="D9D9D9"/>
          </w:tcPr>
          <w:p>
            <w:pPr>
              <w:spacing w:after="0"/>
              <w:rPr>
                <w:sz w:val="21"/>
                <w:szCs w:val="21"/>
                <w:color w:val="auto"/>
              </w:rPr>
            </w:pPr>
          </w:p>
        </w:tc>
        <w:tc>
          <w:tcPr>
            <w:tcW w:w="120" w:type="dxa"/>
            <w:vAlign w:val="bottom"/>
            <w:tcBorders>
              <w:left w:val="single" w:sz="8" w:color="D9D9D9"/>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60" w:type="dxa"/>
            <w:vAlign w:val="bottom"/>
            <w:tcBorders>
              <w:right w:val="single" w:sz="8" w:color="D9D9D9"/>
            </w:tcBorders>
            <w:shd w:val="clear" w:color="auto" w:fill="D9D9D9"/>
          </w:tcPr>
          <w:p>
            <w:pPr>
              <w:spacing w:after="0"/>
              <w:rPr>
                <w:sz w:val="21"/>
                <w:szCs w:val="21"/>
                <w:color w:val="auto"/>
              </w:rPr>
            </w:pPr>
          </w:p>
        </w:tc>
      </w:tr>
      <w:tr>
        <w:trPr>
          <w:trHeight w:val="23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units</w:t>
            </w:r>
          </w:p>
        </w:tc>
        <w:tc>
          <w:tcPr>
            <w:tcW w:w="10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(281,220</w:t>
            </w: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7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12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4,117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4,117</w:t>
            </w:r>
          </w:p>
        </w:tc>
      </w:tr>
      <w:tr>
        <w:trPr>
          <w:trHeight w:val="23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19,858</w:t>
            </w:r>
          </w:p>
        </w:tc>
        <w:tc>
          <w:tcPr>
            <w:tcW w:w="1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900" w:type="dxa"/>
            <w:vAlign w:val="bottom"/>
            <w:tcBorders>
              <w:right w:val="single" w:sz="8" w:color="D9D9D9"/>
            </w:tcBorders>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10"/>
        </w:trPr>
        <w:tc>
          <w:tcPr>
            <w:tcW w:w="24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Foreign currency translation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adjustment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r>
      <w:tr>
        <w:trPr>
          <w:trHeight w:val="240"/>
        </w:trPr>
        <w:tc>
          <w:tcPr>
            <w:tcW w:w="2420" w:type="dxa"/>
            <w:vAlign w:val="bottom"/>
            <w:tcBorders>
              <w:bottom w:val="single" w:sz="8" w:color="D9D9D9"/>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loss</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9D9D9"/>
            </w:tcBorders>
            <w:shd w:val="clear" w:color="auto" w:fill="D9D9D9"/>
          </w:tcPr>
          <w:p>
            <w:pPr>
              <w:spacing w:after="0"/>
              <w:rPr>
                <w:sz w:val="20"/>
                <w:szCs w:val="20"/>
                <w:color w:val="auto"/>
              </w:rPr>
            </w:pPr>
          </w:p>
        </w:tc>
        <w:tc>
          <w:tcPr>
            <w:tcW w:w="280" w:type="dxa"/>
            <w:vAlign w:val="bottom"/>
            <w:tcBorders>
              <w:bottom w:val="single" w:sz="8" w:color="auto"/>
            </w:tcBorders>
            <w:shd w:val="clear" w:color="auto" w:fill="D9D9D9"/>
          </w:tcPr>
          <w:p>
            <w:pPr>
              <w:spacing w:after="0"/>
              <w:rPr>
                <w:sz w:val="20"/>
                <w:szCs w:val="20"/>
                <w:color w:val="auto"/>
              </w:rPr>
            </w:pPr>
          </w:p>
        </w:tc>
        <w:tc>
          <w:tcPr>
            <w:tcW w:w="22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D9D9D9"/>
              <w:right w:val="single" w:sz="8" w:color="D9D9D9"/>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7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9D9D9"/>
              <w:right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9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(16,449)</w:t>
            </w:r>
          </w:p>
        </w:tc>
        <w:tc>
          <w:tcPr>
            <w:tcW w:w="120" w:type="dxa"/>
            <w:vAlign w:val="bottom"/>
            <w:tcBorders>
              <w:left w:val="single" w:sz="8" w:color="D9D9D9"/>
              <w:bottom w:val="single" w:sz="8" w:color="D9D9D9"/>
              <w:right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(16,449)</w:t>
            </w:r>
          </w:p>
        </w:tc>
      </w:tr>
      <w:tr>
        <w:trPr>
          <w:trHeight w:val="210"/>
        </w:trPr>
        <w:tc>
          <w:tcPr>
            <w:tcW w:w="24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Balance at December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95"/>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139,045,664</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302,738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(259,459)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42,963</w:t>
            </w:r>
          </w:p>
        </w:tc>
      </w:tr>
      <w:tr>
        <w:trPr>
          <w:trHeight w:val="245"/>
        </w:trPr>
        <w:tc>
          <w:tcPr>
            <w:tcW w:w="2420" w:type="dxa"/>
            <w:vAlign w:val="bottom"/>
            <w:tcBorders>
              <w:top w:val="single" w:sz="8" w:color="D9D9D9"/>
              <w:bottom w:val="single" w:sz="8" w:color="D9D9D9"/>
              <w:right w:val="single" w:sz="8" w:color="D9D9D9"/>
            </w:tcBorders>
            <w:shd w:val="clear" w:color="auto" w:fill="D9D9D9"/>
          </w:tcPr>
          <w:p>
            <w:pPr>
              <w:spacing w:after="0"/>
              <w:rPr>
                <w:sz w:val="21"/>
                <w:szCs w:val="21"/>
                <w:color w:val="auto"/>
              </w:rPr>
            </w:pPr>
          </w:p>
        </w:tc>
        <w:tc>
          <w:tcPr>
            <w:tcW w:w="1060" w:type="dxa"/>
            <w:vAlign w:val="bottom"/>
            <w:tcBorders>
              <w:top w:val="single" w:sz="8" w:color="auto"/>
              <w:bottom w:val="single" w:sz="8" w:color="D9D9D9"/>
            </w:tcBorders>
            <w:shd w:val="clear" w:color="auto" w:fill="D9D9D9"/>
          </w:tcPr>
          <w:p>
            <w:pPr>
              <w:spacing w:after="0"/>
              <w:rPr>
                <w:sz w:val="21"/>
                <w:szCs w:val="21"/>
                <w:color w:val="auto"/>
              </w:rPr>
            </w:pPr>
          </w:p>
        </w:tc>
        <w:tc>
          <w:tcPr>
            <w:tcW w:w="100" w:type="dxa"/>
            <w:vAlign w:val="bottom"/>
            <w:tcBorders>
              <w:top w:val="single" w:sz="8" w:color="D9D9D9"/>
              <w:bottom w:val="single" w:sz="8" w:color="D9D9D9"/>
            </w:tcBorders>
            <w:shd w:val="clear" w:color="auto" w:fill="D9D9D9"/>
          </w:tcPr>
          <w:p>
            <w:pPr>
              <w:spacing w:after="0"/>
              <w:rPr>
                <w:sz w:val="21"/>
                <w:szCs w:val="21"/>
                <w:color w:val="auto"/>
              </w:rPr>
            </w:pPr>
          </w:p>
        </w:tc>
        <w:tc>
          <w:tcPr>
            <w:tcW w:w="280" w:type="dxa"/>
            <w:vAlign w:val="bottom"/>
            <w:tcBorders>
              <w:top w:val="single" w:sz="8" w:color="auto"/>
              <w:bottom w:val="single" w:sz="8" w:color="D9D9D9"/>
            </w:tcBorders>
            <w:shd w:val="clear" w:color="auto" w:fill="D9D9D9"/>
          </w:tcPr>
          <w:p>
            <w:pPr>
              <w:spacing w:after="0"/>
              <w:rPr>
                <w:sz w:val="21"/>
                <w:szCs w:val="21"/>
                <w:color w:val="auto"/>
              </w:rPr>
            </w:pPr>
          </w:p>
        </w:tc>
        <w:tc>
          <w:tcPr>
            <w:tcW w:w="220" w:type="dxa"/>
            <w:vAlign w:val="bottom"/>
            <w:tcBorders>
              <w:top w:val="single" w:sz="8" w:color="auto"/>
              <w:bottom w:val="single" w:sz="8" w:color="D9D9D9"/>
            </w:tcBorders>
            <w:shd w:val="clear" w:color="auto" w:fill="D9D9D9"/>
          </w:tcPr>
          <w:p>
            <w:pPr>
              <w:spacing w:after="0"/>
              <w:rPr>
                <w:sz w:val="21"/>
                <w:szCs w:val="21"/>
                <w:color w:val="auto"/>
              </w:rPr>
            </w:pPr>
          </w:p>
        </w:tc>
        <w:tc>
          <w:tcPr>
            <w:tcW w:w="100" w:type="dxa"/>
            <w:vAlign w:val="bottom"/>
            <w:tcBorders>
              <w:top w:val="single" w:sz="8" w:color="D9D9D9"/>
              <w:bottom w:val="single" w:sz="8" w:color="D9D9D9"/>
              <w:right w:val="single" w:sz="8" w:color="D9D9D9"/>
            </w:tcBorders>
            <w:shd w:val="clear" w:color="auto" w:fill="D9D9D9"/>
          </w:tcPr>
          <w:p>
            <w:pPr>
              <w:spacing w:after="0"/>
              <w:rPr>
                <w:sz w:val="21"/>
                <w:szCs w:val="21"/>
                <w:color w:val="auto"/>
              </w:rPr>
            </w:pPr>
          </w:p>
        </w:tc>
        <w:tc>
          <w:tcPr>
            <w:tcW w:w="140" w:type="dxa"/>
            <w:vAlign w:val="bottom"/>
            <w:tcBorders>
              <w:top w:val="single" w:sz="8" w:color="auto"/>
              <w:bottom w:val="single" w:sz="8" w:color="D9D9D9"/>
            </w:tcBorders>
            <w:shd w:val="clear" w:color="auto" w:fill="D9D9D9"/>
          </w:tcPr>
          <w:p>
            <w:pPr>
              <w:spacing w:after="0"/>
              <w:rPr>
                <w:sz w:val="21"/>
                <w:szCs w:val="21"/>
                <w:color w:val="auto"/>
              </w:rPr>
            </w:pPr>
          </w:p>
        </w:tc>
        <w:tc>
          <w:tcPr>
            <w:tcW w:w="780" w:type="dxa"/>
            <w:vAlign w:val="bottom"/>
            <w:tcBorders>
              <w:top w:val="single" w:sz="8" w:color="auto"/>
              <w:bottom w:val="single" w:sz="8" w:color="D9D9D9"/>
            </w:tcBorders>
            <w:shd w:val="clear" w:color="auto" w:fill="D9D9D9"/>
          </w:tcPr>
          <w:p>
            <w:pPr>
              <w:spacing w:after="0"/>
              <w:rPr>
                <w:sz w:val="21"/>
                <w:szCs w:val="21"/>
                <w:color w:val="auto"/>
              </w:rPr>
            </w:pPr>
          </w:p>
        </w:tc>
        <w:tc>
          <w:tcPr>
            <w:tcW w:w="120" w:type="dxa"/>
            <w:vAlign w:val="bottom"/>
            <w:tcBorders>
              <w:top w:val="single" w:sz="8" w:color="D9D9D9"/>
              <w:bottom w:val="single" w:sz="8" w:color="D9D9D9"/>
              <w:right w:val="single" w:sz="8" w:color="D9D9D9"/>
            </w:tcBorders>
            <w:shd w:val="clear" w:color="auto" w:fill="D9D9D9"/>
          </w:tcPr>
          <w:p>
            <w:pPr>
              <w:spacing w:after="0"/>
              <w:rPr>
                <w:sz w:val="21"/>
                <w:szCs w:val="21"/>
                <w:color w:val="auto"/>
              </w:rPr>
            </w:pPr>
          </w:p>
        </w:tc>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300" w:type="dxa"/>
            <w:vAlign w:val="bottom"/>
            <w:tcBorders>
              <w:top w:val="single" w:sz="8" w:color="auto"/>
              <w:bottom w:val="single" w:sz="8" w:color="D9D9D9"/>
              <w:right w:val="single" w:sz="8" w:color="D9D9D9"/>
            </w:tcBorders>
            <w:shd w:val="clear" w:color="auto" w:fill="D9D9D9"/>
          </w:tcPr>
          <w:p>
            <w:pPr>
              <w:spacing w:after="0"/>
              <w:rPr>
                <w:sz w:val="21"/>
                <w:szCs w:val="21"/>
                <w:color w:val="auto"/>
              </w:rPr>
            </w:pPr>
          </w:p>
        </w:tc>
        <w:tc>
          <w:tcPr>
            <w:tcW w:w="20" w:type="dxa"/>
            <w:vAlign w:val="bottom"/>
            <w:tcBorders>
              <w:top w:val="single" w:sz="8" w:color="D9D9D9"/>
              <w:bottom w:val="single" w:sz="8" w:color="D9D9D9"/>
            </w:tcBorders>
            <w:shd w:val="clear" w:color="auto" w:fill="D9D9D9"/>
          </w:tcPr>
          <w:p>
            <w:pPr>
              <w:spacing w:after="0"/>
              <w:rPr>
                <w:sz w:val="21"/>
                <w:szCs w:val="21"/>
                <w:color w:val="auto"/>
              </w:rPr>
            </w:pPr>
          </w:p>
        </w:tc>
        <w:tc>
          <w:tcPr>
            <w:tcW w:w="160" w:type="dxa"/>
            <w:vAlign w:val="bottom"/>
            <w:tcBorders>
              <w:top w:val="single" w:sz="8" w:color="auto"/>
              <w:bottom w:val="single" w:sz="8" w:color="D9D9D9"/>
            </w:tcBorders>
            <w:shd w:val="clear" w:color="auto" w:fill="D9D9D9"/>
          </w:tcPr>
          <w:p>
            <w:pPr>
              <w:spacing w:after="0"/>
              <w:rPr>
                <w:sz w:val="21"/>
                <w:szCs w:val="21"/>
                <w:color w:val="auto"/>
              </w:rPr>
            </w:pPr>
          </w:p>
        </w:tc>
        <w:tc>
          <w:tcPr>
            <w:tcW w:w="980" w:type="dxa"/>
            <w:vAlign w:val="bottom"/>
            <w:tcBorders>
              <w:top w:val="single" w:sz="8" w:color="auto"/>
              <w:bottom w:val="single" w:sz="8" w:color="D9D9D9"/>
            </w:tcBorders>
            <w:shd w:val="clear" w:color="auto" w:fill="D9D9D9"/>
          </w:tcPr>
          <w:p>
            <w:pPr>
              <w:spacing w:after="0"/>
              <w:rPr>
                <w:sz w:val="21"/>
                <w:szCs w:val="21"/>
                <w:color w:val="auto"/>
              </w:rPr>
            </w:pPr>
          </w:p>
        </w:tc>
        <w:tc>
          <w:tcPr>
            <w:tcW w:w="120" w:type="dxa"/>
            <w:vAlign w:val="bottom"/>
            <w:tcBorders>
              <w:top w:val="single" w:sz="8" w:color="D9D9D9"/>
              <w:left w:val="single" w:sz="8" w:color="D9D9D9"/>
              <w:bottom w:val="single" w:sz="8" w:color="D9D9D9"/>
              <w:right w:val="single" w:sz="8" w:color="D9D9D9"/>
            </w:tcBorders>
            <w:shd w:val="clear" w:color="auto" w:fill="D9D9D9"/>
          </w:tcPr>
          <w:p>
            <w:pPr>
              <w:spacing w:after="0"/>
              <w:rPr>
                <w:sz w:val="21"/>
                <w:szCs w:val="21"/>
                <w:color w:val="auto"/>
              </w:rPr>
            </w:pPr>
          </w:p>
        </w:tc>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360" w:type="dxa"/>
            <w:vAlign w:val="bottom"/>
            <w:tcBorders>
              <w:top w:val="single" w:sz="8" w:color="auto"/>
              <w:bottom w:val="single" w:sz="8" w:color="D9D9D9"/>
              <w:right w:val="single" w:sz="8" w:color="D9D9D9"/>
            </w:tcBorders>
            <w:shd w:val="clear" w:color="auto" w:fill="D9D9D9"/>
          </w:tcPr>
          <w:p>
            <w:pPr>
              <w:spacing w:after="0"/>
              <w:rPr>
                <w:sz w:val="21"/>
                <w:szCs w:val="21"/>
                <w:color w:val="auto"/>
              </w:rPr>
            </w:pPr>
          </w:p>
        </w:tc>
      </w:tr>
      <w:tr>
        <w:trPr>
          <w:trHeight w:val="165"/>
        </w:trPr>
        <w:tc>
          <w:tcPr>
            <w:tcW w:w="2420" w:type="dxa"/>
            <w:vAlign w:val="bottom"/>
          </w:tcPr>
          <w:p>
            <w:pPr>
              <w:spacing w:after="0" w:line="165" w:lineRule="exact"/>
              <w:rPr>
                <w:sz w:val="20"/>
                <w:szCs w:val="20"/>
                <w:color w:val="auto"/>
              </w:rPr>
            </w:pPr>
            <w:r>
              <w:rPr>
                <w:rFonts w:ascii="Times New Roman" w:cs="Times New Roman" w:eastAsia="Times New Roman" w:hAnsi="Times New Roman"/>
                <w:sz w:val="19"/>
                <w:szCs w:val="19"/>
                <w:color w:val="auto"/>
              </w:rPr>
              <w:t>Common stock issued upon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vesting and settlement of</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1,203,987</w:t>
            </w:r>
          </w:p>
        </w:tc>
        <w:tc>
          <w:tcPr>
            <w:tcW w:w="280" w:type="dxa"/>
            <w:vAlign w:val="bottom"/>
          </w:tcPr>
          <w:p>
            <w:pPr>
              <w:spacing w:after="0"/>
              <w:rPr>
                <w:sz w:val="21"/>
                <w:szCs w:val="21"/>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0"/>
        </w:trPr>
        <w:tc>
          <w:tcPr>
            <w:tcW w:w="2420" w:type="dxa"/>
            <w:vAlign w:val="bottom"/>
            <w:tcBorders>
              <w:right w:val="single" w:sz="8" w:color="D9D9D9"/>
            </w:tcBorders>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Withholding on common</w:t>
            </w:r>
          </w:p>
        </w:tc>
        <w:tc>
          <w:tcPr>
            <w:tcW w:w="10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00" w:type="dxa"/>
            <w:vAlign w:val="bottom"/>
            <w:tcBorders>
              <w:right w:val="single" w:sz="8" w:color="D9D9D9"/>
            </w:tcBorders>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120" w:type="dxa"/>
            <w:vAlign w:val="bottom"/>
            <w:tcBorders>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00" w:type="dxa"/>
            <w:vAlign w:val="bottom"/>
            <w:tcBorders>
              <w:right w:val="single" w:sz="8" w:color="D9D9D9"/>
            </w:tcBorders>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120" w:type="dxa"/>
            <w:vAlign w:val="bottom"/>
            <w:tcBorders>
              <w:left w:val="single" w:sz="8" w:color="D9D9D9"/>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60" w:type="dxa"/>
            <w:vAlign w:val="bottom"/>
            <w:tcBorders>
              <w:right w:val="single" w:sz="8" w:color="D9D9D9"/>
            </w:tcBorders>
            <w:shd w:val="clear" w:color="auto" w:fill="D9D9D9"/>
          </w:tcPr>
          <w:p>
            <w:pPr>
              <w:spacing w:after="0"/>
              <w:rPr>
                <w:sz w:val="18"/>
                <w:szCs w:val="18"/>
                <w:color w:val="auto"/>
              </w:rPr>
            </w:pPr>
          </w:p>
        </w:tc>
      </w:tr>
      <w:tr>
        <w:trPr>
          <w:trHeight w:val="229"/>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upon vesting and</w:t>
            </w:r>
          </w:p>
        </w:tc>
        <w:tc>
          <w:tcPr>
            <w:tcW w:w="10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28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00" w:type="dxa"/>
            <w:vAlign w:val="bottom"/>
            <w:tcBorders>
              <w:right w:val="single" w:sz="8" w:color="D9D9D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780" w:type="dxa"/>
            <w:vAlign w:val="bottom"/>
            <w:shd w:val="clear" w:color="auto" w:fill="D9D9D9"/>
          </w:tcPr>
          <w:p>
            <w:pPr>
              <w:spacing w:after="0"/>
              <w:rPr>
                <w:sz w:val="19"/>
                <w:szCs w:val="19"/>
                <w:color w:val="auto"/>
              </w:rPr>
            </w:pPr>
          </w:p>
        </w:tc>
        <w:tc>
          <w:tcPr>
            <w:tcW w:w="12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00" w:type="dxa"/>
            <w:vAlign w:val="bottom"/>
            <w:tcBorders>
              <w:right w:val="single" w:sz="8" w:color="D9D9D9"/>
            </w:tcBorders>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20" w:type="dxa"/>
            <w:vAlign w:val="bottom"/>
            <w:tcBorders>
              <w:left w:val="single" w:sz="8" w:color="D9D9D9"/>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360" w:type="dxa"/>
            <w:vAlign w:val="bottom"/>
            <w:tcBorders>
              <w:right w:val="single" w:sz="8" w:color="D9D9D9"/>
            </w:tcBorders>
            <w:shd w:val="clear" w:color="auto" w:fill="D9D9D9"/>
          </w:tcPr>
          <w:p>
            <w:pPr>
              <w:spacing w:after="0"/>
              <w:rPr>
                <w:sz w:val="19"/>
                <w:szCs w:val="19"/>
                <w:color w:val="auto"/>
              </w:rPr>
            </w:pPr>
          </w:p>
        </w:tc>
      </w:tr>
      <w:tr>
        <w:trPr>
          <w:trHeight w:val="25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settlement of restricted stock</w:t>
            </w:r>
          </w:p>
        </w:tc>
        <w:tc>
          <w:tcPr>
            <w:tcW w:w="10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00" w:type="dxa"/>
            <w:vAlign w:val="bottom"/>
            <w:tcBorders>
              <w:right w:val="single" w:sz="8" w:color="D9D9D9"/>
            </w:tcBorders>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120" w:type="dxa"/>
            <w:vAlign w:val="bottom"/>
            <w:tcBorders>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980" w:type="dxa"/>
            <w:vAlign w:val="bottom"/>
            <w:shd w:val="clear" w:color="auto" w:fill="D9D9D9"/>
          </w:tcPr>
          <w:p>
            <w:pPr>
              <w:spacing w:after="0"/>
              <w:rPr>
                <w:sz w:val="21"/>
                <w:szCs w:val="21"/>
                <w:color w:val="auto"/>
              </w:rPr>
            </w:pPr>
          </w:p>
        </w:tc>
        <w:tc>
          <w:tcPr>
            <w:tcW w:w="120" w:type="dxa"/>
            <w:vAlign w:val="bottom"/>
            <w:tcBorders>
              <w:left w:val="single" w:sz="8" w:color="D9D9D9"/>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60" w:type="dxa"/>
            <w:vAlign w:val="bottom"/>
            <w:tcBorders>
              <w:right w:val="single" w:sz="8" w:color="D9D9D9"/>
            </w:tcBorders>
            <w:shd w:val="clear" w:color="auto" w:fill="D9D9D9"/>
          </w:tcPr>
          <w:p>
            <w:pPr>
              <w:spacing w:after="0"/>
              <w:rPr>
                <w:sz w:val="21"/>
                <w:szCs w:val="21"/>
                <w:color w:val="auto"/>
              </w:rPr>
            </w:pPr>
          </w:p>
        </w:tc>
      </w:tr>
      <w:tr>
        <w:trPr>
          <w:trHeight w:val="23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units</w:t>
            </w:r>
          </w:p>
        </w:tc>
        <w:tc>
          <w:tcPr>
            <w:tcW w:w="10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(210,094</w:t>
            </w: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7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2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2,892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2,892</w:t>
            </w:r>
          </w:p>
        </w:tc>
      </w:tr>
      <w:tr>
        <w:trPr>
          <w:trHeight w:val="210"/>
        </w:trPr>
        <w:tc>
          <w:tcPr>
            <w:tcW w:w="2420" w:type="dxa"/>
            <w:vAlign w:val="bottom"/>
            <w:tcBorders>
              <w:right w:val="single" w:sz="8" w:color="D9D9D9"/>
            </w:tcBorders>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rPr>
              <w:t>Share authorization costs</w:t>
            </w:r>
          </w:p>
        </w:tc>
        <w:tc>
          <w:tcPr>
            <w:tcW w:w="10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00" w:type="dxa"/>
            <w:vAlign w:val="bottom"/>
            <w:tcBorders>
              <w:right w:val="single" w:sz="8" w:color="D9D9D9"/>
            </w:tcBorders>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120" w:type="dxa"/>
            <w:vAlign w:val="bottom"/>
            <w:tcBorders>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00" w:type="dxa"/>
            <w:vAlign w:val="bottom"/>
            <w:tcBorders>
              <w:right w:val="single" w:sz="8" w:color="D9D9D9"/>
            </w:tcBorders>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120" w:type="dxa"/>
            <w:vAlign w:val="bottom"/>
            <w:tcBorders>
              <w:left w:val="single" w:sz="8" w:color="D9D9D9"/>
              <w:right w:val="single" w:sz="8" w:color="D9D9D9"/>
            </w:tcBorders>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360" w:type="dxa"/>
            <w:vAlign w:val="bottom"/>
            <w:tcBorders>
              <w:right w:val="single" w:sz="8" w:color="D9D9D9"/>
            </w:tcBorders>
            <w:shd w:val="clear" w:color="auto" w:fill="D9D9D9"/>
          </w:tcPr>
          <w:p>
            <w:pPr>
              <w:spacing w:after="0"/>
              <w:rPr>
                <w:sz w:val="18"/>
                <w:szCs w:val="18"/>
                <w:color w:val="auto"/>
              </w:rPr>
            </w:pPr>
          </w:p>
        </w:tc>
      </w:tr>
      <w:tr>
        <w:trPr>
          <w:trHeight w:val="25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associated with expansion of</w:t>
            </w:r>
          </w:p>
        </w:tc>
        <w:tc>
          <w:tcPr>
            <w:tcW w:w="10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00" w:type="dxa"/>
            <w:vAlign w:val="bottom"/>
            <w:tcBorders>
              <w:right w:val="single" w:sz="8" w:color="D9D9D9"/>
            </w:tcBorders>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120" w:type="dxa"/>
            <w:vAlign w:val="bottom"/>
            <w:tcBorders>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980" w:type="dxa"/>
            <w:vAlign w:val="bottom"/>
            <w:shd w:val="clear" w:color="auto" w:fill="D9D9D9"/>
          </w:tcPr>
          <w:p>
            <w:pPr>
              <w:spacing w:after="0"/>
              <w:rPr>
                <w:sz w:val="21"/>
                <w:szCs w:val="21"/>
                <w:color w:val="auto"/>
              </w:rPr>
            </w:pPr>
          </w:p>
        </w:tc>
        <w:tc>
          <w:tcPr>
            <w:tcW w:w="120" w:type="dxa"/>
            <w:vAlign w:val="bottom"/>
            <w:tcBorders>
              <w:left w:val="single" w:sz="8" w:color="D9D9D9"/>
              <w:right w:val="single" w:sz="8" w:color="D9D9D9"/>
            </w:tcBorders>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60" w:type="dxa"/>
            <w:vAlign w:val="bottom"/>
            <w:tcBorders>
              <w:right w:val="single" w:sz="8" w:color="D9D9D9"/>
            </w:tcBorders>
            <w:shd w:val="clear" w:color="auto" w:fill="D9D9D9"/>
          </w:tcPr>
          <w:p>
            <w:pPr>
              <w:spacing w:after="0"/>
              <w:rPr>
                <w:sz w:val="21"/>
                <w:szCs w:val="21"/>
                <w:color w:val="auto"/>
              </w:rPr>
            </w:pPr>
          </w:p>
        </w:tc>
      </w:tr>
      <w:tr>
        <w:trPr>
          <w:trHeight w:val="23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2023 equity plan</w:t>
            </w:r>
          </w:p>
        </w:tc>
        <w:tc>
          <w:tcPr>
            <w:tcW w:w="10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7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2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10"/>
        </w:trPr>
        <w:tc>
          <w:tcPr>
            <w:tcW w:w="24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Foreign currency translation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adjustment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r>
      <w:tr>
        <w:trPr>
          <w:trHeight w:val="240"/>
        </w:trPr>
        <w:tc>
          <w:tcPr>
            <w:tcW w:w="2420" w:type="dxa"/>
            <w:vAlign w:val="bottom"/>
            <w:tcBorders>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2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right w:val="single" w:sz="8" w:color="D9D9D9"/>
            </w:tcBorders>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7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0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4,973</w:t>
            </w:r>
          </w:p>
        </w:tc>
        <w:tc>
          <w:tcPr>
            <w:tcW w:w="120" w:type="dxa"/>
            <w:vAlign w:val="bottom"/>
            <w:tcBorders>
              <w:left w:val="single" w:sz="8" w:color="D9D9D9"/>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6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4,973</w:t>
            </w:r>
          </w:p>
        </w:tc>
      </w:tr>
      <w:tr>
        <w:trPr>
          <w:trHeight w:val="229"/>
        </w:trPr>
        <w:tc>
          <w:tcPr>
            <w:tcW w:w="2420" w:type="dxa"/>
            <w:vAlign w:val="bottom"/>
            <w:tcBorders>
              <w:top w:val="single" w:sz="8" w:color="D9D9D9"/>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Balance at December 31,</w:t>
            </w:r>
          </w:p>
        </w:tc>
        <w:tc>
          <w:tcPr>
            <w:tcW w:w="1060" w:type="dxa"/>
            <w:vAlign w:val="bottom"/>
            <w:tcBorders>
              <w:top w:val="single" w:sz="8" w:color="auto"/>
            </w:tcBorders>
            <w:shd w:val="clear" w:color="auto" w:fill="D9D9D9"/>
          </w:tcPr>
          <w:p>
            <w:pPr>
              <w:spacing w:after="0"/>
              <w:rPr>
                <w:sz w:val="19"/>
                <w:szCs w:val="19"/>
                <w:color w:val="auto"/>
              </w:rPr>
            </w:pPr>
          </w:p>
        </w:tc>
        <w:tc>
          <w:tcPr>
            <w:tcW w:w="100" w:type="dxa"/>
            <w:vAlign w:val="bottom"/>
            <w:tcBorders>
              <w:top w:val="single" w:sz="8" w:color="D9D9D9"/>
            </w:tcBorders>
            <w:shd w:val="clear" w:color="auto" w:fill="D9D9D9"/>
          </w:tcPr>
          <w:p>
            <w:pPr>
              <w:spacing w:after="0"/>
              <w:rPr>
                <w:sz w:val="19"/>
                <w:szCs w:val="19"/>
                <w:color w:val="auto"/>
              </w:rPr>
            </w:pPr>
          </w:p>
        </w:tc>
        <w:tc>
          <w:tcPr>
            <w:tcW w:w="280" w:type="dxa"/>
            <w:vAlign w:val="bottom"/>
            <w:tcBorders>
              <w:top w:val="single" w:sz="8" w:color="auto"/>
            </w:tcBorders>
            <w:shd w:val="clear" w:color="auto" w:fill="D9D9D9"/>
          </w:tcPr>
          <w:p>
            <w:pPr>
              <w:spacing w:after="0"/>
              <w:rPr>
                <w:sz w:val="19"/>
                <w:szCs w:val="19"/>
                <w:color w:val="auto"/>
              </w:rPr>
            </w:pPr>
          </w:p>
        </w:tc>
        <w:tc>
          <w:tcPr>
            <w:tcW w:w="220" w:type="dxa"/>
            <w:vAlign w:val="bottom"/>
            <w:tcBorders>
              <w:top w:val="single" w:sz="8" w:color="auto"/>
            </w:tcBorders>
            <w:shd w:val="clear" w:color="auto" w:fill="D9D9D9"/>
          </w:tcPr>
          <w:p>
            <w:pPr>
              <w:spacing w:after="0"/>
              <w:rPr>
                <w:sz w:val="19"/>
                <w:szCs w:val="19"/>
                <w:color w:val="auto"/>
              </w:rPr>
            </w:pPr>
          </w:p>
        </w:tc>
        <w:tc>
          <w:tcPr>
            <w:tcW w:w="100" w:type="dxa"/>
            <w:vAlign w:val="bottom"/>
            <w:tcBorders>
              <w:top w:val="single" w:sz="8" w:color="D9D9D9"/>
              <w:right w:val="single" w:sz="8" w:color="D9D9D9"/>
            </w:tcBorders>
            <w:shd w:val="clear" w:color="auto" w:fill="D9D9D9"/>
          </w:tcPr>
          <w:p>
            <w:pPr>
              <w:spacing w:after="0"/>
              <w:rPr>
                <w:sz w:val="19"/>
                <w:szCs w:val="19"/>
                <w:color w:val="auto"/>
              </w:rPr>
            </w:pPr>
          </w:p>
        </w:tc>
        <w:tc>
          <w:tcPr>
            <w:tcW w:w="140" w:type="dxa"/>
            <w:vAlign w:val="bottom"/>
            <w:tcBorders>
              <w:top w:val="single" w:sz="8" w:color="auto"/>
            </w:tcBorders>
            <w:shd w:val="clear" w:color="auto" w:fill="D9D9D9"/>
          </w:tcPr>
          <w:p>
            <w:pPr>
              <w:spacing w:after="0"/>
              <w:rPr>
                <w:sz w:val="19"/>
                <w:szCs w:val="19"/>
                <w:color w:val="auto"/>
              </w:rPr>
            </w:pPr>
          </w:p>
        </w:tc>
        <w:tc>
          <w:tcPr>
            <w:tcW w:w="780" w:type="dxa"/>
            <w:vAlign w:val="bottom"/>
            <w:tcBorders>
              <w:top w:val="single" w:sz="8" w:color="auto"/>
            </w:tcBorders>
            <w:shd w:val="clear" w:color="auto" w:fill="D9D9D9"/>
          </w:tcPr>
          <w:p>
            <w:pPr>
              <w:spacing w:after="0"/>
              <w:rPr>
                <w:sz w:val="19"/>
                <w:szCs w:val="19"/>
                <w:color w:val="auto"/>
              </w:rPr>
            </w:pPr>
          </w:p>
        </w:tc>
        <w:tc>
          <w:tcPr>
            <w:tcW w:w="120" w:type="dxa"/>
            <w:vAlign w:val="bottom"/>
            <w:tcBorders>
              <w:top w:val="single" w:sz="8" w:color="D9D9D9"/>
              <w:right w:val="single" w:sz="8" w:color="D9D9D9"/>
            </w:tcBorders>
            <w:shd w:val="clear" w:color="auto" w:fill="D9D9D9"/>
          </w:tcPr>
          <w:p>
            <w:pPr>
              <w:spacing w:after="0"/>
              <w:rPr>
                <w:sz w:val="19"/>
                <w:szCs w:val="19"/>
                <w:color w:val="auto"/>
              </w:rPr>
            </w:pPr>
          </w:p>
        </w:tc>
        <w:tc>
          <w:tcPr>
            <w:tcW w:w="100" w:type="dxa"/>
            <w:vAlign w:val="bottom"/>
            <w:tcBorders>
              <w:top w:val="single" w:sz="8" w:color="auto"/>
            </w:tcBorders>
            <w:shd w:val="clear" w:color="auto" w:fill="D9D9D9"/>
          </w:tcPr>
          <w:p>
            <w:pPr>
              <w:spacing w:after="0"/>
              <w:rPr>
                <w:sz w:val="19"/>
                <w:szCs w:val="19"/>
                <w:color w:val="auto"/>
              </w:rPr>
            </w:pPr>
          </w:p>
        </w:tc>
        <w:tc>
          <w:tcPr>
            <w:tcW w:w="1300" w:type="dxa"/>
            <w:vAlign w:val="bottom"/>
            <w:tcBorders>
              <w:top w:val="single" w:sz="8" w:color="auto"/>
              <w:right w:val="single" w:sz="8" w:color="D9D9D9"/>
            </w:tcBorders>
            <w:shd w:val="clear" w:color="auto" w:fill="D9D9D9"/>
          </w:tcPr>
          <w:p>
            <w:pPr>
              <w:spacing w:after="0"/>
              <w:rPr>
                <w:sz w:val="19"/>
                <w:szCs w:val="19"/>
                <w:color w:val="auto"/>
              </w:rPr>
            </w:pPr>
          </w:p>
        </w:tc>
        <w:tc>
          <w:tcPr>
            <w:tcW w:w="20" w:type="dxa"/>
            <w:vAlign w:val="bottom"/>
            <w:tcBorders>
              <w:top w:val="single" w:sz="8" w:color="D9D9D9"/>
            </w:tcBorders>
            <w:shd w:val="clear" w:color="auto" w:fill="D9D9D9"/>
          </w:tcPr>
          <w:p>
            <w:pPr>
              <w:spacing w:after="0"/>
              <w:rPr>
                <w:sz w:val="19"/>
                <w:szCs w:val="19"/>
                <w:color w:val="auto"/>
              </w:rPr>
            </w:pPr>
          </w:p>
        </w:tc>
        <w:tc>
          <w:tcPr>
            <w:tcW w:w="160" w:type="dxa"/>
            <w:vAlign w:val="bottom"/>
            <w:tcBorders>
              <w:top w:val="single" w:sz="8" w:color="auto"/>
            </w:tcBorders>
            <w:shd w:val="clear" w:color="auto" w:fill="D9D9D9"/>
          </w:tcPr>
          <w:p>
            <w:pPr>
              <w:spacing w:after="0"/>
              <w:rPr>
                <w:sz w:val="19"/>
                <w:szCs w:val="19"/>
                <w:color w:val="auto"/>
              </w:rPr>
            </w:pPr>
          </w:p>
        </w:tc>
        <w:tc>
          <w:tcPr>
            <w:tcW w:w="980" w:type="dxa"/>
            <w:vAlign w:val="bottom"/>
            <w:tcBorders>
              <w:top w:val="single" w:sz="8" w:color="auto"/>
            </w:tcBorders>
            <w:shd w:val="clear" w:color="auto" w:fill="D9D9D9"/>
          </w:tcPr>
          <w:p>
            <w:pPr>
              <w:spacing w:after="0"/>
              <w:rPr>
                <w:sz w:val="19"/>
                <w:szCs w:val="19"/>
                <w:color w:val="auto"/>
              </w:rPr>
            </w:pPr>
          </w:p>
        </w:tc>
        <w:tc>
          <w:tcPr>
            <w:tcW w:w="120" w:type="dxa"/>
            <w:vAlign w:val="bottom"/>
            <w:tcBorders>
              <w:top w:val="single" w:sz="8" w:color="D9D9D9"/>
              <w:left w:val="single" w:sz="8" w:color="D9D9D9"/>
              <w:right w:val="single" w:sz="8" w:color="D9D9D9"/>
            </w:tcBorders>
            <w:shd w:val="clear" w:color="auto" w:fill="D9D9D9"/>
          </w:tcPr>
          <w:p>
            <w:pPr>
              <w:spacing w:after="0"/>
              <w:rPr>
                <w:sz w:val="19"/>
                <w:szCs w:val="19"/>
                <w:color w:val="auto"/>
              </w:rPr>
            </w:pPr>
          </w:p>
        </w:tc>
        <w:tc>
          <w:tcPr>
            <w:tcW w:w="100" w:type="dxa"/>
            <w:vAlign w:val="bottom"/>
            <w:tcBorders>
              <w:top w:val="single" w:sz="8" w:color="auto"/>
            </w:tcBorders>
            <w:shd w:val="clear" w:color="auto" w:fill="D9D9D9"/>
          </w:tcPr>
          <w:p>
            <w:pPr>
              <w:spacing w:after="0"/>
              <w:rPr>
                <w:sz w:val="19"/>
                <w:szCs w:val="19"/>
                <w:color w:val="auto"/>
              </w:rPr>
            </w:pPr>
          </w:p>
        </w:tc>
        <w:tc>
          <w:tcPr>
            <w:tcW w:w="1360" w:type="dxa"/>
            <w:vAlign w:val="bottom"/>
            <w:tcBorders>
              <w:top w:val="single" w:sz="8" w:color="auto"/>
              <w:right w:val="single" w:sz="8" w:color="D9D9D9"/>
            </w:tcBorders>
            <w:shd w:val="clear" w:color="auto" w:fill="D9D9D9"/>
          </w:tcPr>
          <w:p>
            <w:pPr>
              <w:spacing w:after="0"/>
              <w:rPr>
                <w:sz w:val="19"/>
                <w:szCs w:val="19"/>
                <w:color w:val="auto"/>
              </w:rPr>
            </w:pPr>
          </w:p>
        </w:tc>
      </w:tr>
      <w:tr>
        <w:trPr>
          <w:trHeight w:val="257"/>
        </w:trPr>
        <w:tc>
          <w:tcPr>
            <w:tcW w:w="2420" w:type="dxa"/>
            <w:vAlign w:val="bottom"/>
            <w:tcBorders>
              <w:bottom w:val="single" w:sz="8" w:color="D9D9D9"/>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2025</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140,039,557</w:t>
            </w:r>
          </w:p>
        </w:tc>
        <w:tc>
          <w:tcPr>
            <w:tcW w:w="100" w:type="dxa"/>
            <w:vAlign w:val="bottom"/>
            <w:tcBorders>
              <w:bottom w:val="single" w:sz="8" w:color="D9D9D9"/>
            </w:tcBorders>
            <w:shd w:val="clear" w:color="auto" w:fill="D9D9D9"/>
          </w:tcPr>
          <w:p>
            <w:pPr>
              <w:spacing w:after="0"/>
              <w:rPr>
                <w:sz w:val="21"/>
                <w:szCs w:val="21"/>
                <w:color w:val="auto"/>
              </w:rPr>
            </w:pPr>
          </w:p>
        </w:tc>
        <w:tc>
          <w:tcPr>
            <w:tcW w:w="2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D9D9D9"/>
              <w:right w:val="single" w:sz="8" w:color="D9D9D9"/>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7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305,439</w:t>
            </w:r>
          </w:p>
        </w:tc>
        <w:tc>
          <w:tcPr>
            <w:tcW w:w="120" w:type="dxa"/>
            <w:vAlign w:val="bottom"/>
            <w:tcBorders>
              <w:bottom w:val="single" w:sz="8" w:color="D9D9D9"/>
              <w:right w:val="single" w:sz="8" w:color="D9D9D9"/>
            </w:tcBorders>
            <w:shd w:val="clear" w:color="auto" w:fill="D9D9D9"/>
          </w:tcPr>
          <w:p>
            <w:pPr>
              <w:spacing w:after="0"/>
              <w:rPr>
                <w:sz w:val="21"/>
                <w:szCs w:val="21"/>
                <w:color w:val="auto"/>
              </w:rPr>
            </w:pPr>
          </w:p>
        </w:tc>
        <w:tc>
          <w:tcPr>
            <w:tcW w:w="1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D9D9D9"/>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D9D9D9"/>
          </w:tcPr>
          <w:p>
            <w:pPr>
              <w:spacing w:after="0"/>
              <w:rPr>
                <w:sz w:val="21"/>
                <w:szCs w:val="21"/>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(254,486</w:t>
            </w:r>
          </w:p>
        </w:tc>
        <w:tc>
          <w:tcPr>
            <w:tcW w:w="120" w:type="dxa"/>
            <w:vAlign w:val="bottom"/>
            <w:tcBorders>
              <w:left w:val="single" w:sz="8" w:color="D9D9D9"/>
              <w:bottom w:val="single" w:sz="8" w:color="D9D9D9"/>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50,953</w:t>
            </w:r>
          </w:p>
        </w:tc>
      </w:tr>
      <w:tr>
        <w:trPr>
          <w:trHeight w:val="20"/>
        </w:trPr>
        <w:tc>
          <w:tcPr>
            <w:tcW w:w="242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1060" w:type="dxa"/>
            <w:vAlign w:val="bottom"/>
            <w:tcBorders>
              <w:top w:val="single" w:sz="8" w:color="D9D9D9"/>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2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000000"/>
          </w:tcPr>
          <w:p>
            <w:pPr>
              <w:spacing w:after="0" w:line="20" w:lineRule="exact"/>
              <w:rPr>
                <w:sz w:val="1"/>
                <w:szCs w:val="1"/>
                <w:color w:val="auto"/>
              </w:rPr>
            </w:pPr>
          </w:p>
        </w:tc>
        <w:tc>
          <w:tcPr>
            <w:tcW w:w="780" w:type="dxa"/>
            <w:vAlign w:val="bottom"/>
            <w:tcBorders>
              <w:top w:val="single" w:sz="8" w:color="D9D9D9"/>
            </w:tcBorders>
            <w:shd w:val="clear" w:color="auto" w:fill="000000"/>
          </w:tcPr>
          <w:p>
            <w:pPr>
              <w:spacing w:after="0" w:line="20" w:lineRule="exact"/>
              <w:rPr>
                <w:sz w:val="1"/>
                <w:szCs w:val="1"/>
                <w:color w:val="auto"/>
              </w:rPr>
            </w:pPr>
          </w:p>
        </w:tc>
        <w:tc>
          <w:tcPr>
            <w:tcW w:w="12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000000"/>
          </w:tcPr>
          <w:p>
            <w:pPr>
              <w:spacing w:after="0" w:line="20" w:lineRule="exact"/>
              <w:rPr>
                <w:sz w:val="1"/>
                <w:szCs w:val="1"/>
                <w:color w:val="auto"/>
              </w:rPr>
            </w:pPr>
          </w:p>
        </w:tc>
        <w:tc>
          <w:tcPr>
            <w:tcW w:w="1300" w:type="dxa"/>
            <w:vAlign w:val="bottom"/>
            <w:tcBorders>
              <w:top w:val="single" w:sz="8" w:color="D9D9D9"/>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D9D9D9"/>
            </w:tcBorders>
            <w:shd w:val="clear" w:color="auto" w:fill="000000"/>
          </w:tcPr>
          <w:p>
            <w:pPr>
              <w:spacing w:after="0" w:line="20" w:lineRule="exact"/>
              <w:rPr>
                <w:sz w:val="1"/>
                <w:szCs w:val="1"/>
                <w:color w:val="auto"/>
              </w:rPr>
            </w:pPr>
          </w:p>
        </w:tc>
        <w:tc>
          <w:tcPr>
            <w:tcW w:w="160" w:type="dxa"/>
            <w:vAlign w:val="bottom"/>
            <w:tcBorders>
              <w:top w:val="single" w:sz="8" w:color="D9D9D9"/>
            </w:tcBorders>
            <w:shd w:val="clear" w:color="auto" w:fill="000000"/>
          </w:tcPr>
          <w:p>
            <w:pPr>
              <w:spacing w:after="0" w:line="20" w:lineRule="exact"/>
              <w:rPr>
                <w:sz w:val="1"/>
                <w:szCs w:val="1"/>
                <w:color w:val="auto"/>
              </w:rPr>
            </w:pPr>
          </w:p>
        </w:tc>
        <w:tc>
          <w:tcPr>
            <w:tcW w:w="980" w:type="dxa"/>
            <w:vAlign w:val="bottom"/>
            <w:tcBorders>
              <w:top w:val="single" w:sz="8" w:color="D9D9D9"/>
            </w:tcBorders>
            <w:shd w:val="clear" w:color="auto" w:fill="000000"/>
          </w:tcPr>
          <w:p>
            <w:pPr>
              <w:spacing w:after="0" w:line="20" w:lineRule="exact"/>
              <w:rPr>
                <w:sz w:val="1"/>
                <w:szCs w:val="1"/>
                <w:color w:val="auto"/>
              </w:rPr>
            </w:pPr>
          </w:p>
        </w:tc>
        <w:tc>
          <w:tcPr>
            <w:tcW w:w="120" w:type="dxa"/>
            <w:vAlign w:val="bottom"/>
            <w:tcBorders>
              <w:top w:val="single" w:sz="8" w:color="D9D9D9"/>
              <w:left w:val="single" w:sz="8" w:color="D9D9D9"/>
              <w:right w:val="single" w:sz="8" w:color="auto"/>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000000"/>
          </w:tcPr>
          <w:p>
            <w:pPr>
              <w:spacing w:after="0" w:line="20" w:lineRule="exact"/>
              <w:rPr>
                <w:sz w:val="1"/>
                <w:szCs w:val="1"/>
                <w:color w:val="auto"/>
              </w:rPr>
            </w:pPr>
          </w:p>
        </w:tc>
        <w:tc>
          <w:tcPr>
            <w:tcW w:w="1360" w:type="dxa"/>
            <w:vAlign w:val="bottom"/>
            <w:tcBorders>
              <w:top w:val="single" w:sz="8" w:color="D9D9D9"/>
              <w:right w:val="single" w:sz="8" w:color="D9D9D9"/>
            </w:tcBorders>
            <w:shd w:val="clear" w:color="auto" w:fill="000000"/>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6" w:right="1440" w:bottom="17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9"/>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9"/>
        </w:trPr>
        <w:tc>
          <w:tcPr>
            <w:tcW w:w="20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5580" w:type="dxa"/>
            <w:vAlign w:val="bottom"/>
            <w:tcBorders>
              <w:bottom w:val="single" w:sz="8" w:color="D9D9D9"/>
            </w:tcBorders>
          </w:tcPr>
          <w:p>
            <w:pPr>
              <w:spacing w:after="0"/>
              <w:rPr>
                <w:sz w:val="20"/>
                <w:szCs w:val="20"/>
                <w:color w:val="auto"/>
              </w:rPr>
            </w:pPr>
          </w:p>
        </w:tc>
        <w:tc>
          <w:tcPr>
            <w:tcW w:w="18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D9D9D9"/>
            </w:tcBorders>
          </w:tcPr>
          <w:p>
            <w:pPr>
              <w:spacing w:after="0"/>
              <w:rPr>
                <w:sz w:val="20"/>
                <w:szCs w:val="20"/>
                <w:color w:val="auto"/>
              </w:rPr>
            </w:pPr>
          </w:p>
        </w:tc>
        <w:tc>
          <w:tcPr>
            <w:tcW w:w="80" w:type="dxa"/>
            <w:vAlign w:val="bottom"/>
            <w:tcBorders>
              <w:top w:val="single" w:sz="8" w:color="auto"/>
              <w:bottom w:val="single" w:sz="8" w:color="D9D9D9"/>
            </w:tcBorders>
          </w:tcPr>
          <w:p>
            <w:pPr>
              <w:spacing w:after="0"/>
              <w:rPr>
                <w:sz w:val="20"/>
                <w:szCs w:val="20"/>
                <w:color w:val="auto"/>
              </w:rPr>
            </w:pPr>
          </w:p>
        </w:tc>
        <w:tc>
          <w:tcPr>
            <w:tcW w:w="160" w:type="dxa"/>
            <w:vAlign w:val="bottom"/>
            <w:tcBorders>
              <w:top w:val="single" w:sz="8" w:color="auto"/>
              <w:bottom w:val="single" w:sz="8" w:color="D9D9D9"/>
            </w:tcBorders>
          </w:tcPr>
          <w:p>
            <w:pPr>
              <w:spacing w:after="0"/>
              <w:rPr>
                <w:sz w:val="20"/>
                <w:szCs w:val="20"/>
                <w:color w:val="auto"/>
              </w:rPr>
            </w:pPr>
          </w:p>
        </w:tc>
        <w:tc>
          <w:tcPr>
            <w:tcW w:w="20" w:type="dxa"/>
            <w:vAlign w:val="bottom"/>
            <w:tcBorders>
              <w:top w:val="single" w:sz="8" w:color="auto"/>
              <w:bottom w:val="single" w:sz="8" w:color="D9D9D9"/>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r>
      <w:tr>
        <w:trPr>
          <w:trHeight w:val="230"/>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30"/>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provided by (used</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in) operating activities: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200" w:type="dxa"/>
            <w:vAlign w:val="bottom"/>
            <w:shd w:val="clear" w:color="auto" w:fill="D9D9D9"/>
          </w:tcPr>
          <w:p>
            <w:pPr>
              <w:spacing w:after="0"/>
              <w:rPr>
                <w:sz w:val="19"/>
                <w:szCs w:val="19"/>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Non-cash interest</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(gain) on sale of fixed assets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200" w:type="dxa"/>
            <w:vAlign w:val="bottom"/>
            <w:shd w:val="clear" w:color="auto" w:fill="D9D9D9"/>
          </w:tcPr>
          <w:p>
            <w:pPr>
              <w:spacing w:after="0"/>
              <w:rPr>
                <w:sz w:val="19"/>
                <w:szCs w:val="19"/>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2,892</w:t>
            </w: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4,117</w:t>
            </w: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reserve on accounts receivable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Provision for excess and obsolete inventory</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3,669</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29"/>
        </w:trPr>
        <w:tc>
          <w:tcPr>
            <w:tcW w:w="20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divestiture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400" w:type="dxa"/>
            <w:vAlign w:val="bottom"/>
            <w:gridSpan w:val="2"/>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 accounts receivable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Inventories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(1,999)</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(2,494)</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29"/>
        </w:trPr>
        <w:tc>
          <w:tcPr>
            <w:tcW w:w="20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and other assets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(3,117)</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40"/>
        </w:trPr>
        <w:tc>
          <w:tcPr>
            <w:tcW w:w="200" w:type="dxa"/>
            <w:vAlign w:val="bottom"/>
            <w:tcBorders>
              <w:bottom w:val="single" w:sz="8" w:color="D9D9D9"/>
            </w:tcBorders>
          </w:tcPr>
          <w:p>
            <w:pPr>
              <w:spacing w:after="0"/>
              <w:rPr>
                <w:sz w:val="20"/>
                <w:szCs w:val="20"/>
                <w:color w:val="auto"/>
              </w:rPr>
            </w:pPr>
          </w:p>
        </w:tc>
        <w:tc>
          <w:tcPr>
            <w:tcW w:w="5780" w:type="dxa"/>
            <w:vAlign w:val="bottom"/>
            <w:tcBorders>
              <w:bottom w:val="single" w:sz="8" w:color="D9D9D9"/>
            </w:tcBorders>
            <w:gridSpan w:val="2"/>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8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4,198</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(2,915)</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r>
      <w:tr>
        <w:trPr>
          <w:trHeight w:val="239"/>
        </w:trPr>
        <w:tc>
          <w:tcPr>
            <w:tcW w:w="20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55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1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12,546</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(11,896)</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230"/>
        </w:trPr>
        <w:tc>
          <w:tcPr>
            <w:tcW w:w="598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29"/>
        </w:trPr>
        <w:tc>
          <w:tcPr>
            <w:tcW w:w="20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Proceeds from sale of fixed assets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40"/>
        </w:trPr>
        <w:tc>
          <w:tcPr>
            <w:tcW w:w="200" w:type="dxa"/>
            <w:vAlign w:val="bottom"/>
            <w:tcBorders>
              <w:bottom w:val="single" w:sz="8" w:color="D9D9D9"/>
            </w:tcBorders>
          </w:tcPr>
          <w:p>
            <w:pPr>
              <w:spacing w:after="0"/>
              <w:rPr>
                <w:sz w:val="20"/>
                <w:szCs w:val="20"/>
                <w:color w:val="auto"/>
              </w:rPr>
            </w:pPr>
          </w:p>
        </w:tc>
        <w:tc>
          <w:tcPr>
            <w:tcW w:w="5780" w:type="dxa"/>
            <w:vAlign w:val="bottom"/>
            <w:tcBorders>
              <w:bottom w:val="single" w:sz="8" w:color="D9D9D9"/>
            </w:tcBorders>
            <w:gridSpan w:val="2"/>
          </w:tcPr>
          <w:p>
            <w:pPr>
              <w:spacing w:after="0"/>
              <w:rPr>
                <w:sz w:val="20"/>
                <w:szCs w:val="20"/>
                <w:color w:val="auto"/>
              </w:rPr>
            </w:pPr>
            <w:r>
              <w:rPr>
                <w:rFonts w:ascii="Times New Roman" w:cs="Times New Roman" w:eastAsia="Times New Roman" w:hAnsi="Times New Roman"/>
                <w:sz w:val="20"/>
                <w:szCs w:val="20"/>
                <w:color w:val="auto"/>
              </w:rPr>
              <w:t>Proceeds from divestiture</w:t>
            </w:r>
          </w:p>
        </w:tc>
        <w:tc>
          <w:tcPr>
            <w:tcW w:w="18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10,049</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r>
      <w:tr>
        <w:trPr>
          <w:trHeight w:val="239"/>
        </w:trPr>
        <w:tc>
          <w:tcPr>
            <w:tcW w:w="20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55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1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7,899</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(3,730)</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230"/>
        </w:trPr>
        <w:tc>
          <w:tcPr>
            <w:tcW w:w="598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Borrowings on line of credit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Repayments on line of credit</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(101,329)</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(105,142)</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29"/>
        </w:trPr>
        <w:tc>
          <w:tcPr>
            <w:tcW w:w="20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Payments on long-term debt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Payments on financing leases</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Proceeds from private placement, net of issuance costs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200" w:type="dxa"/>
            <w:vAlign w:val="bottom"/>
            <w:shd w:val="clear" w:color="auto" w:fill="D9D9D9"/>
          </w:tcPr>
          <w:p>
            <w:pPr>
              <w:spacing w:after="0"/>
              <w:rPr>
                <w:sz w:val="19"/>
                <w:szCs w:val="19"/>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Proceeds from issuance of long-term debt</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 w:type="dxa"/>
            <w:vAlign w:val="bottom"/>
            <w:shd w:val="clear" w:color="auto" w:fill="D9D9D9"/>
          </w:tcPr>
          <w:p>
            <w:pPr>
              <w:spacing w:after="0"/>
              <w:rPr>
                <w:sz w:val="20"/>
                <w:szCs w:val="20"/>
                <w:color w:val="auto"/>
              </w:rPr>
            </w:pPr>
          </w:p>
        </w:tc>
        <w:tc>
          <w:tcPr>
            <w:tcW w:w="57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Payment of taxes from withholding of common stock upon vesting and</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39"/>
        </w:trPr>
        <w:tc>
          <w:tcPr>
            <w:tcW w:w="200" w:type="dxa"/>
            <w:vAlign w:val="bottom"/>
            <w:tcBorders>
              <w:bottom w:val="single" w:sz="8" w:color="D9D9D9"/>
            </w:tcBorders>
            <w:shd w:val="clear" w:color="auto" w:fill="D9D9D9"/>
          </w:tcPr>
          <w:p>
            <w:pPr>
              <w:spacing w:after="0"/>
              <w:rPr>
                <w:sz w:val="20"/>
                <w:szCs w:val="20"/>
                <w:color w:val="auto"/>
              </w:rPr>
            </w:pPr>
          </w:p>
        </w:tc>
        <w:tc>
          <w:tcPr>
            <w:tcW w:w="5780" w:type="dxa"/>
            <w:vAlign w:val="bottom"/>
            <w:tcBorders>
              <w:bottom w:val="single" w:sz="8" w:color="D9D9D9"/>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settlement of restricted stock units</w:t>
            </w:r>
          </w:p>
        </w:tc>
        <w:tc>
          <w:tcPr>
            <w:tcW w:w="1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D9D9D9"/>
            </w:tcBorders>
            <w:shd w:val="clear" w:color="auto" w:fill="D9D9D9"/>
          </w:tcPr>
          <w:p>
            <w:pPr>
              <w:spacing w:after="0"/>
              <w:rPr>
                <w:sz w:val="20"/>
                <w:szCs w:val="20"/>
                <w:color w:val="auto"/>
              </w:rPr>
            </w:pPr>
          </w:p>
        </w:tc>
        <w:tc>
          <w:tcPr>
            <w:tcW w:w="11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D9D9D9"/>
            </w:tcBorders>
            <w:shd w:val="clear" w:color="auto" w:fill="D9D9D9"/>
          </w:tcPr>
          <w:p>
            <w:pPr>
              <w:spacing w:after="0"/>
              <w:rPr>
                <w:sz w:val="20"/>
                <w:szCs w:val="20"/>
                <w:color w:val="auto"/>
              </w:rPr>
            </w:pPr>
          </w:p>
        </w:tc>
        <w:tc>
          <w:tcPr>
            <w:tcW w:w="108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240"/>
        </w:trPr>
        <w:tc>
          <w:tcPr>
            <w:tcW w:w="200" w:type="dxa"/>
            <w:vAlign w:val="bottom"/>
            <w:tcBorders>
              <w:bottom w:val="single" w:sz="8" w:color="D9D9D9"/>
            </w:tcBorders>
          </w:tcPr>
          <w:p>
            <w:pPr>
              <w:spacing w:after="0"/>
              <w:rPr>
                <w:sz w:val="20"/>
                <w:szCs w:val="20"/>
                <w:color w:val="auto"/>
              </w:rPr>
            </w:pPr>
          </w:p>
        </w:tc>
        <w:tc>
          <w:tcPr>
            <w:tcW w:w="5780" w:type="dxa"/>
            <w:vAlign w:val="bottom"/>
            <w:tcBorders>
              <w:bottom w:val="single" w:sz="8" w:color="D9D9D9"/>
            </w:tcBorders>
            <w:gridSpan w:val="2"/>
          </w:tcPr>
          <w:p>
            <w:pPr>
              <w:spacing w:after="0"/>
              <w:rPr>
                <w:sz w:val="20"/>
                <w:szCs w:val="20"/>
                <w:color w:val="auto"/>
              </w:rPr>
            </w:pPr>
            <w:r>
              <w:rPr>
                <w:rFonts w:ascii="Times New Roman" w:cs="Times New Roman" w:eastAsia="Times New Roman" w:hAnsi="Times New Roman"/>
                <w:sz w:val="20"/>
                <w:szCs w:val="20"/>
                <w:color w:val="auto"/>
              </w:rPr>
              <w:t>Proceeds from exercise of stock-based compensation</w:t>
            </w:r>
          </w:p>
        </w:tc>
        <w:tc>
          <w:tcPr>
            <w:tcW w:w="18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r>
      <w:tr>
        <w:trPr>
          <w:trHeight w:val="240"/>
        </w:trPr>
        <w:tc>
          <w:tcPr>
            <w:tcW w:w="200" w:type="dxa"/>
            <w:vAlign w:val="bottom"/>
            <w:tcBorders>
              <w:bottom w:val="single" w:sz="8" w:color="D9D9D9"/>
            </w:tcBorders>
            <w:shd w:val="clear" w:color="auto" w:fill="D9D9D9"/>
          </w:tcPr>
          <w:p>
            <w:pPr>
              <w:spacing w:after="0"/>
              <w:rPr>
                <w:sz w:val="20"/>
                <w:szCs w:val="20"/>
                <w:color w:val="auto"/>
              </w:rPr>
            </w:pPr>
          </w:p>
        </w:tc>
        <w:tc>
          <w:tcPr>
            <w:tcW w:w="5780" w:type="dxa"/>
            <w:vAlign w:val="bottom"/>
            <w:tcBorders>
              <w:bottom w:val="single" w:sz="8" w:color="D9D9D9"/>
            </w:tcBorders>
            <w:gridSpan w:val="2"/>
            <w:shd w:val="clear" w:color="auto" w:fill="D9D9D9"/>
          </w:tcPr>
          <w:p>
            <w:pPr>
              <w:ind w:left="160"/>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1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(9,570)</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16,073</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229"/>
        </w:trPr>
        <w:tc>
          <w:tcPr>
            <w:tcW w:w="598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 and</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40"/>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29"/>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change in cash and cash equivalents and restricted cash</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0"/>
        </w:trPr>
        <w:tc>
          <w:tcPr>
            <w:tcW w:w="5980" w:type="dxa"/>
            <w:vAlign w:val="bottom"/>
            <w:tcBorders>
              <w:bottom w:val="single" w:sz="8" w:color="D9D9D9"/>
            </w:tcBorders>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Cash and cash equivalents and restricted cash at beginning of year</w:t>
            </w:r>
          </w:p>
        </w:tc>
        <w:tc>
          <w:tcPr>
            <w:tcW w:w="1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6,221</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5,923</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275"/>
        </w:trPr>
        <w:tc>
          <w:tcPr>
            <w:tcW w:w="5980" w:type="dxa"/>
            <w:vAlign w:val="bottom"/>
            <w:tcBorders>
              <w:bottom w:val="single" w:sz="8" w:color="D9D9D9"/>
            </w:tcBorders>
            <w:gridSpan w:val="3"/>
          </w:tcPr>
          <w:p>
            <w:pPr>
              <w:spacing w:after="0"/>
              <w:rPr>
                <w:sz w:val="20"/>
                <w:szCs w:val="20"/>
                <w:color w:val="auto"/>
              </w:rPr>
            </w:pPr>
            <w:r>
              <w:rPr>
                <w:rFonts w:ascii="Times New Roman" w:cs="Times New Roman" w:eastAsia="Times New Roman" w:hAnsi="Times New Roman"/>
                <w:sz w:val="20"/>
                <w:szCs w:val="20"/>
                <w:color w:val="auto"/>
              </w:rPr>
              <w:t>Cash and cash equivalents and restricted cash at end of year</w:t>
            </w:r>
          </w:p>
        </w:tc>
        <w:tc>
          <w:tcPr>
            <w:tcW w:w="180" w:type="dxa"/>
            <w:vAlign w:val="bottom"/>
            <w:tcBorders>
              <w:bottom w:val="single" w:sz="8" w:color="D9D9D9"/>
            </w:tcBorders>
          </w:tcPr>
          <w:p>
            <w:pPr>
              <w:spacing w:after="0"/>
              <w:rPr>
                <w:sz w:val="23"/>
                <w:szCs w:val="23"/>
                <w:color w:val="auto"/>
              </w:rPr>
            </w:pPr>
          </w:p>
        </w:tc>
        <w:tc>
          <w:tcPr>
            <w:tcW w:w="20" w:type="dxa"/>
            <w:vAlign w:val="bottom"/>
            <w:tcBorders>
              <w:bottom w:val="single" w:sz="8" w:color="D9D9D9"/>
            </w:tcBorders>
          </w:tcPr>
          <w:p>
            <w:pPr>
              <w:spacing w:after="0"/>
              <w:rPr>
                <w:sz w:val="23"/>
                <w:szCs w:val="23"/>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17,328</w:t>
            </w:r>
          </w:p>
        </w:tc>
        <w:tc>
          <w:tcPr>
            <w:tcW w:w="20" w:type="dxa"/>
            <w:vAlign w:val="bottom"/>
            <w:tcBorders>
              <w:bottom w:val="single" w:sz="8" w:color="D9D9D9"/>
            </w:tcBorders>
          </w:tcPr>
          <w:p>
            <w:pPr>
              <w:spacing w:after="0"/>
              <w:rPr>
                <w:sz w:val="23"/>
                <w:szCs w:val="23"/>
                <w:color w:val="auto"/>
              </w:rPr>
            </w:pPr>
          </w:p>
        </w:tc>
        <w:tc>
          <w:tcPr>
            <w:tcW w:w="80" w:type="dxa"/>
            <w:vAlign w:val="bottom"/>
            <w:tcBorders>
              <w:bottom w:val="single" w:sz="8" w:color="D9D9D9"/>
            </w:tcBorders>
          </w:tcPr>
          <w:p>
            <w:pPr>
              <w:spacing w:after="0"/>
              <w:rPr>
                <w:sz w:val="23"/>
                <w:szCs w:val="23"/>
                <w:color w:val="auto"/>
              </w:rPr>
            </w:pPr>
          </w:p>
        </w:tc>
        <w:tc>
          <w:tcPr>
            <w:tcW w:w="160" w:type="dxa"/>
            <w:vAlign w:val="bottom"/>
            <w:tcBorders>
              <w:bottom w:val="single" w:sz="8" w:color="D9D9D9"/>
            </w:tcBorders>
          </w:tcPr>
          <w:p>
            <w:pPr>
              <w:spacing w:after="0"/>
              <w:rPr>
                <w:sz w:val="23"/>
                <w:szCs w:val="23"/>
                <w:color w:val="auto"/>
              </w:rPr>
            </w:pPr>
          </w:p>
        </w:tc>
        <w:tc>
          <w:tcPr>
            <w:tcW w:w="20" w:type="dxa"/>
            <w:vAlign w:val="bottom"/>
            <w:tcBorders>
              <w:bottom w:val="single" w:sz="8" w:color="D9D9D9"/>
            </w:tcBorders>
          </w:tcPr>
          <w:p>
            <w:pPr>
              <w:spacing w:after="0"/>
              <w:rPr>
                <w:sz w:val="23"/>
                <w:szCs w:val="23"/>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6,221</w:t>
            </w:r>
          </w:p>
        </w:tc>
        <w:tc>
          <w:tcPr>
            <w:tcW w:w="20" w:type="dxa"/>
            <w:vAlign w:val="bottom"/>
            <w:tcBorders>
              <w:bottom w:val="single" w:sz="8" w:color="D9D9D9"/>
            </w:tcBorders>
          </w:tcPr>
          <w:p>
            <w:pPr>
              <w:spacing w:after="0"/>
              <w:rPr>
                <w:sz w:val="23"/>
                <w:szCs w:val="23"/>
                <w:color w:val="auto"/>
              </w:rPr>
            </w:pPr>
          </w:p>
        </w:tc>
        <w:tc>
          <w:tcPr>
            <w:tcW w:w="80" w:type="dxa"/>
            <w:vAlign w:val="bottom"/>
            <w:tcBorders>
              <w:bottom w:val="single" w:sz="8" w:color="D9D9D9"/>
            </w:tcBorders>
          </w:tcPr>
          <w:p>
            <w:pPr>
              <w:spacing w:after="0"/>
              <w:rPr>
                <w:sz w:val="23"/>
                <w:szCs w:val="23"/>
                <w:color w:val="auto"/>
              </w:rPr>
            </w:pPr>
          </w:p>
        </w:tc>
      </w:tr>
      <w:tr>
        <w:trPr>
          <w:trHeight w:val="215"/>
        </w:trPr>
        <w:tc>
          <w:tcPr>
            <w:tcW w:w="5980" w:type="dxa"/>
            <w:vAlign w:val="bottom"/>
            <w:gridSpan w:val="3"/>
            <w:shd w:val="clear" w:color="auto" w:fill="D9D9D9"/>
          </w:tcPr>
          <w:p>
            <w:pPr>
              <w:spacing w:after="0" w:line="215" w:lineRule="exact"/>
              <w:rPr>
                <w:sz w:val="20"/>
                <w:szCs w:val="20"/>
                <w:color w:val="auto"/>
              </w:rPr>
            </w:pPr>
            <w:r>
              <w:rPr>
                <w:rFonts w:ascii="Times New Roman" w:cs="Times New Roman" w:eastAsia="Times New Roman" w:hAnsi="Times New Roman"/>
                <w:sz w:val="20"/>
                <w:szCs w:val="20"/>
                <w:color w:val="auto"/>
              </w:rPr>
              <w:t>Reconciliation of cash and cash equivalents and restricted cash reported in</w:t>
            </w:r>
          </w:p>
        </w:tc>
        <w:tc>
          <w:tcPr>
            <w:tcW w:w="18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108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r>
      <w:tr>
        <w:trPr>
          <w:trHeight w:val="229"/>
        </w:trPr>
        <w:tc>
          <w:tcPr>
            <w:tcW w:w="598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the consolidated balance sheets</w:t>
            </w:r>
          </w:p>
        </w:tc>
        <w:tc>
          <w:tcPr>
            <w:tcW w:w="1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30"/>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5980" w:type="dxa"/>
            <w:vAlign w:val="bottom"/>
            <w:tcBorders>
              <w:bottom w:val="single" w:sz="8" w:color="D9D9D9"/>
            </w:tcBorders>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Borders>
              <w:bottom w:val="single" w:sz="8" w:color="D9D9D9"/>
            </w:tcBorders>
            <w:gridSpan w:val="2"/>
            <w:shd w:val="clear" w:color="auto" w:fill="D9D9D9"/>
          </w:tcPr>
          <w:p>
            <w:pPr>
              <w:spacing w:after="0"/>
              <w:rPr>
                <w:sz w:val="20"/>
                <w:szCs w:val="20"/>
                <w:color w:val="auto"/>
              </w:rPr>
            </w:pPr>
          </w:p>
        </w:tc>
      </w:tr>
      <w:tr>
        <w:trPr>
          <w:trHeight w:val="210"/>
        </w:trPr>
        <w:tc>
          <w:tcPr>
            <w:tcW w:w="598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Total cash and cash equivalents and restricted cash reported in the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17,328</w:t>
            </w:r>
          </w:p>
        </w:tc>
        <w:tc>
          <w:tcPr>
            <w:tcW w:w="80" w:type="dxa"/>
            <w:vAlign w:val="bottom"/>
          </w:tcPr>
          <w:p>
            <w:pPr>
              <w:spacing w:after="0"/>
              <w:rPr>
                <w:sz w:val="22"/>
                <w:szCs w:val="22"/>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6,221</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4813935</wp:posOffset>
                </wp:positionH>
                <wp:positionV relativeFrom="paragraph">
                  <wp:posOffset>-6096000</wp:posOffset>
                </wp:positionV>
                <wp:extent cx="1069975" cy="14668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975" cy="146685"/>
                        </a:xfrm>
                        <a:prstGeom prst="rect">
                          <a:avLst/>
                        </a:prstGeom>
                        <a:solidFill>
                          <a:srgbClr val="D9D9D9"/>
                        </a:solidFill>
                      </wps:spPr>
                      <wps:bodyPr/>
                    </wps:wsp>
                  </a:graphicData>
                </a:graphic>
              </wp:anchor>
            </w:drawing>
          </mc:Choice>
          <mc:Fallback>
            <w:pict>
              <v:rect id="Shape 42" o:spid="_x0000_s1067" style="position:absolute;margin-left:379.05pt;margin-top:-480pt;width:84.2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9360"/>
          </w:cols>
          <w:pgMar w:left="1440" w:top="984" w:right="1440" w:bottom="175"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84" w:right="1440" w:bottom="175"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0" w:lineRule="exact"/>
        <w:rPr>
          <w:sz w:val="20"/>
          <w:szCs w:val="20"/>
          <w:color w:val="auto"/>
        </w:rPr>
      </w:pPr>
    </w:p>
    <w:p>
      <w:pPr>
        <w:ind w:right="3120"/>
        <w:spacing w:after="0" w:line="492" w:lineRule="auto"/>
        <w:tabs>
          <w:tab w:leader="none" w:pos="28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Description and Summary of Significant Accounting Policies Business Description</w:t>
      </w:r>
    </w:p>
    <w:p>
      <w:pPr>
        <w:spacing w:after="0" w:line="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Xtant Medical Holdings, Inc., a Delaware corporation, and its wholly owned subsidiaries, which are jointly referred to herein as “Xtant” or the “Company”. The terms “we,” “us” and “our” also refer to Xtant.</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intercompany balances and transactions have been eliminated in consolidation.</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Xtant products serve the combined specialized needs of orthopedic and neurological surgeons, including orthobiologics for the promotion of bone healing, implants and instrumentation for the treatment of spinal disease, tissue grafts for the treatment of orthopedic disorders to promote healing following spine, cranial and foot surgeries and the development, manufacturing and sale of medical devices for use in orthopedic spinal surgeries.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43"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The preparation of the financial statements requires management of the Company to make a number of estimates and assumptions relating to the reported amount of assets and liabilities and the disclosure of contingent assets and liabilities at the date of the financial statements and the reported amounts of revenue and expenses during the period. Significant estimates include the carrying amount of property and equipment; goodwill, intangible assets and liabilities; allowance for credit losses for trade receivables; valuation allowances for inventory, deferred income tax assets and liabilities; current and long-term lease obligations and corresponding right-of-use asset; and estimates for the fair value of long-term debt, stock options and other equity awards upon which the Company determines stock-based compensation expense.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an original maturity date of three months or less to be cash equivalents. Cash equivalents are recorded at cost, which approximates market value. The Company maintains its cash balances primarily with two financial institutions. These balances generally exceed federally insured limits. The Company has not experienced any losses in such accounts and believes it is not exposed to any significant credit risk in cash and cash equivalents.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Cash and cash equivalents classified as restricted cash on the Company’s consolidated balance sheets are restricted as to withdrawal or use under the terms of certain contractual agreements. The December 31, 2025 balance included lockbox deposits that are temporarily restricted due to timing at the period end. The lockbox deposits are applied against the Company’s line of credit the next business day.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 Accounts Receivable and Allowances</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Accounts receivable represents amounts due from customers for which revenue has been recognized. Normal terms on trade accounts receivable are net 30 days, and some customers are offered discounts for early pay. The Company performs credit evaluations when considered necessary, but generally does not require collateral to extend credit. The Company applies the practical expedient for contacts with payment terms of one year or less which does not consider the effect of the time value of money.</w:t>
      </w:r>
    </w:p>
    <w:p>
      <w:pPr>
        <w:spacing w:after="0" w:line="19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The allowance for credit losses is the Company’s best estimate of the amount of probable credit losses in the Company’s existing receivables. The Company determines the allowance based on factors such as historical collection experience, customers’ current creditworthiness, customer concentration, age of accounts receivable balance, general economic conditions that may affect a customer’s ability to pay, and management judgment. In addition, we include provision for current expected credit loss based on historical collection experience adjusted for current economic conditions affecting collectability and reasonable and supportable forecast concerning the future. Actual customer</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16" w:right="1440" w:bottom="175" w:gutter="0" w:footer="0" w:header="0"/>
          <w:type w:val="continuous"/>
        </w:sectPr>
      </w:pPr>
    </w:p>
    <w:bookmarkStart w:id="76" w:name="page77"/>
    <w:bookmarkEnd w:id="76"/>
    <w:p>
      <w:pPr>
        <w:jc w:val="both"/>
        <w:spacing w:after="0" w:line="247" w:lineRule="auto"/>
        <w:rPr>
          <w:sz w:val="20"/>
          <w:szCs w:val="20"/>
          <w:color w:val="auto"/>
        </w:rPr>
      </w:pPr>
      <w:r>
        <w:rPr>
          <w:rFonts w:ascii="Times New Roman" w:cs="Times New Roman" w:eastAsia="Times New Roman" w:hAnsi="Times New Roman"/>
          <w:sz w:val="20"/>
          <w:szCs w:val="20"/>
          <w:color w:val="auto"/>
        </w:rPr>
        <w:t>collections could differ from estimates. Account balances are charged to the allowance after all means of collection have been exhausted and the potential for recovery is considered remote. Provisions to the allowance for credit losses are charged to expense. The Company does not have any off-balance sheet credit exposure related to its customers. As of December 31, 2025, 2024, and 2023 trade accounts receivable were $20.0 million, $22.1 million, and $21.7 million, respectively, and are presented net of an allowance for credit losses of $2.2 million, $1.4 million, and $0.9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Cost is determined using the specific identification method in the case of biologics and weighted average cost in the case of hardware and includes materials, labor and overhead. The Company calculates an inventory reserve for estimated obsolescence and excess inventory based on historical usage and sales, as well as assumptions about future demand for its products. These estimates for excess and obsolete inventory are reviewed and updated on a quarterly basis. Increases in the inventory reserves result in a corresponding expense, which is recorded to cost of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24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is computed using the straight-line method over the estimated useful lives of the assets, generally three to seven years for computers and equipment and five years for surgical instruments. Leasehold improvements are depreciated over the shorter of their estimated useful life or the remaining term of the lease. Repairs and maintenance are expensed as incurred.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Intangible assets with estimable useful lives are amortized over their respective estimated useful lives to their estimated residual values and reviewed for impairment whenever events or circumstances indicate their carrying amount may not be recoverable. Intangible assets include tradenames, customer relationships and patents. Intangible assets are carried at cost less accumulated amortization. The Company amortizes these assets on a straight-line basis over their estimated useful lives.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Assets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Other assets consist of inventory receivable and the short-term and the long-term portion of prepaid expenses and security deposits.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Long-Lived Asset Impairment</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Long-lived assets, including property and equipment and intangible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Goodwill represents the excess of costs over fair value of assets of businesses acquired. Goodwill and intangible assets acquired in a business combination and determined to have indefinite useful lives are not amortized; instead, they are tested for impairment at least annually and whenever events or circumstances indicate the carrying amount of the asset may not be recoverable. The Company conducts its impairment test on an annual basis and reviews the assumptions on a quarterly basis. We test goodwill for impairment at the reporting unit level, which is an operating segment or one level below an operating segment, referred to as a component. A component of an operating segment is a reporting unit if the component constitutes a business for which discrete financial information is available and segment management regularly reviews the operating results of that component.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20" w:right="1440" w:bottom="175"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4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The Company accounts for stock-based compensation in accordance with Financial Accounting Standards Board, or FASB, Accounting Standards Codification (“ASC”) 718, Compensation-Stock Compensation. ASC 718 requires the recognition of compensation expense, using a fair-value based method, for costs related to all share-based payments including stock options, restricted stock units, performance stock units, and shares issued under its employee stock purchase plan. ASC 718 requires companies to estimate the fair value of all share-based payment option awards on the date of grant using an option pricing model. The fair value of stock options is recognized over the period during which an optionee is required to provide services in exchange for the option award, known as the requisite service period (usually the vesting period), on a straight-line basis. The Company accounts for option forfeitures as they occur.</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accounts for stock-based compensation for restricted stock units and deferred stock units at their fair value, based on the closing market price of the Company’s common stock on the date of grant. These costs are recognized on a straight-line basis over the requisite service period, which is usually the vesting period.</w:t>
      </w:r>
    </w:p>
    <w:p>
      <w:pPr>
        <w:spacing w:after="0" w:line="18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accounts for stock-based compensation for performance stock units with market-based conditions at their fair value on the date of the award using the Monte Carlo simulation model. These costs are recognized over the requisite service period, which is usually the vesting period, regardless of the likelihood of achievement of the market-based performance criteria.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24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Company generates revenues outside the United States in multiple foreign currencies including euros, Swiss francs, British pounds and in U.S. dollar -denominated transactions conducted with customers who generate revenue in currencies other than the U.S. dollar. The Company also incurs operating expenses in euros, Swiss francs and British pounds. All assets and liabilities of foreign subsidiaries which have a functional currency other than the U.S. dollar are translated at the rate of exchange at period-end, while elements of the income statement are translated at the average exchange rates in effect during the period. The net effect of these translation adjustments is shown as a component of accumulated other comprehensive income. Foreign currency transaction gains and losses are reported in other income, net.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the United States, the Company generates a substantial portion of its revenue from independent commissioned sales agents. The Company consigns its orthobiologics products to hospitals and consigns or loans its spinal implant sets to independent sales agents. The spinal implant sets typically contain the instruments, disposables, and spinal implants required to complete a surgery. Consigned sets are managed by the sales agent to service hospitals that are high volume users for multiple procedures. The Company ships replacement inventory to independent sales agents to replace the consigned inventory used in surgeries. Loaned sets are returned to the Company’s distribution center, replenished, and made available to sales agents for the next surgical procedure.</w:t>
      </w:r>
    </w:p>
    <w:p>
      <w:pPr>
        <w:spacing w:after="0" w:line="19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For each surgical procedure, the sales agent reports use of the product by the hospital and, as soon as practicable thereafter, ensures that the hospital provides a purchase order to the Company. Revenue is recognized at a point in time upon utilization of the product.</w:t>
      </w:r>
    </w:p>
    <w:p>
      <w:pPr>
        <w:spacing w:after="0" w:line="18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Additionally, the Company sells product directly to domestic and international stocking resellers, original equipment manufacturer resellers and private label resellers. Upon receipt and acceptance of a purchase order from a stocking reseller, the Company ships product and invoices the reseller. The Company recognizes revenue when the control is transferred upon shipment or upon delivery, based on the contract terms and legal requirements, and the transfer of title and risk of loss occurs. There is generally no customer acceptance or other condition that prevents the Company from recognizing revenue in accordance with the delivery terms for these sales transactions. In the normal course of business, the Company accepts returns of product that have not been implanted. Product returns are not material to the Company’s consolidated statements of operations. The Company accounts for shipping and handling activities as a fulfillment cost rather than a separate performance obligation. The Company’s policy is to record revenue net of any applicable sales, use, or excise taxes. Payment terms are generally net 30 days from invoice date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16" w:right="1440" w:bottom="175" w:gutter="0" w:footer="0" w:header="0"/>
          <w:type w:val="continuous"/>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20"/>
          <w:szCs w:val="20"/>
          <w:color w:val="auto"/>
        </w:rPr>
        <w:t>and some customers are offered discounts for early payment. The consideration for goods or services reflects any fixed amount stated per the contract and estimates for any variable consideration, such as returns, discounts or rebates, to the extent that it is probable that a significant reversal of cumulative revenue recognized will not occur when the uncertainty associated with the variable consideration is resolved. For certain sales transactions, we incur group purchasing organization fees that are based on a contractual percentage of applicable sales and are treated as consideration payable to a customer and recorded as a reduction of revenue.</w:t>
      </w:r>
    </w:p>
    <w:p>
      <w:pPr>
        <w:spacing w:after="0" w:line="200"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The Company recognizes revenue in certain circumstances before product delivery occurs (commonly referred to as bill- 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At December 31, 2025, $0.4 million was included in revenue for products that had not shipped. Occasionally the Company will receive consideration in advance of transferring products to its customers and records a contract liability. During the year ended December 31, 2025, the Company received a $1.5 million upfront payment from a customer, which was recorded as a contract liability within accrued liabilities on the consolidated balance sheet. The contract liability was recognized as revenue as control of the underlying goods transferred to the customer. As of December 31, 2025, the full $1.5 million had been recognized as revenue, and no related contract liability remained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revenue</w:t>
      </w:r>
    </w:p>
    <w:p>
      <w:pPr>
        <w:spacing w:after="0" w:line="23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License revenue is recognized when control of the intellectual property (“IP”) rights is transferred to a customer in an amount that reflects the consideration the Company expects to be entitled to in exchange for the licensing of the Company’s IP. Revenue for IP rights is accounted for based on the nature of the promise to grant the license. In determining whether the Company’s promise is to provide a right to access its IP or a right to use its IP, the Company considers the nature of its IP to which the customer will have rights. IP is either functional IP which has significant standalone functionality or symbolic IP which does not have significant standalone functionality. Revenue from functional IP is recognized at the point in time when control of the distinct license is transferred to the customer. Revenue from symbolic IP is recognized over the access period to the Company’s IP.</w:t>
      </w:r>
    </w:p>
    <w:p>
      <w:pPr>
        <w:spacing w:after="0" w:line="20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Revenues from sales-based royalties promised in exchange for a license of IP is recognized at the later of when the underlying sale occurs, or the performance obligation to which some or all of the sales based royalty has been allocated is satisfied.</w:t>
      </w:r>
    </w:p>
    <w:p>
      <w:pPr>
        <w:spacing w:after="0" w:line="18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The Company has a license agreement which grants an exclusive, nontransferable, non-sublicensable, royalty bearing right to manufacture and commercialize one of our products in the United States. The Company concluded that this agreement represented one performance obligation of transferring the IP rights to manufacture and commercialize the product. This was determined to be functional IP. The transaction price included an upfront non-refundable fee of $1.5 million as well as quarterly royalty payments based on the volume of product sold subject to guaranteed quarterly minimums, which aggregated to $3.75 million during 2025. Due to anticipated policy changes by CMS that would affect guaranteed quarterly minimums per the agreement, revenue associated with these quarterly minimums past the fourth quarter of 2025 were considered constrained and, therefore, not recognized when the performance obligation was satisfied as it was not probable as of December 31, 2025 that there would not be a significant reversal of cumulative revenue. Such CMS policy changes went into effect on January 1, 2026.</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17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23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operates in one reportable segment with its net revenue derived primarily from the sale of orthobiologics and spinal implant products across North America, Europe, Asia Pacific, and Latin America. Sales are reported net of returns, discounts and rebates. The following table presents revenues from these product lines for the years ended December 31, 2025 and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D9D9D9"/>
            </w:tcBorders>
          </w:tcPr>
          <w:p>
            <w:pPr>
              <w:spacing w:after="0"/>
              <w:rPr>
                <w:sz w:val="20"/>
                <w:szCs w:val="20"/>
                <w:color w:val="auto"/>
              </w:rPr>
            </w:pPr>
          </w:p>
        </w:tc>
        <w:tc>
          <w:tcPr>
            <w:tcW w:w="18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20" w:type="dxa"/>
            <w:vAlign w:val="bottom"/>
            <w:tcBorders>
              <w:bottom w:val="single" w:sz="8" w:color="D9D9D9"/>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D9D9D9"/>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D9D9D9"/>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Orthobiologics</w:t>
            </w:r>
          </w:p>
        </w:tc>
        <w:tc>
          <w:tcPr>
            <w:tcW w:w="180" w:type="dxa"/>
            <w:vAlign w:val="bottom"/>
            <w:tcBorders>
              <w:right w:val="single" w:sz="8" w:color="D9D9D9"/>
            </w:tcBorders>
            <w:shd w:val="clear" w:color="auto" w:fill="D9D9D9"/>
          </w:tcPr>
          <w:p>
            <w:pPr>
              <w:spacing w:after="0"/>
              <w:rPr>
                <w:sz w:val="19"/>
                <w:szCs w:val="19"/>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72,892</w:t>
            </w:r>
          </w:p>
        </w:tc>
        <w:tc>
          <w:tcPr>
            <w:tcW w:w="20" w:type="dxa"/>
            <w:vAlign w:val="bottom"/>
          </w:tcPr>
          <w:p>
            <w:pPr>
              <w:spacing w:after="0"/>
              <w:rPr>
                <w:sz w:val="19"/>
                <w:szCs w:val="19"/>
                <w:color w:val="auto"/>
              </w:rPr>
            </w:pPr>
          </w:p>
        </w:tc>
        <w:tc>
          <w:tcPr>
            <w:tcW w:w="220" w:type="dxa"/>
            <w:vAlign w:val="bottom"/>
            <w:tcBorders>
              <w:left w:val="single" w:sz="8" w:color="D9D9D9"/>
              <w:right w:val="single" w:sz="8" w:color="D9D9D9"/>
            </w:tcBorders>
            <w:shd w:val="clear" w:color="auto" w:fill="D9D9D9"/>
          </w:tcPr>
          <w:p>
            <w:pPr>
              <w:spacing w:after="0"/>
              <w:rPr>
                <w:sz w:val="19"/>
                <w:szCs w:val="19"/>
                <w:color w:val="auto"/>
              </w:rPr>
            </w:pPr>
          </w:p>
        </w:tc>
        <w:tc>
          <w:tcPr>
            <w:tcW w:w="134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19"/>
                <w:szCs w:val="19"/>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66,419</w:t>
            </w:r>
          </w:p>
        </w:tc>
        <w:tc>
          <w:tcPr>
            <w:tcW w:w="240" w:type="dxa"/>
            <w:vAlign w:val="bottom"/>
            <w:tcBorders>
              <w:right w:val="single" w:sz="8" w:color="D9D9D9"/>
            </w:tcBorders>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26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6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Spinal implant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42,312</w:t>
            </w:r>
          </w:p>
        </w:tc>
        <w:tc>
          <w:tcPr>
            <w:tcW w:w="20" w:type="dxa"/>
            <w:vAlign w:val="bottom"/>
          </w:tcPr>
          <w:p>
            <w:pPr>
              <w:spacing w:after="0"/>
              <w:rPr>
                <w:sz w:val="22"/>
                <w:szCs w:val="22"/>
                <w:color w:val="auto"/>
              </w:rPr>
            </w:pP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49,346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30"/>
        </w:trPr>
        <w:tc>
          <w:tcPr>
            <w:tcW w:w="3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License revenue</w:t>
            </w:r>
          </w:p>
        </w:tc>
        <w:tc>
          <w:tcPr>
            <w:tcW w:w="18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18,723</w:t>
            </w:r>
          </w:p>
        </w:tc>
        <w:tc>
          <w:tcPr>
            <w:tcW w:w="20" w:type="dxa"/>
            <w:vAlign w:val="bottom"/>
          </w:tcPr>
          <w:p>
            <w:pPr>
              <w:spacing w:after="0"/>
              <w:rPr>
                <w:sz w:val="20"/>
                <w:szCs w:val="20"/>
                <w:color w:val="auto"/>
              </w:rPr>
            </w:pPr>
          </w:p>
        </w:tc>
        <w:tc>
          <w:tcPr>
            <w:tcW w:w="220" w:type="dxa"/>
            <w:vAlign w:val="bottom"/>
            <w:tcBorders>
              <w:left w:val="single" w:sz="8" w:color="D9D9D9"/>
              <w:right w:val="single" w:sz="8" w:color="D9D9D9"/>
            </w:tcBorders>
            <w:shd w:val="clear" w:color="auto" w:fill="D9D9D9"/>
          </w:tcPr>
          <w:p>
            <w:pPr>
              <w:spacing w:after="0"/>
              <w:rPr>
                <w:sz w:val="20"/>
                <w:szCs w:val="20"/>
                <w:color w:val="auto"/>
              </w:rPr>
            </w:pPr>
          </w:p>
        </w:tc>
        <w:tc>
          <w:tcPr>
            <w:tcW w:w="134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Borders>
              <w:right w:val="single" w:sz="8" w:color="D9D9D9"/>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240" w:type="dxa"/>
            <w:vAlign w:val="bottom"/>
            <w:tcBorders>
              <w:right w:val="single" w:sz="8" w:color="D9D9D9"/>
            </w:tcBorders>
            <w:shd w:val="clear" w:color="auto" w:fill="D9D9D9"/>
          </w:tcPr>
          <w:p>
            <w:pPr>
              <w:spacing w:after="0"/>
              <w:rPr>
                <w:sz w:val="20"/>
                <w:szCs w:val="20"/>
                <w:color w:val="auto"/>
              </w:rPr>
            </w:pPr>
          </w:p>
        </w:tc>
        <w:tc>
          <w:tcPr>
            <w:tcW w:w="134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
        </w:trPr>
        <w:tc>
          <w:tcPr>
            <w:tcW w:w="3340" w:type="dxa"/>
            <w:vAlign w:val="bottom"/>
            <w:shd w:val="clear" w:color="auto" w:fill="D9D9D9"/>
          </w:tcPr>
          <w:p>
            <w:pPr>
              <w:spacing w:after="0"/>
              <w:rPr>
                <w:sz w:val="2"/>
                <w:szCs w:val="2"/>
                <w:color w:val="auto"/>
              </w:rPr>
            </w:pPr>
          </w:p>
        </w:tc>
        <w:tc>
          <w:tcPr>
            <w:tcW w:w="18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left w:val="single" w:sz="8" w:color="D9D9D9"/>
              <w:right w:val="single" w:sz="8" w:color="D9D9D9"/>
            </w:tcBorders>
            <w:shd w:val="clear" w:color="auto" w:fill="D9D9D9"/>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D9D9D9"/>
            </w:tcBorders>
            <w:shd w:val="clear" w:color="auto" w:fill="D9D9D9"/>
          </w:tcPr>
          <w:p>
            <w:pPr>
              <w:spacing w:after="0"/>
              <w:rPr>
                <w:sz w:val="2"/>
                <w:szCs w:val="2"/>
                <w:color w:val="auto"/>
              </w:rPr>
            </w:pPr>
          </w:p>
        </w:tc>
        <w:tc>
          <w:tcPr>
            <w:tcW w:w="11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133,927</w:t>
            </w: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117,267</w:t>
            </w: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30"/>
        </w:trPr>
        <w:tc>
          <w:tcPr>
            <w:tcW w:w="33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3034665</wp:posOffset>
                </wp:positionH>
                <wp:positionV relativeFrom="paragraph">
                  <wp:posOffset>-640715</wp:posOffset>
                </wp:positionV>
                <wp:extent cx="2802890" cy="14541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2890" cy="145415"/>
                        </a:xfrm>
                        <a:prstGeom prst="rect">
                          <a:avLst/>
                        </a:prstGeom>
                        <a:solidFill>
                          <a:srgbClr val="D9D9D9"/>
                        </a:solidFill>
                      </wps:spPr>
                      <wps:bodyPr/>
                    </wps:wsp>
                  </a:graphicData>
                </a:graphic>
              </wp:anchor>
            </w:drawing>
          </mc:Choice>
          <mc:Fallback>
            <w:pict>
              <v:rect id="Shape 43" o:spid="_x0000_s1068" style="position:absolute;margin-left:238.95pt;margin-top:-50.4499pt;width:220.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5140325</wp:posOffset>
                </wp:positionH>
                <wp:positionV relativeFrom="paragraph">
                  <wp:posOffset>-640715</wp:posOffset>
                </wp:positionV>
                <wp:extent cx="697230" cy="14541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30" cy="145415"/>
                        </a:xfrm>
                        <a:prstGeom prst="rect">
                          <a:avLst/>
                        </a:prstGeom>
                        <a:solidFill>
                          <a:srgbClr val="D9D9D9"/>
                        </a:solidFill>
                      </wps:spPr>
                      <wps:bodyPr/>
                    </wps:wsp>
                  </a:graphicData>
                </a:graphic>
              </wp:anchor>
            </w:drawing>
          </mc:Choice>
          <mc:Fallback>
            <w:pict>
              <v:rect id="Shape 44" o:spid="_x0000_s1069" style="position:absolute;margin-left:404.75pt;margin-top:-50.4499pt;width:54.9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3928110</wp:posOffset>
                </wp:positionH>
                <wp:positionV relativeFrom="paragraph">
                  <wp:posOffset>-329565</wp:posOffset>
                </wp:positionV>
                <wp:extent cx="210185" cy="1651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185" cy="165100"/>
                        </a:xfrm>
                        <a:prstGeom prst="rect">
                          <a:avLst/>
                        </a:prstGeom>
                        <a:solidFill>
                          <a:srgbClr val="D9D9D9"/>
                        </a:solidFill>
                      </wps:spPr>
                      <wps:bodyPr/>
                    </wps:wsp>
                  </a:graphicData>
                </a:graphic>
              </wp:anchor>
            </w:drawing>
          </mc:Choice>
          <mc:Fallback>
            <w:pict>
              <v:rect id="Shape 45" o:spid="_x0000_s1070" style="position:absolute;margin-left:309.3pt;margin-top:-25.9499pt;width:16.55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Research and development costs, which are principally related to internal costs for the development of new products, are expensed as incurred.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(Loss) Per Share</w:t>
      </w:r>
    </w:p>
    <w:p>
      <w:pPr>
        <w:spacing w:after="0" w:line="24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Basic net income (loss) per share is computed by dividing net income (loss) by the weighted average number of shares of common stock outstanding. Shares issued during the period and shares reacquired during the period are weighted for the portion of the period that they were outstanding. Diluted net income (loss)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243"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The carrying values of financial instruments, including trade accounts receivable, note receivable, accounts payable, accrued liabilities and long-term debt, approximate their fair values based on terms and related interest rates.</w:t>
      </w:r>
    </w:p>
    <w:p>
      <w:pPr>
        <w:spacing w:after="0" w:line="14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follows a framework for measuring fair value. The framework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are described below:</w:t>
      </w:r>
    </w:p>
    <w:p>
      <w:pPr>
        <w:spacing w:after="0" w:line="19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Level 1: Inputs to the valuation methodology are unadjusted quoted prices for identical assets or liabilities in active markets.</w:t>
      </w:r>
    </w:p>
    <w:p>
      <w:pPr>
        <w:spacing w:after="0" w:line="16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Level 2: 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Level 3: Inputs to the valuation methodology are unobservable and significant to the fair value measurement.</w:t>
      </w:r>
    </w:p>
    <w:p>
      <w:pPr>
        <w:spacing w:after="0" w:line="25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 financial instrument’s level within the fair value hierarchy is based on the lowest level of any input that is significant to the fair value measurement. During the years ended December 31, 2025 and 2024, there was no reclassification in financial assets or liabilities between Level 1, 2 or 3 categories.</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22" w:right="1440" w:bottom="175"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In November 2024, the Financial Accounting Standards Board issued ASU 2024-03, </w:t>
      </w:r>
      <w:r>
        <w:rPr>
          <w:rFonts w:ascii="Times New Roman" w:cs="Times New Roman" w:eastAsia="Times New Roman" w:hAnsi="Times New Roman"/>
          <w:sz w:val="20"/>
          <w:szCs w:val="20"/>
          <w:i w:val="1"/>
          <w:iCs w:val="1"/>
          <w:color w:val="auto"/>
        </w:rPr>
        <w:t>Income Statement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Reporting Comprehensive Income - Expense Disaggregation Disclosures (Subtopic 220-40)</w:t>
      </w:r>
      <w:r>
        <w:rPr>
          <w:rFonts w:ascii="Times New Roman" w:cs="Times New Roman" w:eastAsia="Times New Roman" w:hAnsi="Times New Roman"/>
          <w:sz w:val="20"/>
          <w:szCs w:val="20"/>
          <w:color w:val="auto"/>
        </w:rPr>
        <w:t>. This ASU requires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Adoption of New Accounting Standard</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On December 31, 2025, the Company adopted the Financial Accounting Standards Board issued ASU No. 2023-09, Income Taxes (Topic 740): </w:t>
      </w:r>
      <w:r>
        <w:rPr>
          <w:rFonts w:ascii="Times New Roman" w:cs="Times New Roman" w:eastAsia="Times New Roman" w:hAnsi="Times New Roman"/>
          <w:sz w:val="20"/>
          <w:szCs w:val="20"/>
          <w:i w:val="1"/>
          <w:iCs w:val="1"/>
          <w:color w:val="auto"/>
        </w:rPr>
        <w:t>Improvement to Income Tax Disclosures</w:t>
      </w:r>
      <w:r>
        <w:rPr>
          <w:rFonts w:ascii="Times New Roman" w:cs="Times New Roman" w:eastAsia="Times New Roman" w:hAnsi="Times New Roman"/>
          <w:sz w:val="20"/>
          <w:szCs w:val="20"/>
          <w:color w:val="auto"/>
        </w:rPr>
        <w:t xml:space="preserve"> to enhance the transparency of income tax disclosures. The guidance in ASU No. 2023-09 allows for a prospective method of transition, with the option to apply the standard retrospectively. The standard is effective for fiscal years beginning after December 15, 2024, with early adoption permitted. The Company adopted the ASU prospectively for the period ending December 31, 2025. It affects only our disclosures and does not impact our results of operations or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Sale of Coflex/CoFix Assets and International Hardware Business</w:t>
      </w:r>
    </w:p>
    <w:p>
      <w:pPr>
        <w:spacing w:after="0" w:line="24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On December 1, 2025, we completed the sale of certain assets relating to our Coflex and CoFix products (the “Coflex/CoFix Divestiture”) to Companion Spine, LLC and one of its affiliates, Companion Spine SAS (collectively, “Companion Spine”), pursuant to an Asset Purchase Agreement dated July 7, 2025 (the “Coflex/CoFix Agreement”). The total purchase price of the Coflex/CoFix Divestiture was $17.5 million (subject to a closing inventory valuation adjustment set forth in the Coflex/CoFix Agreement). Of the total purchase price, an aggregate of $7.5 million was previously paid to us in cash as non-refundable deposits during third and fourth quarters of 2025, $1.8 million was paid to us in cash at the closing, and $8.2 million was paid to us as an unsecured promissory note issued by Companion Spine to us the closing (the “Companion Spine Note”). Pursuant to subsequent amendments to the Coflex/CoFix Agreement, the maturity date of the Companion Spine Note was extended to January 31, 2026. The outstanding principal balance of the Companion Spine Note, together with the related accrued interest, totaling $8.5 million, was paid to us on February 27, 2026.</w:t>
      </w:r>
    </w:p>
    <w:p>
      <w:pPr>
        <w:spacing w:after="0" w:line="20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Also, on December 1, 2025, we completed the sale of all of our shares of equity securities of Paradigm Spine GmbH, one of our then wholly owned subsidiaries engaged in the operation of our hardware business outside of the United States (“Paradigm”), which constituted 100% of the issued and outstanding shares of equity securities of Paradigm (the “Paradigm Divestiture” and together with the Coflex/CoFix Divestiture, the “Divestitures”), to Companion Spine pursuant to an Equity Purchase Agreement dated July 7, 2025 between us, Paradigm and Companion Spine (the “Paradigm Agreement” and together with the Coflex/CoFix Agreement, the “Divestiture Agreements”). The total purchase price of the Paradigm Divestiture was $3.9 million, $1.7 million of which was paid to us in cash at the closing of the Paradigm Divestiture and $2.2 million of which was paid to us on February 27, 2026 in settlement of the net working capital and other purchase price adjustments.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aggregate purchase price associated with the two Divestitures was $21.4 million.</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determined that the Divestitures do not meet the criteria for classification as discontinued operations for accounting purposes. As a result, all historical operating results for the Coflex/CoFix assets and international hardware business are reflected within the consolidated statements of operations in the consolidated financial statements.</w:t>
      </w:r>
    </w:p>
    <w:p>
      <w:pPr>
        <w:spacing w:after="0" w:line="191"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The Company recognized a gain on sale of $3.3 million in connection with the Divestitures during the year ended December 31, 2025. The gain on sale included the divestiture of $0.4 million accumulated other comprehensive income from currency translation adjustment recorded through December 1, 2025. Goodwill of $1.2 million was allocated to the disposal group based on the relative fair values of the divested assets and liabilities and retained assets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16" w:right="1440" w:bottom="175" w:gutter="0" w:footer="0" w:header="0"/>
          <w:type w:val="continuous"/>
        </w:sectPr>
      </w:pPr>
    </w:p>
    <w:bookmarkStart w:id="81" w:name="page82"/>
    <w:bookmarkEnd w:id="81"/>
    <w:p>
      <w:pPr>
        <w:jc w:val="both"/>
        <w:spacing w:after="0" w:line="278" w:lineRule="auto"/>
        <w:rPr>
          <w:sz w:val="20"/>
          <w:szCs w:val="20"/>
          <w:color w:val="auto"/>
        </w:rPr>
      </w:pPr>
      <w:r>
        <w:rPr>
          <w:rFonts w:ascii="Times New Roman" w:cs="Times New Roman" w:eastAsia="Times New Roman" w:hAnsi="Times New Roman"/>
          <w:sz w:val="20"/>
          <w:szCs w:val="20"/>
          <w:color w:val="auto"/>
        </w:rPr>
        <w:t>and liabilities. The assets and liabilities of the disposal group at the December 1, 2025 date of sale and at December 31, 2024 were:</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1,</w:t>
            </w:r>
          </w:p>
        </w:tc>
        <w:tc>
          <w:tcPr>
            <w:tcW w:w="2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68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D9D9D9"/>
            </w:tcBorders>
          </w:tcPr>
          <w:p>
            <w:pPr>
              <w:spacing w:after="0"/>
              <w:rPr>
                <w:sz w:val="20"/>
                <w:szCs w:val="20"/>
                <w:color w:val="auto"/>
              </w:rPr>
            </w:pPr>
          </w:p>
        </w:tc>
      </w:tr>
      <w:tr>
        <w:trPr>
          <w:trHeight w:val="230"/>
        </w:trPr>
        <w:tc>
          <w:tcPr>
            <w:tcW w:w="58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ASSETS</w:t>
            </w:r>
          </w:p>
        </w:tc>
        <w:tc>
          <w:tcPr>
            <w:tcW w:w="240" w:type="dxa"/>
            <w:vAlign w:val="bottom"/>
            <w:shd w:val="clear" w:color="auto" w:fill="D9D9D9"/>
          </w:tcPr>
          <w:p>
            <w:pPr>
              <w:spacing w:after="0"/>
              <w:rPr>
                <w:sz w:val="20"/>
                <w:szCs w:val="20"/>
                <w:color w:val="auto"/>
              </w:rPr>
            </w:pPr>
          </w:p>
        </w:tc>
        <w:tc>
          <w:tcPr>
            <w:tcW w:w="126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 accounts receivable, net of allowances for credit losses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0"/>
                <w:szCs w:val="20"/>
                <w:color w:val="auto"/>
              </w:rPr>
            </w:pPr>
          </w:p>
        </w:tc>
      </w:tr>
      <w:tr>
        <w:trPr>
          <w:trHeight w:val="229"/>
        </w:trPr>
        <w:tc>
          <w:tcPr>
            <w:tcW w:w="56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Inventories</w:t>
            </w:r>
          </w:p>
        </w:tc>
        <w:tc>
          <w:tcPr>
            <w:tcW w:w="20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7,223</w:t>
            </w:r>
          </w:p>
        </w:tc>
        <w:tc>
          <w:tcPr>
            <w:tcW w:w="30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5,097</w:t>
            </w:r>
          </w:p>
        </w:tc>
        <w:tc>
          <w:tcPr>
            <w:tcW w:w="100" w:type="dxa"/>
            <w:vAlign w:val="bottom"/>
            <w:shd w:val="clear" w:color="auto" w:fill="D9D9D9"/>
          </w:tcPr>
          <w:p>
            <w:pPr>
              <w:spacing w:after="0"/>
              <w:rPr>
                <w:sz w:val="19"/>
                <w:szCs w:val="19"/>
                <w:color w:val="auto"/>
              </w:rPr>
            </w:pPr>
          </w:p>
        </w:tc>
      </w:tr>
      <w:tr>
        <w:trPr>
          <w:trHeight w:val="26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Prepaid and other current assets</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100" w:type="dxa"/>
            <w:vAlign w:val="bottom"/>
          </w:tcPr>
          <w:p>
            <w:pPr>
              <w:spacing w:after="0"/>
              <w:rPr>
                <w:sz w:val="22"/>
                <w:szCs w:val="22"/>
                <w:color w:val="auto"/>
              </w:rPr>
            </w:pPr>
          </w:p>
        </w:tc>
      </w:tr>
      <w:tr>
        <w:trPr>
          <w:trHeight w:val="230"/>
        </w:trPr>
        <w:tc>
          <w:tcPr>
            <w:tcW w:w="58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40" w:type="dxa"/>
            <w:vAlign w:val="bottom"/>
            <w:shd w:val="clear" w:color="auto" w:fill="D9D9D9"/>
          </w:tcPr>
          <w:p>
            <w:pPr>
              <w:spacing w:after="0"/>
              <w:rPr>
                <w:sz w:val="20"/>
                <w:szCs w:val="20"/>
                <w:color w:val="auto"/>
              </w:rPr>
            </w:pP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2,367</w:t>
            </w:r>
          </w:p>
        </w:tc>
        <w:tc>
          <w:tcPr>
            <w:tcW w:w="30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2,031</w:t>
            </w:r>
          </w:p>
        </w:tc>
        <w:tc>
          <w:tcPr>
            <w:tcW w:w="100" w:type="dxa"/>
            <w:vAlign w:val="bottom"/>
            <w:shd w:val="clear" w:color="auto" w:fill="D9D9D9"/>
          </w:tcPr>
          <w:p>
            <w:pPr>
              <w:spacing w:after="0"/>
              <w:rPr>
                <w:sz w:val="20"/>
                <w:szCs w:val="20"/>
                <w:color w:val="auto"/>
              </w:rPr>
            </w:pPr>
          </w:p>
        </w:tc>
      </w:tr>
      <w:tr>
        <w:trPr>
          <w:trHeight w:val="229"/>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Right of use asset, net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00" w:type="dxa"/>
            <w:vAlign w:val="bottom"/>
          </w:tcPr>
          <w:p>
            <w:pPr>
              <w:spacing w:after="0"/>
              <w:rPr>
                <w:sz w:val="19"/>
                <w:szCs w:val="19"/>
                <w:color w:val="auto"/>
              </w:rPr>
            </w:pPr>
          </w:p>
        </w:tc>
      </w:tr>
      <w:tr>
        <w:trPr>
          <w:trHeight w:val="230"/>
        </w:trPr>
        <w:tc>
          <w:tcPr>
            <w:tcW w:w="58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240" w:type="dxa"/>
            <w:vAlign w:val="bottom"/>
            <w:shd w:val="clear" w:color="auto" w:fill="D9D9D9"/>
          </w:tcPr>
          <w:p>
            <w:pPr>
              <w:spacing w:after="0"/>
              <w:rPr>
                <w:sz w:val="20"/>
                <w:szCs w:val="20"/>
                <w:color w:val="auto"/>
              </w:rPr>
            </w:pP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6,465</w:t>
            </w:r>
          </w:p>
        </w:tc>
        <w:tc>
          <w:tcPr>
            <w:tcW w:w="30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7,957</w:t>
            </w:r>
          </w:p>
        </w:tc>
        <w:tc>
          <w:tcPr>
            <w:tcW w:w="100" w:type="dxa"/>
            <w:vAlign w:val="bottom"/>
            <w:shd w:val="clear" w:color="auto" w:fill="D9D9D9"/>
          </w:tcPr>
          <w:p>
            <w:pPr>
              <w:spacing w:after="0"/>
              <w:rPr>
                <w:sz w:val="20"/>
                <w:szCs w:val="20"/>
                <w:color w:val="auto"/>
              </w:rPr>
            </w:pPr>
          </w:p>
        </w:tc>
      </w:tr>
      <w:tr>
        <w:trPr>
          <w:trHeight w:val="239"/>
        </w:trPr>
        <w:tc>
          <w:tcPr>
            <w:tcW w:w="5880" w:type="dxa"/>
            <w:vAlign w:val="bottom"/>
            <w:tcBorders>
              <w:bottom w:val="single" w:sz="8" w:color="D9D9D9"/>
            </w:tcBorders>
            <w:gridSpan w:val="2"/>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30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D9D9D9"/>
            </w:tcBorders>
          </w:tcPr>
          <w:p>
            <w:pPr>
              <w:spacing w:after="0"/>
              <w:rPr>
                <w:sz w:val="20"/>
                <w:szCs w:val="20"/>
                <w:color w:val="auto"/>
              </w:rPr>
            </w:pPr>
          </w:p>
        </w:tc>
      </w:tr>
      <w:tr>
        <w:trPr>
          <w:trHeight w:val="261"/>
        </w:trPr>
        <w:tc>
          <w:tcPr>
            <w:tcW w:w="5680" w:type="dxa"/>
            <w:vAlign w:val="bottom"/>
            <w:tcBorders>
              <w:bottom w:val="single" w:sz="8" w:color="D9D9D9"/>
            </w:tcBorders>
            <w:shd w:val="clear" w:color="auto" w:fill="D9D9D9"/>
          </w:tcPr>
          <w:p>
            <w:pPr>
              <w:spacing w:after="0" w:line="228" w:lineRule="exact"/>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tcBorders>
              <w:bottom w:val="single" w:sz="8" w:color="D9D9D9"/>
            </w:tcBorders>
            <w:shd w:val="clear" w:color="auto" w:fill="D9D9D9"/>
          </w:tcPr>
          <w:p>
            <w:pPr>
              <w:spacing w:after="0"/>
              <w:rPr>
                <w:sz w:val="22"/>
                <w:szCs w:val="22"/>
                <w:color w:val="auto"/>
              </w:rPr>
            </w:pPr>
          </w:p>
        </w:tc>
        <w:tc>
          <w:tcPr>
            <w:tcW w:w="24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19,224</w:t>
            </w:r>
          </w:p>
        </w:tc>
        <w:tc>
          <w:tcPr>
            <w:tcW w:w="300" w:type="dxa"/>
            <w:vAlign w:val="bottom"/>
            <w:tcBorders>
              <w:bottom w:val="single" w:sz="8" w:color="D9D9D9"/>
            </w:tcBorders>
            <w:shd w:val="clear" w:color="auto" w:fill="D9D9D9"/>
          </w:tcPr>
          <w:p>
            <w:pPr>
              <w:spacing w:after="0"/>
              <w:rPr>
                <w:sz w:val="22"/>
                <w:szCs w:val="22"/>
                <w:color w:val="auto"/>
              </w:rPr>
            </w:pPr>
          </w:p>
        </w:tc>
        <w:tc>
          <w:tcPr>
            <w:tcW w:w="20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9D9D9"/>
          </w:tcPr>
          <w:p>
            <w:pPr>
              <w:jc w:val="right"/>
              <w:spacing w:after="0" w:line="228" w:lineRule="exact"/>
              <w:rPr>
                <w:sz w:val="20"/>
                <w:szCs w:val="20"/>
                <w:color w:val="auto"/>
              </w:rPr>
            </w:pPr>
            <w:r>
              <w:rPr>
                <w:rFonts w:ascii="Times New Roman" w:cs="Times New Roman" w:eastAsia="Times New Roman" w:hAnsi="Times New Roman"/>
                <w:sz w:val="20"/>
                <w:szCs w:val="20"/>
                <w:color w:val="auto"/>
              </w:rPr>
              <w:t>18,120</w:t>
            </w:r>
          </w:p>
        </w:tc>
        <w:tc>
          <w:tcPr>
            <w:tcW w:w="100" w:type="dxa"/>
            <w:vAlign w:val="bottom"/>
            <w:tcBorders>
              <w:bottom w:val="single" w:sz="8" w:color="D9D9D9"/>
            </w:tcBorders>
            <w:shd w:val="clear" w:color="auto" w:fill="D9D9D9"/>
          </w:tcPr>
          <w:p>
            <w:pPr>
              <w:spacing w:after="0"/>
              <w:rPr>
                <w:sz w:val="22"/>
                <w:szCs w:val="22"/>
                <w:color w:val="auto"/>
              </w:rPr>
            </w:pPr>
          </w:p>
        </w:tc>
      </w:tr>
      <w:tr>
        <w:trPr>
          <w:trHeight w:val="229"/>
        </w:trPr>
        <w:tc>
          <w:tcPr>
            <w:tcW w:w="5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40" w:type="dxa"/>
            <w:vAlign w:val="bottom"/>
            <w:shd w:val="clear" w:color="auto" w:fill="D9D9D9"/>
          </w:tcPr>
          <w:p>
            <w:pPr>
              <w:spacing w:after="0"/>
              <w:rPr>
                <w:sz w:val="20"/>
                <w:szCs w:val="20"/>
                <w:color w:val="auto"/>
              </w:rPr>
            </w:pPr>
          </w:p>
        </w:tc>
        <w:tc>
          <w:tcPr>
            <w:tcW w:w="126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1,289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3,851</w:t>
            </w:r>
          </w:p>
        </w:tc>
      </w:tr>
      <w:tr>
        <w:trPr>
          <w:trHeight w:val="229"/>
        </w:trPr>
        <w:tc>
          <w:tcPr>
            <w:tcW w:w="58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240" w:type="dxa"/>
            <w:vAlign w:val="bottom"/>
            <w:shd w:val="clear" w:color="auto" w:fill="D9D9D9"/>
          </w:tcPr>
          <w:p>
            <w:pPr>
              <w:spacing w:after="0"/>
              <w:rPr>
                <w:sz w:val="19"/>
                <w:szCs w:val="19"/>
                <w:color w:val="auto"/>
              </w:rPr>
            </w:pP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30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100" w:type="dxa"/>
            <w:vAlign w:val="bottom"/>
            <w:shd w:val="clear" w:color="auto" w:fill="D9D9D9"/>
          </w:tcPr>
          <w:p>
            <w:pPr>
              <w:spacing w:after="0"/>
              <w:rPr>
                <w:sz w:val="19"/>
                <w:szCs w:val="19"/>
                <w:color w:val="auto"/>
              </w:rPr>
            </w:pPr>
          </w:p>
        </w:tc>
      </w:tr>
      <w:tr>
        <w:trPr>
          <w:trHeight w:val="240"/>
        </w:trPr>
        <w:tc>
          <w:tcPr>
            <w:tcW w:w="5880" w:type="dxa"/>
            <w:vAlign w:val="bottom"/>
            <w:tcBorders>
              <w:bottom w:val="single" w:sz="8" w:color="D9D9D9"/>
            </w:tcBorders>
            <w:gridSpan w:val="2"/>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30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00" w:type="dxa"/>
            <w:vAlign w:val="bottom"/>
            <w:tcBorders>
              <w:bottom w:val="single" w:sz="8" w:color="D9D9D9"/>
            </w:tcBorders>
          </w:tcPr>
          <w:p>
            <w:pPr>
              <w:spacing w:after="0"/>
              <w:rPr>
                <w:sz w:val="20"/>
                <w:szCs w:val="20"/>
                <w:color w:val="auto"/>
              </w:rPr>
            </w:pPr>
          </w:p>
        </w:tc>
      </w:tr>
      <w:tr>
        <w:trPr>
          <w:trHeight w:val="230"/>
        </w:trPr>
        <w:tc>
          <w:tcPr>
            <w:tcW w:w="56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shd w:val="clear" w:color="auto" w:fill="D9D9D9"/>
          </w:tcPr>
          <w:p>
            <w:pPr>
              <w:spacing w:after="0"/>
              <w:rPr>
                <w:sz w:val="20"/>
                <w:szCs w:val="20"/>
                <w:color w:val="auto"/>
              </w:rPr>
            </w:pPr>
          </w:p>
        </w:tc>
        <w:tc>
          <w:tcPr>
            <w:tcW w:w="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300" w:type="dxa"/>
            <w:vAlign w:val="bottom"/>
            <w:shd w:val="clear" w:color="auto" w:fill="D9D9D9"/>
          </w:tcPr>
          <w:p>
            <w:pPr>
              <w:spacing w:after="0"/>
              <w:rPr>
                <w:sz w:val="20"/>
                <w:szCs w:val="20"/>
                <w:color w:val="auto"/>
              </w:rPr>
            </w:pPr>
          </w:p>
        </w:tc>
        <w:tc>
          <w:tcPr>
            <w:tcW w:w="2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00" w:type="dxa"/>
            <w:vAlign w:val="bottom"/>
            <w:shd w:val="clear" w:color="auto" w:fill="D9D9D9"/>
          </w:tcPr>
          <w:p>
            <w:pPr>
              <w:spacing w:after="0"/>
              <w:rPr>
                <w:sz w:val="20"/>
                <w:szCs w:val="20"/>
                <w:color w:val="auto"/>
              </w:rPr>
            </w:pPr>
          </w:p>
        </w:tc>
      </w:tr>
      <w:tr>
        <w:trPr>
          <w:trHeight w:val="30"/>
        </w:trPr>
        <w:tc>
          <w:tcPr>
            <w:tcW w:w="5680" w:type="dxa"/>
            <w:vAlign w:val="bottom"/>
            <w:shd w:val="clear" w:color="auto" w:fill="D9D9D9"/>
          </w:tcPr>
          <w:p>
            <w:pPr>
              <w:spacing w:after="0"/>
              <w:rPr>
                <w:sz w:val="2"/>
                <w:szCs w:val="2"/>
                <w:color w:val="auto"/>
              </w:rPr>
            </w:pPr>
          </w:p>
        </w:tc>
        <w:tc>
          <w:tcPr>
            <w:tcW w:w="200" w:type="dxa"/>
            <w:vAlign w:val="bottom"/>
            <w:shd w:val="clear" w:color="auto" w:fill="D9D9D9"/>
          </w:tcPr>
          <w:p>
            <w:pPr>
              <w:spacing w:after="0"/>
              <w:rPr>
                <w:sz w:val="2"/>
                <w:szCs w:val="2"/>
                <w:color w:val="auto"/>
              </w:rPr>
            </w:pPr>
          </w:p>
        </w:tc>
        <w:tc>
          <w:tcPr>
            <w:tcW w:w="240" w:type="dxa"/>
            <w:vAlign w:val="bottom"/>
            <w:shd w:val="clear" w:color="auto" w:fill="D9D9D9"/>
          </w:tcPr>
          <w:p>
            <w:pPr>
              <w:spacing w:after="0"/>
              <w:rPr>
                <w:sz w:val="2"/>
                <w:szCs w:val="2"/>
                <w:color w:val="auto"/>
              </w:rPr>
            </w:pPr>
          </w:p>
        </w:tc>
        <w:tc>
          <w:tcPr>
            <w:tcW w:w="1260" w:type="dxa"/>
            <w:vAlign w:val="bottom"/>
            <w:shd w:val="clear" w:color="auto" w:fill="D9D9D9"/>
          </w:tcPr>
          <w:p>
            <w:pPr>
              <w:spacing w:after="0"/>
              <w:rPr>
                <w:sz w:val="2"/>
                <w:szCs w:val="2"/>
                <w:color w:val="auto"/>
              </w:rPr>
            </w:pPr>
          </w:p>
        </w:tc>
        <w:tc>
          <w:tcPr>
            <w:tcW w:w="300" w:type="dxa"/>
            <w:vAlign w:val="bottom"/>
            <w:shd w:val="clear" w:color="auto" w:fill="D9D9D9"/>
          </w:tcPr>
          <w:p>
            <w:pPr>
              <w:spacing w:after="0"/>
              <w:rPr>
                <w:sz w:val="2"/>
                <w:szCs w:val="2"/>
                <w:color w:val="auto"/>
              </w:rPr>
            </w:pPr>
          </w:p>
        </w:tc>
        <w:tc>
          <w:tcPr>
            <w:tcW w:w="200" w:type="dxa"/>
            <w:vAlign w:val="bottom"/>
            <w:shd w:val="clear" w:color="auto" w:fill="D9D9D9"/>
          </w:tcPr>
          <w:p>
            <w:pPr>
              <w:spacing w:after="0"/>
              <w:rPr>
                <w:sz w:val="2"/>
                <w:szCs w:val="2"/>
                <w:color w:val="auto"/>
              </w:rPr>
            </w:pPr>
          </w:p>
        </w:tc>
        <w:tc>
          <w:tcPr>
            <w:tcW w:w="130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Trade Accounts Receivable, Net</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Trade accounts receivable is reduced by an estimated allowance for credit losses based on historical collection experience adjusted for current economic conditions affecting collectability and reasonable and supportable forecasts concerning the future. Actual customer collections could differ from estimates. Account balances are charged to the allowance after all means of collection have been exhausted and the potential for recovery is considered remote. Provisions to the allowance for credit losses are charged to expense. Activity within the allowance for credit losses consist of the following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r>
      <w:tr>
        <w:trPr>
          <w:trHeight w:val="237"/>
        </w:trPr>
        <w:tc>
          <w:tcPr>
            <w:tcW w:w="560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D9D9D9"/>
            </w:tcBorders>
          </w:tcPr>
          <w:p>
            <w:pPr>
              <w:spacing w:after="0"/>
              <w:rPr>
                <w:sz w:val="20"/>
                <w:szCs w:val="20"/>
                <w:color w:val="auto"/>
              </w:rPr>
            </w:pPr>
          </w:p>
        </w:tc>
        <w:tc>
          <w:tcPr>
            <w:tcW w:w="2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D9D9D9"/>
            </w:tcBorders>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5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Balance at January 1</w:t>
            </w:r>
          </w:p>
        </w:tc>
        <w:tc>
          <w:tcPr>
            <w:tcW w:w="300" w:type="dxa"/>
            <w:vAlign w:val="bottom"/>
            <w:gridSpan w:val="4"/>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1,437</w:t>
            </w:r>
          </w:p>
        </w:tc>
        <w:tc>
          <w:tcPr>
            <w:tcW w:w="260" w:type="dxa"/>
            <w:vAlign w:val="bottom"/>
            <w:shd w:val="clear" w:color="auto" w:fill="D9D9D9"/>
          </w:tcPr>
          <w:p>
            <w:pPr>
              <w:spacing w:after="0"/>
              <w:rPr>
                <w:sz w:val="20"/>
                <w:szCs w:val="20"/>
                <w:color w:val="auto"/>
              </w:rPr>
            </w:pPr>
          </w:p>
        </w:tc>
        <w:tc>
          <w:tcPr>
            <w:tcW w:w="140" w:type="dxa"/>
            <w:vAlign w:val="bottom"/>
            <w:gridSpan w:val="4"/>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right w:val="single" w:sz="8" w:color="D9D9D9"/>
            </w:tcBorders>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920</w:t>
            </w:r>
          </w:p>
        </w:tc>
        <w:tc>
          <w:tcPr>
            <w:tcW w:w="40" w:type="dxa"/>
            <w:vAlign w:val="bottom"/>
          </w:tcPr>
          <w:p>
            <w:pPr>
              <w:spacing w:after="0"/>
              <w:rPr>
                <w:sz w:val="20"/>
                <w:szCs w:val="20"/>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current expected credit 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1,229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823</w:t>
            </w:r>
          </w:p>
        </w:tc>
        <w:tc>
          <w:tcPr>
            <w:tcW w:w="40" w:type="dxa"/>
            <w:vAlign w:val="bottom"/>
          </w:tcPr>
          <w:p>
            <w:pPr>
              <w:spacing w:after="0"/>
              <w:rPr>
                <w:sz w:val="20"/>
                <w:szCs w:val="20"/>
                <w:color w:val="auto"/>
              </w:rPr>
            </w:pPr>
          </w:p>
        </w:tc>
      </w:tr>
      <w:tr>
        <w:trPr>
          <w:trHeight w:val="229"/>
        </w:trPr>
        <w:tc>
          <w:tcPr>
            <w:tcW w:w="5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Write-offs against allowance</w:t>
            </w: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760" w:type="dxa"/>
            <w:vAlign w:val="bottom"/>
            <w:gridSpan w:val="3"/>
            <w:shd w:val="clear" w:color="auto" w:fill="D9D9D9"/>
          </w:tcPr>
          <w:p>
            <w:pPr>
              <w:jc w:val="right"/>
              <w:ind w:right="220"/>
              <w:spacing w:after="0"/>
              <w:rPr>
                <w:sz w:val="20"/>
                <w:szCs w:val="20"/>
                <w:color w:val="auto"/>
              </w:rPr>
            </w:pPr>
            <w:r>
              <w:rPr>
                <w:rFonts w:ascii="Times New Roman" w:cs="Times New Roman" w:eastAsia="Times New Roman" w:hAnsi="Times New Roman"/>
                <w:sz w:val="20"/>
                <w:szCs w:val="20"/>
                <w:color w:val="auto"/>
              </w:rPr>
              <w:t>(218)</w:t>
            </w:r>
          </w:p>
        </w:tc>
        <w:tc>
          <w:tcPr>
            <w:tcW w:w="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520" w:type="dxa"/>
            <w:vAlign w:val="bottom"/>
            <w:tcBorders>
              <w:right w:val="single" w:sz="8" w:color="D9D9D9"/>
            </w:tcBorders>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40" w:type="dxa"/>
            <w:vAlign w:val="bottom"/>
          </w:tcPr>
          <w:p>
            <w:pPr>
              <w:spacing w:after="0"/>
              <w:rPr>
                <w:sz w:val="19"/>
                <w:szCs w:val="19"/>
                <w:color w:val="auto"/>
              </w:rPr>
            </w:pP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Divested allowance for credit 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r>
      <w:tr>
        <w:trPr>
          <w:trHeight w:val="273"/>
        </w:trPr>
        <w:tc>
          <w:tcPr>
            <w:tcW w:w="560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Balance at December 31</w:t>
            </w: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140" w:type="dxa"/>
            <w:vAlign w:val="bottom"/>
            <w:tcBorders>
              <w:top w:val="single" w:sz="8" w:color="auto"/>
              <w:bottom w:val="single" w:sz="8" w:color="auto"/>
            </w:tcBorders>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2,165</w:t>
            </w:r>
          </w:p>
        </w:tc>
        <w:tc>
          <w:tcPr>
            <w:tcW w:w="20" w:type="dxa"/>
            <w:vAlign w:val="bottom"/>
            <w:tcBorders>
              <w:top w:val="single" w:sz="8" w:color="D9D9D9"/>
              <w:bottom w:val="single" w:sz="8" w:color="D9D9D9"/>
            </w:tcBorders>
            <w:shd w:val="clear" w:color="auto" w:fill="D9D9D9"/>
          </w:tcPr>
          <w:p>
            <w:pPr>
              <w:spacing w:after="0"/>
              <w:rPr>
                <w:sz w:val="23"/>
                <w:szCs w:val="23"/>
                <w:color w:val="auto"/>
              </w:rPr>
            </w:pPr>
          </w:p>
        </w:tc>
        <w:tc>
          <w:tcPr>
            <w:tcW w:w="2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60" w:type="dxa"/>
            <w:vAlign w:val="bottom"/>
            <w:tcBorders>
              <w:top w:val="single" w:sz="8" w:color="D9D9D9"/>
              <w:bottom w:val="single" w:sz="8" w:color="D9D9D9"/>
              <w:right w:val="single" w:sz="8" w:color="D9D9D9"/>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r>
      <w:tr>
        <w:trPr>
          <w:trHeight w:val="478"/>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 Inventories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5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Inventories consist of the following (in thousands):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9"/>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r>
      <w:tr>
        <w:trPr>
          <w:trHeight w:val="237"/>
        </w:trPr>
        <w:tc>
          <w:tcPr>
            <w:tcW w:w="560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r>
      <w:tr>
        <w:trPr>
          <w:trHeight w:val="230"/>
        </w:trPr>
        <w:tc>
          <w:tcPr>
            <w:tcW w:w="5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180" w:type="dxa"/>
            <w:vAlign w:val="bottom"/>
            <w:gridSpan w:val="2"/>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gridSpan w:val="3"/>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5,689</w:t>
            </w:r>
          </w:p>
        </w:tc>
        <w:tc>
          <w:tcPr>
            <w:tcW w:w="140" w:type="dxa"/>
            <w:vAlign w:val="bottom"/>
            <w:gridSpan w:val="4"/>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right w:val="single" w:sz="8" w:color="D9D9D9"/>
            </w:tcBorders>
            <w:gridSpan w:val="2"/>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6,622</w:t>
            </w:r>
          </w:p>
        </w:tc>
        <w:tc>
          <w:tcPr>
            <w:tcW w:w="40" w:type="dxa"/>
            <w:vAlign w:val="bottom"/>
            <w:shd w:val="clear" w:color="auto" w:fill="D9D9D9"/>
          </w:tcPr>
          <w:p>
            <w:pPr>
              <w:spacing w:after="0"/>
              <w:rPr>
                <w:sz w:val="20"/>
                <w:szCs w:val="20"/>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Work in process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4,799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2,812</w:t>
            </w:r>
          </w:p>
        </w:tc>
        <w:tc>
          <w:tcPr>
            <w:tcW w:w="40" w:type="dxa"/>
            <w:vAlign w:val="bottom"/>
          </w:tcPr>
          <w:p>
            <w:pPr>
              <w:spacing w:after="0"/>
              <w:rPr>
                <w:sz w:val="20"/>
                <w:szCs w:val="20"/>
                <w:color w:val="auto"/>
              </w:rPr>
            </w:pPr>
          </w:p>
        </w:tc>
      </w:tr>
      <w:tr>
        <w:trPr>
          <w:trHeight w:val="239"/>
        </w:trPr>
        <w:tc>
          <w:tcPr>
            <w:tcW w:w="5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tcBorders>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19,775</w:t>
            </w:r>
          </w:p>
        </w:tc>
        <w:tc>
          <w:tcPr>
            <w:tcW w:w="2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0" w:type="dxa"/>
            <w:vAlign w:val="bottom"/>
            <w:tcBorders>
              <w:bottom w:val="single" w:sz="8" w:color="auto"/>
            </w:tcBorders>
            <w:shd w:val="clear" w:color="auto" w:fill="D9D9D9"/>
          </w:tcPr>
          <w:p>
            <w:pPr>
              <w:spacing w:after="0"/>
              <w:rPr>
                <w:sz w:val="20"/>
                <w:szCs w:val="20"/>
                <w:color w:val="auto"/>
              </w:rPr>
            </w:pPr>
          </w:p>
        </w:tc>
        <w:tc>
          <w:tcPr>
            <w:tcW w:w="20" w:type="dxa"/>
            <w:vAlign w:val="bottom"/>
            <w:tcBorders>
              <w:bottom w:val="single" w:sz="8" w:color="auto"/>
            </w:tcBorders>
            <w:shd w:val="clear" w:color="auto" w:fill="D9D9D9"/>
          </w:tcPr>
          <w:p>
            <w:pPr>
              <w:spacing w:after="0"/>
              <w:rPr>
                <w:sz w:val="20"/>
                <w:szCs w:val="20"/>
                <w:color w:val="auto"/>
              </w:rPr>
            </w:pPr>
          </w:p>
        </w:tc>
        <w:tc>
          <w:tcPr>
            <w:tcW w:w="80" w:type="dxa"/>
            <w:vAlign w:val="bottom"/>
            <w:tcBorders>
              <w:bottom w:val="single" w:sz="8" w:color="auto"/>
            </w:tcBorders>
            <w:shd w:val="clear" w:color="auto" w:fill="D9D9D9"/>
          </w:tcPr>
          <w:p>
            <w:pPr>
              <w:spacing w:after="0"/>
              <w:rPr>
                <w:sz w:val="20"/>
                <w:szCs w:val="20"/>
                <w:color w:val="auto"/>
              </w:rPr>
            </w:pPr>
          </w:p>
        </w:tc>
        <w:tc>
          <w:tcPr>
            <w:tcW w:w="1520" w:type="dxa"/>
            <w:vAlign w:val="bottom"/>
            <w:tcBorders>
              <w:bottom w:val="single" w:sz="8" w:color="auto"/>
              <w:right w:val="single" w:sz="8" w:color="D9D9D9"/>
            </w:tcBorders>
            <w:gridSpan w:val="2"/>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29,200</w:t>
            </w:r>
          </w:p>
        </w:tc>
        <w:tc>
          <w:tcPr>
            <w:tcW w:w="40" w:type="dxa"/>
            <w:vAlign w:val="bottom"/>
            <w:shd w:val="clear" w:color="auto" w:fill="D9D9D9"/>
          </w:tcPr>
          <w:p>
            <w:pPr>
              <w:spacing w:after="0"/>
              <w:rPr>
                <w:sz w:val="20"/>
                <w:szCs w:val="20"/>
                <w:color w:val="auto"/>
              </w:rPr>
            </w:pPr>
          </w:p>
        </w:tc>
      </w:tr>
      <w:tr>
        <w:trPr>
          <w:trHeight w:val="234"/>
        </w:trPr>
        <w:tc>
          <w:tcPr>
            <w:tcW w:w="56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30,263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38,634</w:t>
            </w:r>
          </w:p>
        </w:tc>
        <w:tc>
          <w:tcPr>
            <w:tcW w:w="4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5943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468pt,-1.2499pt" o:allowincell="f" strokecolor="#FFFFFF" strokeweight="2.52pt"/>
            </w:pict>
          </mc:Fallback>
        </mc:AlternateConten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20" w:right="1440" w:bottom="175"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(5) Property and Equipment, Net</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net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62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D9D9D9"/>
            </w:tcBorders>
          </w:tcPr>
          <w:p>
            <w:pPr>
              <w:spacing w:after="0"/>
              <w:rPr>
                <w:sz w:val="20"/>
                <w:szCs w:val="20"/>
                <w:color w:val="auto"/>
              </w:rPr>
            </w:pP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Equipment</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7,346</w:t>
            </w:r>
          </w:p>
        </w:tc>
        <w:tc>
          <w:tcPr>
            <w:tcW w:w="2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7,239</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1,252</w:t>
            </w:r>
          </w:p>
        </w:tc>
        <w:tc>
          <w:tcPr>
            <w:tcW w:w="20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1,254</w:t>
            </w:r>
          </w:p>
        </w:tc>
      </w:tr>
      <w:tr>
        <w:trPr>
          <w:trHeight w:val="229"/>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7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361</w:t>
            </w:r>
          </w:p>
        </w:tc>
        <w:tc>
          <w:tcPr>
            <w:tcW w:w="200" w:type="dxa"/>
            <w:vAlign w:val="bottom"/>
            <w:shd w:val="clear" w:color="auto" w:fill="D9D9D9"/>
          </w:tcPr>
          <w:p>
            <w:pPr>
              <w:spacing w:after="0"/>
              <w:rPr>
                <w:sz w:val="19"/>
                <w:szCs w:val="19"/>
                <w:color w:val="auto"/>
              </w:rPr>
            </w:pPr>
          </w:p>
        </w:tc>
        <w:tc>
          <w:tcPr>
            <w:tcW w:w="15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361</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4,483</w:t>
            </w:r>
          </w:p>
        </w:tc>
        <w:tc>
          <w:tcPr>
            <w:tcW w:w="20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4,356</w:t>
            </w: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Surgical instruments</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7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14,070</w:t>
            </w:r>
          </w:p>
        </w:tc>
        <w:tc>
          <w:tcPr>
            <w:tcW w:w="200" w:type="dxa"/>
            <w:vAlign w:val="bottom"/>
            <w:shd w:val="clear" w:color="auto" w:fill="D9D9D9"/>
          </w:tcPr>
          <w:p>
            <w:pPr>
              <w:spacing w:after="0"/>
              <w:rPr>
                <w:sz w:val="20"/>
                <w:szCs w:val="20"/>
                <w:color w:val="auto"/>
              </w:rPr>
            </w:pPr>
          </w:p>
        </w:tc>
        <w:tc>
          <w:tcPr>
            <w:tcW w:w="15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15,798</w:t>
            </w:r>
          </w:p>
        </w:tc>
      </w:tr>
      <w:tr>
        <w:trPr>
          <w:trHeight w:val="239"/>
        </w:trPr>
        <w:tc>
          <w:tcPr>
            <w:tcW w:w="562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20"/>
                <w:szCs w:val="20"/>
                <w:color w:val="auto"/>
              </w:rPr>
              <w:t>Assets not yet in service</w:t>
            </w: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w:t>
            </w:r>
          </w:p>
        </w:tc>
        <w:tc>
          <w:tcPr>
            <w:tcW w:w="26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80" w:type="dxa"/>
            <w:vAlign w:val="bottom"/>
            <w:tcBorders>
              <w:bottom w:val="single" w:sz="8" w:color="D9D9D9"/>
            </w:tcBorders>
          </w:tcPr>
          <w:p>
            <w:pPr>
              <w:spacing w:after="0"/>
              <w:rPr>
                <w:sz w:val="20"/>
                <w:szCs w:val="20"/>
                <w:color w:val="auto"/>
              </w:rPr>
            </w:pP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cost</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7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28,409</w:t>
            </w:r>
          </w:p>
        </w:tc>
        <w:tc>
          <w:tcPr>
            <w:tcW w:w="200" w:type="dxa"/>
            <w:vAlign w:val="bottom"/>
            <w:shd w:val="clear" w:color="auto" w:fill="D9D9D9"/>
          </w:tcPr>
          <w:p>
            <w:pPr>
              <w:spacing w:after="0"/>
              <w:rPr>
                <w:sz w:val="20"/>
                <w:szCs w:val="20"/>
                <w:color w:val="auto"/>
              </w:rPr>
            </w:pPr>
          </w:p>
        </w:tc>
        <w:tc>
          <w:tcPr>
            <w:tcW w:w="15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29,968</w:t>
            </w: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(22,207)</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(19,837)</w:t>
            </w:r>
          </w:p>
        </w:tc>
      </w:tr>
      <w:tr>
        <w:trPr>
          <w:trHeight w:val="274"/>
        </w:trPr>
        <w:tc>
          <w:tcPr>
            <w:tcW w:w="5620" w:type="dxa"/>
            <w:vAlign w:val="bottom"/>
            <w:tcBorders>
              <w:top w:val="single" w:sz="8" w:color="D9D9D9"/>
              <w:bottom w:val="single" w:sz="8" w:color="D9D9D9"/>
            </w:tcBorders>
            <w:shd w:val="clear" w:color="auto" w:fill="D9D9D9"/>
          </w:tcPr>
          <w:p>
            <w:pPr>
              <w:spacing w:after="0"/>
              <w:rPr>
                <w:sz w:val="23"/>
                <w:szCs w:val="23"/>
                <w:color w:val="auto"/>
              </w:rPr>
            </w:pP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6,202</w:t>
            </w:r>
          </w:p>
        </w:tc>
        <w:tc>
          <w:tcPr>
            <w:tcW w:w="260" w:type="dxa"/>
            <w:vAlign w:val="bottom"/>
            <w:tcBorders>
              <w:top w:val="single" w:sz="8" w:color="D9D9D9"/>
              <w:bottom w:val="single" w:sz="8" w:color="D9D9D9"/>
            </w:tcBorders>
            <w:shd w:val="clear" w:color="auto" w:fill="D9D9D9"/>
          </w:tcPr>
          <w:p>
            <w:pPr>
              <w:spacing w:after="0"/>
              <w:rPr>
                <w:sz w:val="23"/>
                <w:szCs w:val="23"/>
                <w:color w:val="auto"/>
              </w:rPr>
            </w:pPr>
          </w:p>
        </w:tc>
        <w:tc>
          <w:tcPr>
            <w:tcW w:w="2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10,131</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r>
    </w:tbl>
    <w:p>
      <w:pPr>
        <w:spacing w:after="0" w:line="210"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Depreciation expense related to property and equipment, including property under finance lease, for the years ended December 31, 2025 and 2024 was $3.6 million and $2.5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Goodwill and Intangible Assets</w:t>
      </w:r>
    </w:p>
    <w:p>
      <w:pPr>
        <w:spacing w:after="0" w:line="243"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The results of the Company’s annual goodwill impairment tests for the years ended December 31, 2025 and 2024 indicated that no goodwill impairment existed as of the test date.</w:t>
      </w:r>
    </w:p>
    <w:p>
      <w:pPr>
        <w:spacing w:after="0" w:line="167"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The change in the carrying amount of goodwill during the year ended December 31, 2025 included the following (in thousands):</w:t>
      </w:r>
    </w:p>
    <w:p>
      <w:pPr>
        <w:sectPr>
          <w:pgSz w:w="12240" w:h="15840" w:orient="portrait"/>
          <w:cols w:equalWidth="0" w:num="1">
            <w:col w:w="9380"/>
          </w:cols>
          <w:pgMar w:left="1440" w:top="1416" w:right="1420" w:bottom="175"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5042535" cy="14541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2535" cy="145415"/>
                        </a:xfrm>
                        <a:prstGeom prst="rect">
                          <a:avLst/>
                        </a:prstGeom>
                        <a:solidFill>
                          <a:srgbClr val="D9D9D9"/>
                        </a:solidFill>
                      </wps:spPr>
                      <wps:bodyPr/>
                    </wps:wsp>
                  </a:graphicData>
                </a:graphic>
              </wp:anchor>
            </w:drawing>
          </mc:Choice>
          <mc:Fallback>
            <w:pict>
              <v:rect id="Shape 47" o:spid="_x0000_s1072" style="position:absolute;margin-left:0pt;margin-top:-10.4999pt;width:397.0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Divestiture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49796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9670" cy="4763"/>
                        </a:xfrm>
                        <a:prstGeom prst="line">
                          <a:avLst/>
                        </a:prstGeom>
                        <a:solidFill>
                          <a:srgbClr val="FFFFFF"/>
                        </a:solidFill>
                        <a:ln w="19050">
                          <a:solidFill>
                            <a:srgbClr val="D9D9D9"/>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392.1pt,0.3pt" o:allowincell="f" strokecolor="#D9D9D9" strokeweight="1.5pt"/>
            </w:pict>
          </mc:Fallback>
        </mc:AlternateContent>
      </w: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-137160</wp:posOffset>
                </wp:positionV>
                <wp:extent cx="4979670" cy="1778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9670" cy="177800"/>
                        </a:xfrm>
                        <a:prstGeom prst="rect">
                          <a:avLst/>
                        </a:prstGeom>
                        <a:solidFill>
                          <a:srgbClr val="D9D9D9"/>
                        </a:solidFill>
                      </wps:spPr>
                      <wps:bodyPr/>
                    </wps:wsp>
                  </a:graphicData>
                </a:graphic>
              </wp:anchor>
            </w:drawing>
          </mc:Choice>
          <mc:Fallback>
            <w:pict>
              <v:rect id="Shape 49" o:spid="_x0000_s1074" style="position:absolute;margin-left:0pt;margin-top:-10.7999pt;width:392.1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59436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32003">
                          <a:solidFill>
                            <a:srgbClr val="D9D9D9"/>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468pt,1.9pt" o:allowincell="f" strokecolor="#D9D9D9" strokeweight="2.5199pt"/>
            </w:pict>
          </mc:Fallback>
        </mc:AlternateConten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spacing w:after="0"/>
        <w:tabs>
          <w:tab w:leader="none" w:pos="9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7,302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-133350</wp:posOffset>
                </wp:positionV>
                <wp:extent cx="901065" cy="14541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145415"/>
                        </a:xfrm>
                        <a:prstGeom prst="rect">
                          <a:avLst/>
                        </a:prstGeom>
                        <a:solidFill>
                          <a:srgbClr val="D9D9D9"/>
                        </a:solidFill>
                      </wps:spPr>
                      <wps:bodyPr/>
                    </wps:wsp>
                  </a:graphicData>
                </a:graphic>
              </wp:anchor>
            </w:drawing>
          </mc:Choice>
          <mc:Fallback>
            <w:pict>
              <v:rect id="Shape 51" o:spid="_x0000_s1076" style="position:absolute;margin-left:5.05pt;margin-top:-10.4999pt;width:70.9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(1,228)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3810</wp:posOffset>
                </wp:positionV>
                <wp:extent cx="88963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63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0.3pt" to="70.15pt,0.3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890905</wp:posOffset>
                </wp:positionH>
                <wp:positionV relativeFrom="paragraph">
                  <wp:posOffset>-5080</wp:posOffset>
                </wp:positionV>
                <wp:extent cx="74295" cy="1841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95" cy="18415"/>
                        </a:xfrm>
                        <a:prstGeom prst="rect">
                          <a:avLst/>
                        </a:prstGeom>
                        <a:solidFill>
                          <a:srgbClr val="D9D9D9"/>
                        </a:solidFill>
                      </wps:spPr>
                      <wps:bodyPr/>
                    </wps:wsp>
                  </a:graphicData>
                </a:graphic>
              </wp:anchor>
            </w:drawing>
          </mc:Choice>
          <mc:Fallback>
            <w:pict>
              <v:rect id="Shape 53" o:spid="_x0000_s1078" style="position:absolute;margin-left:70.15pt;margin-top:-0.3999pt;width:5.85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960"/>
        <w:spacing w:after="0"/>
        <w:rPr>
          <w:sz w:val="20"/>
          <w:szCs w:val="20"/>
          <w:color w:val="auto"/>
        </w:rPr>
      </w:pPr>
      <w:r>
        <w:rPr>
          <w:rFonts w:ascii="Times New Roman" w:cs="Times New Roman" w:eastAsia="Times New Roman" w:hAnsi="Times New Roman"/>
          <w:sz w:val="20"/>
          <w:szCs w:val="20"/>
          <w:color w:val="auto"/>
        </w:rPr>
        <w:t>6,074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-137160</wp:posOffset>
                </wp:positionV>
                <wp:extent cx="826770" cy="14541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145415"/>
                        </a:xfrm>
                        <a:prstGeom prst="rect">
                          <a:avLst/>
                        </a:prstGeom>
                        <a:solidFill>
                          <a:srgbClr val="D9D9D9"/>
                        </a:solidFill>
                      </wps:spPr>
                      <wps:bodyPr/>
                    </wps:wsp>
                  </a:graphicData>
                </a:graphic>
              </wp:anchor>
            </w:drawing>
          </mc:Choice>
          <mc:Fallback>
            <w:pict>
              <v:rect id="Shape 54" o:spid="_x0000_s1079" style="position:absolute;margin-left:5.05pt;margin-top:-10.7999pt;width:65.1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35560</wp:posOffset>
                </wp:positionV>
                <wp:extent cx="8985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85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999pt,2.8pt" to="70.15pt,2.8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17780</wp:posOffset>
                </wp:positionV>
                <wp:extent cx="8985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85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999pt,1.4pt" to="70.15pt,1.4pt" o:allowincell="f" strokecolor="#000000" strokeweight="0.72pt"/>
            </w:pict>
          </mc:Fallback>
        </mc:AlternateContent>
      </w:r>
    </w:p>
    <w:p>
      <w:pPr>
        <w:spacing w:after="0" w:line="200" w:lineRule="exact"/>
        <w:rPr>
          <w:sz w:val="20"/>
          <w:szCs w:val="20"/>
          <w:color w:val="auto"/>
        </w:rPr>
      </w:pPr>
    </w:p>
    <w:p>
      <w:pPr>
        <w:sectPr>
          <w:pgSz w:w="12240" w:h="15840" w:orient="portrait"/>
          <w:cols w:equalWidth="0" w:num="2">
            <w:col w:w="7120" w:space="720"/>
            <w:col w:w="1540"/>
          </w:cols>
          <w:pgMar w:left="1440" w:top="1416" w:right="1420" w:bottom="175" w:gutter="0" w:footer="0" w:header="0"/>
          <w:type w:val="continuous"/>
        </w:sectPr>
      </w:pPr>
    </w:p>
    <w:p>
      <w:pPr>
        <w:spacing w:after="0" w:line="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information regarding intangible assets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Life</w:t>
            </w: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Borders>
              <w:bottom w:val="single" w:sz="8" w:color="D9D9D9"/>
            </w:tcBorders>
          </w:tcPr>
          <w:p>
            <w:pPr>
              <w:spacing w:after="0"/>
              <w:rPr>
                <w:sz w:val="20"/>
                <w:szCs w:val="20"/>
                <w:color w:val="auto"/>
              </w:rPr>
            </w:pPr>
          </w:p>
        </w:tc>
        <w:tc>
          <w:tcPr>
            <w:tcW w:w="1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2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bottom w:val="single" w:sz="8" w:color="D9D9D9"/>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Patents</w:t>
            </w:r>
          </w:p>
        </w:tc>
        <w:tc>
          <w:tcPr>
            <w:tcW w:w="20" w:type="dxa"/>
            <w:vAlign w:val="bottom"/>
            <w:shd w:val="clear" w:color="auto" w:fill="D9D9D9"/>
          </w:tcPr>
          <w:p>
            <w:pPr>
              <w:spacing w:after="0"/>
              <w:rPr>
                <w:sz w:val="20"/>
                <w:szCs w:val="20"/>
                <w:color w:val="auto"/>
              </w:rPr>
            </w:pPr>
          </w:p>
        </w:tc>
        <w:tc>
          <w:tcPr>
            <w:tcW w:w="1180" w:type="dxa"/>
            <w:vAlign w:val="bottom"/>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13 years</w:t>
            </w: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8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shd w:val="clear" w:color="auto" w:fill="D9D9D9"/>
          </w:tcPr>
          <w:p>
            <w:pPr>
              <w:jc w:val="right"/>
              <w:ind w:right="140"/>
              <w:spacing w:after="0"/>
              <w:rPr>
                <w:sz w:val="20"/>
                <w:szCs w:val="20"/>
                <w:color w:val="auto"/>
              </w:rPr>
            </w:pPr>
            <w:r>
              <w:rPr>
                <w:rFonts w:ascii="Times New Roman" w:cs="Times New Roman" w:eastAsia="Times New Roman" w:hAnsi="Times New Roman"/>
                <w:sz w:val="20"/>
                <w:szCs w:val="20"/>
                <w:color w:val="auto"/>
              </w:rPr>
              <w:t>1,027</w:t>
            </w:r>
          </w:p>
        </w:tc>
        <w:tc>
          <w:tcPr>
            <w:tcW w:w="24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(728)</w:t>
            </w:r>
          </w:p>
        </w:tc>
        <w:tc>
          <w:tcPr>
            <w:tcW w:w="46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299</w:t>
            </w:r>
          </w:p>
        </w:tc>
        <w:tc>
          <w:tcPr>
            <w:tcW w:w="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Borders>
              <w:bottom w:val="single" w:sz="8" w:color="D9D9D9"/>
            </w:tcBorders>
            <w:vMerge w:val="continue"/>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Life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Borders>
              <w:bottom w:val="single" w:sz="8" w:color="D9D9D9"/>
            </w:tcBorders>
            <w:gridSpan w:val="2"/>
          </w:tcPr>
          <w:p>
            <w:pPr>
              <w:spacing w:after="0"/>
              <w:rPr>
                <w:sz w:val="20"/>
                <w:szCs w:val="20"/>
                <w:color w:val="auto"/>
              </w:rPr>
            </w:pPr>
          </w:p>
        </w:tc>
        <w:tc>
          <w:tcPr>
            <w:tcW w:w="1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2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tcBorders>
              <w:bottom w:val="single" w:sz="8" w:color="D9D9D9"/>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Patents</w:t>
            </w:r>
          </w:p>
        </w:tc>
        <w:tc>
          <w:tcPr>
            <w:tcW w:w="20" w:type="dxa"/>
            <w:vAlign w:val="bottom"/>
            <w:shd w:val="clear" w:color="auto" w:fill="D9D9D9"/>
          </w:tcPr>
          <w:p>
            <w:pPr>
              <w:spacing w:after="0"/>
              <w:rPr>
                <w:sz w:val="19"/>
                <w:szCs w:val="19"/>
                <w:color w:val="auto"/>
              </w:rPr>
            </w:pPr>
          </w:p>
        </w:tc>
        <w:tc>
          <w:tcPr>
            <w:tcW w:w="11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11 years</w:t>
            </w: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440" w:type="dxa"/>
            <w:vAlign w:val="bottom"/>
            <w:gridSpan w:val="3"/>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2,777</w:t>
            </w:r>
          </w:p>
        </w:tc>
        <w:tc>
          <w:tcPr>
            <w:tcW w:w="120" w:type="dxa"/>
            <w:vAlign w:val="bottom"/>
            <w:shd w:val="clear" w:color="auto" w:fill="D9D9D9"/>
          </w:tcPr>
          <w:p>
            <w:pPr>
              <w:spacing w:after="0"/>
              <w:rPr>
                <w:sz w:val="19"/>
                <w:szCs w:val="19"/>
                <w:color w:val="auto"/>
              </w:rPr>
            </w:pPr>
          </w:p>
        </w:tc>
        <w:tc>
          <w:tcPr>
            <w:tcW w:w="24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(948)</w:t>
            </w:r>
          </w:p>
        </w:tc>
        <w:tc>
          <w:tcPr>
            <w:tcW w:w="46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1,829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Customer List</w:t>
            </w:r>
          </w:p>
        </w:tc>
        <w:tc>
          <w:tcPr>
            <w:tcW w:w="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5,555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Tradenames</w:t>
            </w:r>
          </w:p>
        </w:tc>
        <w:tc>
          <w:tcPr>
            <w:tcW w:w="20" w:type="dxa"/>
            <w:vAlign w:val="bottom"/>
            <w:shd w:val="clear" w:color="auto" w:fill="D9D9D9"/>
          </w:tcPr>
          <w:p>
            <w:pPr>
              <w:spacing w:after="0"/>
              <w:rPr>
                <w:sz w:val="20"/>
                <w:szCs w:val="20"/>
                <w:color w:val="auto"/>
              </w:rPr>
            </w:pPr>
          </w:p>
        </w:tc>
        <w:tc>
          <w:tcPr>
            <w:tcW w:w="11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10 years</w:t>
            </w: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96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1,190</w:t>
            </w:r>
          </w:p>
        </w:tc>
        <w:tc>
          <w:tcPr>
            <w:tcW w:w="1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1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10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020" w:type="dxa"/>
            <w:vAlign w:val="bottom"/>
            <w:gridSpan w:val="3"/>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11,967</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(3,611)</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8,356</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Amortization expense was $1.6 million and $1.7 million for the years ended December 31, 2025 and 2024. The following is a summary of estimated future amortization expense for intangible assets as of December 31, 2025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4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86</w:t>
            </w: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7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4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w:t>
            </w:r>
          </w:p>
        </w:tc>
      </w:tr>
      <w:tr>
        <w:trPr>
          <w:trHeight w:val="229"/>
        </w:trPr>
        <w:tc>
          <w:tcPr>
            <w:tcW w:w="7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4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33</w:t>
            </w:r>
          </w:p>
        </w:tc>
      </w:tr>
      <w:tr>
        <w:trPr>
          <w:trHeight w:val="27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30</w:t>
            </w:r>
          </w:p>
        </w:tc>
      </w:tr>
      <w:tr>
        <w:trPr>
          <w:trHeight w:val="258"/>
        </w:trPr>
        <w:tc>
          <w:tcPr>
            <w:tcW w:w="7840" w:type="dxa"/>
            <w:vAlign w:val="bottom"/>
            <w:tcBorders>
              <w:top w:val="single" w:sz="8" w:color="D9D9D9"/>
              <w:bottom w:val="single" w:sz="8" w:color="D9D9D9"/>
            </w:tcBorders>
            <w:shd w:val="clear" w:color="auto" w:fill="D9D9D9"/>
          </w:tcPr>
          <w:p>
            <w:pPr>
              <w:spacing w:after="0" w:line="218"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D9D9D9"/>
              <w:bottom w:val="single" w:sz="8" w:color="auto"/>
            </w:tcBorders>
            <w:shd w:val="clear" w:color="auto" w:fill="D9D9D9"/>
          </w:tcPr>
          <w:p>
            <w:pPr>
              <w:spacing w:after="0"/>
              <w:rPr>
                <w:sz w:val="22"/>
                <w:szCs w:val="22"/>
                <w:color w:val="auto"/>
              </w:rPr>
            </w:pPr>
          </w:p>
        </w:tc>
        <w:tc>
          <w:tcPr>
            <w:tcW w:w="100" w:type="dxa"/>
            <w:vAlign w:val="bottom"/>
            <w:tcBorders>
              <w:top w:val="single" w:sz="8" w:color="auto"/>
              <w:bottom w:val="single" w:sz="8" w:color="auto"/>
            </w:tcBorders>
            <w:shd w:val="clear" w:color="auto" w:fill="D9D9D9"/>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D9D9D9"/>
          </w:tcPr>
          <w:p>
            <w:pPr>
              <w:jc w:val="right"/>
              <w:spacing w:after="0" w:line="218" w:lineRule="exact"/>
              <w:rPr>
                <w:sz w:val="20"/>
                <w:szCs w:val="20"/>
                <w:color w:val="auto"/>
              </w:rPr>
            </w:pPr>
            <w:r>
              <w:rPr>
                <w:rFonts w:ascii="Times New Roman" w:cs="Times New Roman" w:eastAsia="Times New Roman" w:hAnsi="Times New Roman"/>
                <w:sz w:val="20"/>
                <w:szCs w:val="20"/>
                <w:color w:val="auto"/>
              </w:rPr>
              <w:t>299</w:t>
            </w:r>
          </w:p>
        </w:tc>
        <w:tc>
          <w:tcPr>
            <w:tcW w:w="80" w:type="dxa"/>
            <w:vAlign w:val="bottom"/>
            <w:tcBorders>
              <w:top w:val="single" w:sz="8" w:color="D9D9D9"/>
              <w:bottom w:val="single" w:sz="8" w:color="D9D9D9"/>
            </w:tcBorders>
            <w:shd w:val="clear" w:color="auto" w:fill="D9D9D9"/>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80"/>
          </w:cols>
          <w:pgMar w:left="1440" w:top="1416" w:right="1420" w:bottom="175" w:gutter="0" w:footer="0" w:header="0"/>
          <w:type w:val="continuous"/>
        </w:sect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80"/>
          </w:cols>
          <w:pgMar w:left="1440" w:top="1416" w:right="142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(7) Accrued Liabilities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Accrued liabilities consist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0" w:type="dxa"/>
            <w:vAlign w:val="bottom"/>
            <w:tcBorders>
              <w:bottom w:val="single" w:sz="8" w:color="D9D9D9"/>
            </w:tcBorders>
          </w:tcPr>
          <w:p>
            <w:pPr>
              <w:spacing w:after="0"/>
              <w:rPr>
                <w:sz w:val="20"/>
                <w:szCs w:val="20"/>
                <w:color w:val="auto"/>
              </w:rPr>
            </w:pPr>
          </w:p>
        </w:tc>
        <w:tc>
          <w:tcPr>
            <w:tcW w:w="542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Wages/commissions payable</w:t>
            </w:r>
          </w:p>
        </w:tc>
        <w:tc>
          <w:tcPr>
            <w:tcW w:w="28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6,726</w:t>
            </w:r>
          </w:p>
        </w:tc>
        <w:tc>
          <w:tcPr>
            <w:tcW w:w="2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5,565</w:t>
            </w:r>
          </w:p>
        </w:tc>
        <w:tc>
          <w:tcPr>
            <w:tcW w:w="0" w:type="dxa"/>
            <w:vAlign w:val="bottom"/>
          </w:tcPr>
          <w:p>
            <w:pPr>
              <w:spacing w:after="0"/>
              <w:rPr>
                <w:sz w:val="1"/>
                <w:szCs w:val="1"/>
                <w:color w:val="auto"/>
              </w:rPr>
            </w:pPr>
          </w:p>
        </w:tc>
      </w:tr>
      <w:tr>
        <w:trPr>
          <w:trHeight w:val="26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Taxes payable</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2,183</w:t>
            </w:r>
          </w:p>
        </w:tc>
        <w:tc>
          <w:tcPr>
            <w:tcW w:w="200" w:type="dxa"/>
            <w:vAlign w:val="bottom"/>
          </w:tcPr>
          <w:p>
            <w:pPr>
              <w:spacing w:after="0"/>
              <w:rPr>
                <w:sz w:val="22"/>
                <w:szCs w:val="22"/>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403</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D9D9D9"/>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Other accrued liabilities</w:t>
            </w: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1,717</w:t>
            </w:r>
          </w:p>
        </w:tc>
        <w:tc>
          <w:tcPr>
            <w:tcW w:w="26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auto"/>
            </w:tcBorders>
            <w:shd w:val="clear" w:color="auto" w:fill="D9D9D9"/>
          </w:tcPr>
          <w:p>
            <w:pPr>
              <w:spacing w:after="0"/>
              <w:rPr>
                <w:sz w:val="20"/>
                <w:szCs w:val="20"/>
                <w:color w:val="auto"/>
              </w:rPr>
            </w:pPr>
          </w:p>
        </w:tc>
        <w:tc>
          <w:tcPr>
            <w:tcW w:w="14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1,803</w:t>
            </w:r>
          </w:p>
        </w:tc>
        <w:tc>
          <w:tcPr>
            <w:tcW w:w="8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10,626</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(8) Debt</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0" w:type="dxa"/>
            <w:vAlign w:val="bottom"/>
          </w:tcPr>
          <w:p>
            <w:pPr>
              <w:spacing w:after="0"/>
              <w:rPr>
                <w:sz w:val="24"/>
                <w:szCs w:val="24"/>
                <w:color w:val="auto"/>
              </w:rPr>
            </w:pPr>
          </w:p>
        </w:tc>
        <w:tc>
          <w:tcPr>
            <w:tcW w:w="54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Long-term debt consists of the following (in thousands):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0" w:type="dxa"/>
            <w:vAlign w:val="bottom"/>
            <w:tcBorders>
              <w:bottom w:val="single" w:sz="8" w:color="D9D9D9"/>
            </w:tcBorders>
          </w:tcPr>
          <w:p>
            <w:pPr>
              <w:spacing w:after="0"/>
              <w:rPr>
                <w:sz w:val="20"/>
                <w:szCs w:val="20"/>
                <w:color w:val="auto"/>
              </w:rPr>
            </w:pPr>
          </w:p>
        </w:tc>
        <w:tc>
          <w:tcPr>
            <w:tcW w:w="542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D9D9D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Amounts due under the Term Facility</w:t>
            </w:r>
          </w:p>
        </w:tc>
        <w:tc>
          <w:tcPr>
            <w:tcW w:w="180" w:type="dxa"/>
            <w:vAlign w:val="bottom"/>
            <w:gridSpan w:val="2"/>
            <w:shd w:val="clear" w:color="auto" w:fill="D9D9D9"/>
          </w:tcPr>
          <w:p>
            <w:pPr>
              <w:spacing w:after="0"/>
              <w:rPr>
                <w:sz w:val="19"/>
                <w:szCs w:val="19"/>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14,000</w:t>
            </w:r>
          </w:p>
        </w:tc>
        <w:tc>
          <w:tcPr>
            <w:tcW w:w="2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22,000</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end-of-term payments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817</w:t>
            </w:r>
          </w:p>
        </w:tc>
        <w:tc>
          <w:tcPr>
            <w:tcW w:w="20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Less: unamortized debt issuance costs</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760" w:type="dxa"/>
            <w:vAlign w:val="bottom"/>
            <w:gridSpan w:val="2"/>
            <w:shd w:val="clear" w:color="auto" w:fill="D9D9D9"/>
          </w:tcPr>
          <w:p>
            <w:pPr>
              <w:jc w:val="right"/>
              <w:ind w:right="200"/>
              <w:spacing w:after="0"/>
              <w:rPr>
                <w:sz w:val="20"/>
                <w:szCs w:val="20"/>
                <w:color w:val="auto"/>
              </w:rPr>
            </w:pPr>
            <w:r>
              <w:rPr>
                <w:rFonts w:ascii="Times New Roman" w:cs="Times New Roman" w:eastAsia="Times New Roman" w:hAnsi="Times New Roman"/>
                <w:sz w:val="20"/>
                <w:szCs w:val="20"/>
                <w:color w:val="auto"/>
              </w:rPr>
              <w:t>(291)</w:t>
            </w:r>
          </w:p>
        </w:tc>
        <w:tc>
          <w:tcPr>
            <w:tcW w:w="200" w:type="dxa"/>
            <w:vAlign w:val="bottom"/>
            <w:shd w:val="clear" w:color="auto" w:fill="D9D9D9"/>
          </w:tcPr>
          <w:p>
            <w:pPr>
              <w:spacing w:after="0"/>
              <w:rPr>
                <w:sz w:val="20"/>
                <w:szCs w:val="20"/>
                <w:color w:val="auto"/>
              </w:rPr>
            </w:pPr>
          </w:p>
        </w:tc>
        <w:tc>
          <w:tcPr>
            <w:tcW w:w="150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(427)</w:t>
            </w:r>
          </w:p>
        </w:tc>
        <w:tc>
          <w:tcPr>
            <w:tcW w:w="0" w:type="dxa"/>
            <w:vAlign w:val="bottom"/>
          </w:tcPr>
          <w:p>
            <w:pPr>
              <w:spacing w:after="0"/>
              <w:rPr>
                <w:sz w:val="1"/>
                <w:szCs w:val="1"/>
                <w:color w:val="auto"/>
              </w:rPr>
            </w:pPr>
          </w:p>
        </w:tc>
      </w:tr>
      <w:tr>
        <w:trPr>
          <w:trHeight w:val="26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(3,500)</w:t>
            </w:r>
          </w:p>
        </w:tc>
        <w:tc>
          <w:tcPr>
            <w:tcW w:w="200" w:type="dxa"/>
            <w:vAlign w:val="bottom"/>
          </w:tcPr>
          <w:p>
            <w:pPr>
              <w:spacing w:after="0"/>
              <w:rPr>
                <w:sz w:val="22"/>
                <w:szCs w:val="22"/>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3"/>
        </w:trPr>
        <w:tc>
          <w:tcPr>
            <w:tcW w:w="200" w:type="dxa"/>
            <w:vAlign w:val="bottom"/>
            <w:tcBorders>
              <w:top w:val="single" w:sz="8" w:color="D9D9D9"/>
              <w:bottom w:val="single" w:sz="8" w:color="D9D9D9"/>
            </w:tcBorders>
            <w:shd w:val="clear" w:color="auto" w:fill="D9D9D9"/>
          </w:tcPr>
          <w:p>
            <w:pPr>
              <w:spacing w:after="0"/>
              <w:rPr>
                <w:sz w:val="23"/>
                <w:szCs w:val="23"/>
                <w:color w:val="auto"/>
              </w:rPr>
            </w:pPr>
          </w:p>
        </w:tc>
        <w:tc>
          <w:tcPr>
            <w:tcW w:w="542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Long-term debt, less issuance costs</w:t>
            </w: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11,026</w:t>
            </w:r>
          </w:p>
        </w:tc>
        <w:tc>
          <w:tcPr>
            <w:tcW w:w="260" w:type="dxa"/>
            <w:vAlign w:val="bottom"/>
            <w:tcBorders>
              <w:top w:val="single" w:sz="8" w:color="D9D9D9"/>
              <w:bottom w:val="single" w:sz="8" w:color="D9D9D9"/>
            </w:tcBorders>
            <w:shd w:val="clear" w:color="auto" w:fill="D9D9D9"/>
          </w:tcPr>
          <w:p>
            <w:pPr>
              <w:spacing w:after="0"/>
              <w:rPr>
                <w:sz w:val="23"/>
                <w:szCs w:val="23"/>
                <w:color w:val="auto"/>
              </w:rPr>
            </w:pPr>
          </w:p>
        </w:tc>
        <w:tc>
          <w:tcPr>
            <w:tcW w:w="2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22,038</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As of December 31, 2025, scheduled principal payments for the term credit agreement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00" w:type="dxa"/>
            <w:vAlign w:val="bottom"/>
            <w:vMerge w:val="restart"/>
          </w:tcPr>
          <w:p>
            <w:pPr>
              <w:jc w:val="right"/>
              <w:ind w:right="2462"/>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D9D9D9"/>
            </w:tcBorders>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Quarterly Payments</w:t>
            </w:r>
          </w:p>
        </w:tc>
        <w:tc>
          <w:tcPr>
            <w:tcW w:w="140" w:type="dxa"/>
            <w:vAlign w:val="bottom"/>
            <w:tcBorders>
              <w:bottom w:val="single" w:sz="8" w:color="D9D9D9"/>
            </w:tcBorders>
          </w:tcPr>
          <w:p>
            <w:pPr>
              <w:spacing w:after="0"/>
              <w:rPr>
                <w:sz w:val="20"/>
                <w:szCs w:val="20"/>
                <w:color w:val="auto"/>
              </w:rPr>
            </w:pPr>
          </w:p>
        </w:tc>
        <w:tc>
          <w:tcPr>
            <w:tcW w:w="120" w:type="dxa"/>
            <w:vAlign w:val="bottom"/>
            <w:tcBorders>
              <w:bottom w:val="single" w:sz="8" w:color="D9D9D9"/>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Annually</w:t>
            </w: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shd w:val="clear" w:color="auto" w:fill="D9D9D9"/>
          </w:tcPr>
          <w:p>
            <w:pPr>
              <w:jc w:val="right"/>
              <w:ind w:right="5122"/>
              <w:spacing w:after="0"/>
              <w:rPr>
                <w:sz w:val="20"/>
                <w:szCs w:val="20"/>
                <w:color w:val="auto"/>
              </w:rPr>
            </w:pPr>
            <w:r>
              <w:rPr>
                <w:rFonts w:ascii="Times New Roman" w:cs="Times New Roman" w:eastAsia="Times New Roman" w:hAnsi="Times New Roman"/>
                <w:sz w:val="20"/>
                <w:szCs w:val="20"/>
                <w:color w:val="auto"/>
                <w:w w:val="89"/>
              </w:rPr>
              <w:t>2026</w:t>
            </w:r>
          </w:p>
        </w:tc>
        <w:tc>
          <w:tcPr>
            <w:tcW w:w="420" w:type="dxa"/>
            <w:vAlign w:val="bottom"/>
            <w:gridSpan w:val="2"/>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D9D9D9"/>
          </w:tcPr>
          <w:p>
            <w:pPr>
              <w:jc w:val="right"/>
              <w:ind w:right="140"/>
              <w:spacing w:after="0"/>
              <w:rPr>
                <w:sz w:val="20"/>
                <w:szCs w:val="20"/>
                <w:color w:val="auto"/>
              </w:rPr>
            </w:pPr>
            <w:r>
              <w:rPr>
                <w:rFonts w:ascii="Times New Roman" w:cs="Times New Roman" w:eastAsia="Times New Roman" w:hAnsi="Times New Roman"/>
                <w:sz w:val="20"/>
                <w:szCs w:val="20"/>
                <w:color w:val="auto"/>
              </w:rPr>
              <w:t>1,167</w:t>
            </w:r>
          </w:p>
        </w:tc>
        <w:tc>
          <w:tcPr>
            <w:tcW w:w="40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jc w:val="right"/>
              <w:ind w:right="5122"/>
              <w:spacing w:after="0"/>
              <w:rPr>
                <w:sz w:val="20"/>
                <w:szCs w:val="20"/>
                <w:color w:val="auto"/>
              </w:rPr>
            </w:pPr>
            <w:r>
              <w:rPr>
                <w:rFonts w:ascii="Times New Roman" w:cs="Times New Roman" w:eastAsia="Times New Roman" w:hAnsi="Times New Roman"/>
                <w:sz w:val="20"/>
                <w:szCs w:val="20"/>
                <w:color w:val="auto"/>
                <w:w w:val="89"/>
              </w:rPr>
              <w:t>2027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D9D9D9"/>
          </w:tcPr>
          <w:p>
            <w:pPr>
              <w:jc w:val="right"/>
              <w:ind w:right="5122"/>
              <w:spacing w:after="0"/>
              <w:rPr>
                <w:sz w:val="20"/>
                <w:szCs w:val="20"/>
                <w:color w:val="auto"/>
              </w:rPr>
            </w:pPr>
            <w:r>
              <w:rPr>
                <w:rFonts w:ascii="Times New Roman" w:cs="Times New Roman" w:eastAsia="Times New Roman" w:hAnsi="Times New Roman"/>
                <w:sz w:val="20"/>
                <w:szCs w:val="20"/>
                <w:color w:val="auto"/>
                <w:w w:val="89"/>
              </w:rPr>
              <w:t>2028</w:t>
            </w:r>
          </w:p>
        </w:tc>
        <w:tc>
          <w:tcPr>
            <w:tcW w:w="18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500" w:type="dxa"/>
            <w:vAlign w:val="bottom"/>
            <w:gridSpan w:val="2"/>
            <w:shd w:val="clear" w:color="auto" w:fill="D9D9D9"/>
          </w:tcPr>
          <w:p>
            <w:pPr>
              <w:jc w:val="right"/>
              <w:ind w:right="140"/>
              <w:spacing w:after="0"/>
              <w:rPr>
                <w:sz w:val="20"/>
                <w:szCs w:val="20"/>
                <w:color w:val="auto"/>
              </w:rPr>
            </w:pPr>
            <w:r>
              <w:rPr>
                <w:rFonts w:ascii="Times New Roman" w:cs="Times New Roman" w:eastAsia="Times New Roman" w:hAnsi="Times New Roman"/>
                <w:sz w:val="20"/>
                <w:szCs w:val="20"/>
                <w:color w:val="auto"/>
              </w:rPr>
              <w:t>1,167</w:t>
            </w:r>
          </w:p>
        </w:tc>
        <w:tc>
          <w:tcPr>
            <w:tcW w:w="12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14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4,667</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600" w:type="dxa"/>
            <w:vAlign w:val="bottom"/>
          </w:tcPr>
          <w:p>
            <w:pPr>
              <w:jc w:val="right"/>
              <w:ind w:right="5122"/>
              <w:spacing w:after="0"/>
              <w:rPr>
                <w:sz w:val="20"/>
                <w:szCs w:val="20"/>
                <w:color w:val="auto"/>
              </w:rPr>
            </w:pPr>
            <w:r>
              <w:rPr>
                <w:rFonts w:ascii="Times New Roman" w:cs="Times New Roman" w:eastAsia="Times New Roman" w:hAnsi="Times New Roman"/>
                <w:sz w:val="20"/>
                <w:szCs w:val="20"/>
                <w:color w:val="auto"/>
                <w:w w:val="89"/>
              </w:rPr>
              <w:t>2029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1,167</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March 7, 2024, the Company’s term credit agreement was amended and restated to, among other things, extend the maturity date to March 1, 2029. An additional $10.0 million tranche, available solely at the discretion of MidCap Financial Trust and the lenders, was added to the term credit agreement and the applicable margin used to determine the per annum interest rate was reduced from 7.00% to 6.50%. The date of certain fees payable in connection with optional prepayments were also reset by the amendment to be determined based on the date the amendment. The Company’s revolving credit agreement was also amended and restated on March 7, 2024, to among other things, increase the commitment amount from $8.0 million to $ 17.0 million. The maturity of the revolving credit agreement was also extended to March 1, 2029. Minimum revenue requirements specified in the credit agreements were reset and minimum adjusted EBITDA requirements were removed.</w:t>
      </w:r>
    </w:p>
    <w:p>
      <w:pPr>
        <w:spacing w:after="0" w:line="20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May 14, 2024, the term credit agreement was amended to increase the amount of term loans that may be borrowed by $5.0 million to a maximum of $22.0 million, which were fully drawn as of May 14, 2024. In addition, the amendments to the term credit agreement and revolving credit agreement re-set the date certain fees payable in connection with optional prepayments are determined to May 14, 2024 and consequently extend such fees’ original expiration. The exit fees were increased by 2.50% to 6.50% of the principal amount borrowed pursuant to the term credit agreement. The terms of borrowing under the term credit agreement and revolving credit agreement otherwise remain materially unchanged.</w:t>
      </w:r>
    </w:p>
    <w:p>
      <w:pPr>
        <w:spacing w:after="0" w:line="20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9"/>
          <w:szCs w:val="19"/>
          <w:color w:val="auto"/>
        </w:rPr>
        <w:t>On July 7, 2025, we entered into a Limited Consent and Amendment No. 3 to Amended and Restated Credit, Security and Guaranty Agreement (Term Loan) (the “Term Loan Limited Consent”) with MidCap Financial Trust and a Limited Consent and Amendment No. 3 to Amended and Restated Credit, Security and Guaranty Agreement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16" w:right="1440" w:bottom="175" w:gutter="0" w:footer="0" w:header="0"/>
          <w:type w:val="continuous"/>
        </w:sectPr>
      </w:pPr>
    </w:p>
    <w:bookmarkStart w:id="84" w:name="page85"/>
    <w:bookmarkEnd w:id="84"/>
    <w:p>
      <w:pPr>
        <w:jc w:val="both"/>
        <w:spacing w:after="0" w:line="247" w:lineRule="auto"/>
        <w:rPr>
          <w:sz w:val="20"/>
          <w:szCs w:val="20"/>
          <w:color w:val="auto"/>
        </w:rPr>
      </w:pPr>
      <w:r>
        <w:rPr>
          <w:rFonts w:ascii="Times New Roman" w:cs="Times New Roman" w:eastAsia="Times New Roman" w:hAnsi="Times New Roman"/>
          <w:sz w:val="20"/>
          <w:szCs w:val="20"/>
          <w:color w:val="auto"/>
        </w:rPr>
        <w:t>(Revolving Loan) (the “Revolving Loan Limited Consent” and together with the Term Loan Limited Consent, the “Limited Consent Agreements”) with MidCap Funding IV Trust (collectively, with MidCap Financial Trust, “MidCap”). Under the Limited Consent Agreements, MidCap agreed, subject to the terms and conditions set forth in the Limited Consent Agreements, to, among other things, consent to us entering into the Coflex/CoFix Agreement and Paradigm Agreement and the consummation of the Divestitures in accordance with the terms and subject to the conditions set forth therein.</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On March 26, 2026, we entered into Amendment No. 4 to Amended and Restated Credit, Security and Guaranty Agreement (Term Loan) with MidCap Financial Trust and Amendment No. 4 to Amended and Restated Credit, Security and Guaranty Agreement (Revolving Loan) with MidCap Funding IV Trust (collectively, the “Amendment No. 4s”)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the orthobiologics products and correspondingly adjust the minimum net revenue amounts.</w:t>
      </w:r>
    </w:p>
    <w:p>
      <w:pPr>
        <w:spacing w:after="0" w:line="20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the effective rate of the term loan under the term credit agreement, inclusive of authorization of debt issuance costs and accretion of the final payment, was 14.08%, and the effective rate of the revolving loan under the revolving credit agreement was 8.49%. As of December 31, 2025, the Company had $10.9 million outstanding and $3.8 million of availability under the Revolving Credit Facility.</w:t>
      </w:r>
    </w:p>
    <w:p>
      <w:pPr>
        <w:spacing w:after="0" w:line="19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credit agreements contain affirmative and negative covenants customarily applicable to senior secured credit facilities, including covenants that, among other things, limit or restrict the ability of certain subsidiaries of the Company, as borrowers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 In addition, the credit agreements require the Borrowers and the Company to maintain net product revenue at or above minimum levels and to maintain a certain minimum liquidity level, in each case as specified in the credit agreements. As of December 31, 2025, the Company was in compliance with all applicable covenants under the credit agreements. As of December 31, 2025, our credit agreements included a minimum net revenue covenant, however, pursuant to the Amendment No. 4s executed in March 2026, we were not required to comply with the minimum net revenue covenant for the quarter ended December 31, 2025. Under the covenant terms in effect prior to the Amendment No. 4s, we would not have been in compliance with the minimum net revenue requirement for that quarter.</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w:t>
      </w:r>
    </w:p>
    <w:p>
      <w:pPr>
        <w:spacing w:after="0" w:line="193" w:lineRule="exact"/>
        <w:rPr>
          <w:sz w:val="20"/>
          <w:szCs w:val="20"/>
          <w:color w:val="auto"/>
        </w:rPr>
      </w:pPr>
    </w:p>
    <w:p>
      <w:pPr>
        <w:ind w:right="7800"/>
        <w:spacing w:after="0" w:line="492" w:lineRule="auto"/>
        <w:tabs>
          <w:tab w:leader="none" w:pos="284"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Private Placement</w:t>
      </w:r>
    </w:p>
    <w:p>
      <w:pPr>
        <w:spacing w:after="0" w:line="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August 7, 2024, we entered into a securities purchase agreement pursuant to which we issued an aggregate of 7,812,500 shares of common stock to accredited investors in a private placement at a per share purchase price of $0.64 at a closing held on August 9, 2024. The gross proceeds to us from the private placement were $5.0 million, before deducting estimated offering fees and expenses payable by us. We expect to use the net proceeds of $4.5 million from the private placement for working capital and other general corporate purposes.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20" w:right="1440" w:bottom="175" w:gutter="0" w:footer="0" w:header="0"/>
          <w:type w:val="continuous"/>
        </w:sectPr>
      </w:pPr>
    </w:p>
    <w:bookmarkStart w:id="85" w:name="page86"/>
    <w:bookmarkEnd w:id="85"/>
    <w:p>
      <w:pPr>
        <w:ind w:left="1"/>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pacing w:after="0" w:line="2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Xtant Medical Holdings, Inc. 2023 Equity Incentive Plan</w:t>
      </w:r>
    </w:p>
    <w:p>
      <w:pPr>
        <w:spacing w:after="0" w:line="243" w:lineRule="exact"/>
        <w:rPr>
          <w:sz w:val="20"/>
          <w:szCs w:val="20"/>
          <w:color w:val="auto"/>
        </w:rPr>
      </w:pPr>
    </w:p>
    <w:p>
      <w:pPr>
        <w:jc w:val="both"/>
        <w:ind w:left="1" w:firstLine="721"/>
        <w:spacing w:after="0" w:line="255" w:lineRule="auto"/>
        <w:rPr>
          <w:sz w:val="20"/>
          <w:szCs w:val="20"/>
          <w:color w:val="auto"/>
        </w:rPr>
      </w:pPr>
      <w:r>
        <w:rPr>
          <w:rFonts w:ascii="Times New Roman" w:cs="Times New Roman" w:eastAsia="Times New Roman" w:hAnsi="Times New Roman"/>
          <w:sz w:val="19"/>
          <w:szCs w:val="19"/>
          <w:color w:val="auto"/>
        </w:rPr>
        <w:t>On July 26, 2023, our stockholders approved and adopted the Xtant Medical Holdings, Inc. 2023 Equity Incentive Plan (the “2023 Plan”), which replaced the Xtant Medical Holdings, Inc. 2018 Equity Incentive Plan (as amended and restated, the “2018 Plan”) with respect to future grants of equity awards, although the 2018 Plan continues to govern equity awards granted under the 2018 Plan. The 2023 Plan permits the Board of Directors, or a committee thereof, to grant to eligible employees, non -employee directors, and consultants of the Company non-statutory and incentive stock options, stock appreciation rights, restricted stock awards, restricted stock units, deferred stock units, performance awards, non-employee director awards, and other stock-based awards. The 2023 Plan is administered by the Compensation Committee of the Board of Directors. The Compensation Committee or the Board of Directors may select 2023 Plan participants and determine the nature and amount of awards to be granted. The maximum number of shares of our common stock available for issuance under the 2023 Plan, subject to adjustment pursuant to the terms of the 2023 Plan, as increased by an amendment approved by our stockholders on November 7, 2025, is (i) 17,800,000 shares of common stock; (ii) 7,695,812 shares of common stock remaining available for issuance under the 2018 Plan but not subject to outstanding awards under the 2018 Plan as of July 26, 2023; and</w:t>
      </w:r>
    </w:p>
    <w:p>
      <w:pPr>
        <w:jc w:val="both"/>
        <w:ind w:left="1" w:hanging="1"/>
        <w:spacing w:after="0" w:line="242" w:lineRule="auto"/>
        <w:tabs>
          <w:tab w:leader="none" w:pos="35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6,686,090 shares of common stock subject to awards outstanding under the 2018 Plan as of July 26, 2023 but only to the extent such awards are subsequently forfeited, cancelled, expire, or otherwise terminate without the issuance of such shares of common stock after such date. As of December 31, 2025, 12,966,721 shares remained available for grant under the 2023 Plan. Under the 2023 Plan, shares of our common stock related to awards granted under the plan that terminate by expiration, forfeiture, cancellation, or otherwise without the issuance of the shares become available again for grant under the plan.</w:t>
      </w:r>
    </w:p>
    <w:p>
      <w:pPr>
        <w:spacing w:after="0" w:line="201" w:lineRule="exact"/>
        <w:rPr>
          <w:sz w:val="20"/>
          <w:szCs w:val="20"/>
          <w:color w:val="auto"/>
        </w:rPr>
      </w:pPr>
    </w:p>
    <w:p>
      <w:pPr>
        <w:jc w:val="both"/>
        <w:ind w:left="1" w:firstLine="720"/>
        <w:spacing w:after="0" w:line="259" w:lineRule="auto"/>
        <w:rPr>
          <w:sz w:val="20"/>
          <w:szCs w:val="20"/>
          <w:color w:val="auto"/>
        </w:rPr>
      </w:pPr>
      <w:r>
        <w:rPr>
          <w:rFonts w:ascii="Times New Roman" w:cs="Times New Roman" w:eastAsia="Times New Roman" w:hAnsi="Times New Roman"/>
          <w:sz w:val="20"/>
          <w:szCs w:val="20"/>
          <w:color w:val="auto"/>
        </w:rPr>
        <w:t>Total stock-based compensation expense recognized for employees and directors was $2.9 million and $4.1 million for the years ended December 31, 2025 and 2024, respectively, and was recognized as general and administrative expense.</w:t>
      </w:r>
    </w:p>
    <w:p>
      <w:pPr>
        <w:spacing w:after="0" w:line="1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243" w:lineRule="exact"/>
        <w:rPr>
          <w:sz w:val="20"/>
          <w:szCs w:val="20"/>
          <w:color w:val="auto"/>
        </w:rPr>
      </w:pPr>
    </w:p>
    <w:p>
      <w:pPr>
        <w:jc w:val="both"/>
        <w:ind w:left="1" w:firstLine="720"/>
        <w:spacing w:after="0" w:line="247" w:lineRule="auto"/>
        <w:rPr>
          <w:sz w:val="20"/>
          <w:szCs w:val="20"/>
          <w:color w:val="auto"/>
        </w:rPr>
      </w:pPr>
      <w:r>
        <w:rPr>
          <w:rFonts w:ascii="Times New Roman" w:cs="Times New Roman" w:eastAsia="Times New Roman" w:hAnsi="Times New Roman"/>
          <w:sz w:val="20"/>
          <w:szCs w:val="20"/>
          <w:color w:val="auto"/>
        </w:rPr>
        <w:t>Stock options granted under the 2023 Plan may be either incentive stock options to employees, as defined in Section 422A of the Internal Revenue Code of 1986, or non-qualified stock options. The exercise price of all stock options granted under the 2023 Plan must be at least equal to the fair market value of the shares of common stock on the date of the grant. Stock options granted under the 2023 Plan are generally not transferable, vest in installments over the requisite service period, and are exercisable during the stated contractual term of the option only by the optionee.</w:t>
      </w:r>
    </w:p>
    <w:p>
      <w:pPr>
        <w:spacing w:after="0" w:line="200"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9"/>
          <w:szCs w:val="19"/>
          <w:color w:val="auto"/>
        </w:rPr>
        <w:t>Stock option activity, including options granted under the 2023 Plan, the 2018 Plan and the prior plan was as</w:t>
      </w:r>
    </w:p>
    <w:p>
      <w:pPr>
        <w:spacing w:after="0" w:line="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follows:</w:t>
      </w:r>
    </w:p>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D9D9D9"/>
            </w:tcBorders>
          </w:tcPr>
          <w:p>
            <w:pPr>
              <w:spacing w:after="0"/>
              <w:rPr>
                <w:sz w:val="20"/>
                <w:szCs w:val="20"/>
                <w:color w:val="auto"/>
              </w:rPr>
            </w:pPr>
          </w:p>
        </w:tc>
        <w:tc>
          <w:tcPr>
            <w:tcW w:w="8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Borders>
              <w:bottom w:val="single" w:sz="8" w:color="D9D9D9"/>
            </w:tcBorders>
          </w:tcPr>
          <w:p>
            <w:pPr>
              <w:spacing w:after="0"/>
              <w:rPr>
                <w:sz w:val="20"/>
                <w:szCs w:val="20"/>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80" w:type="dxa"/>
            <w:vAlign w:val="bottom"/>
            <w:tcBorders>
              <w:bottom w:val="single" w:sz="8" w:color="D9D9D9"/>
            </w:tcBorders>
          </w:tcPr>
          <w:p>
            <w:pPr>
              <w:spacing w:after="0"/>
              <w:rPr>
                <w:sz w:val="20"/>
                <w:szCs w:val="20"/>
                <w:color w:val="auto"/>
              </w:rPr>
            </w:pPr>
          </w:p>
        </w:tc>
        <w:tc>
          <w:tcPr>
            <w:tcW w:w="8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D9D9D9"/>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Borders>
              <w:bottom w:val="single" w:sz="8" w:color="D9D9D9"/>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at January 1</w:t>
            </w:r>
          </w:p>
        </w:tc>
        <w:tc>
          <w:tcPr>
            <w:tcW w:w="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3,925,403</w:t>
            </w:r>
          </w:p>
        </w:tc>
        <w:tc>
          <w:tcPr>
            <w:tcW w:w="20" w:type="dxa"/>
            <w:vAlign w:val="bottom"/>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8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1.29</w:t>
            </w:r>
          </w:p>
        </w:tc>
        <w:tc>
          <w:tcPr>
            <w:tcW w:w="9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80" w:type="dxa"/>
            <w:vAlign w:val="bottom"/>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4,875,828</w:t>
            </w:r>
          </w:p>
        </w:tc>
        <w:tc>
          <w:tcPr>
            <w:tcW w:w="9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1.31</w:t>
            </w:r>
          </w:p>
        </w:tc>
        <w:tc>
          <w:tcPr>
            <w:tcW w:w="92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(19,858)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56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Cancelled or expired</w:t>
            </w:r>
          </w:p>
        </w:tc>
        <w:tc>
          <w:tcPr>
            <w:tcW w:w="8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(164,931)</w:t>
            </w:r>
          </w:p>
        </w:tc>
        <w:tc>
          <w:tcPr>
            <w:tcW w:w="20" w:type="dxa"/>
            <w:vAlign w:val="bottom"/>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7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00" w:type="dxa"/>
            <w:vAlign w:val="bottom"/>
            <w:tcBorders>
              <w:bottom w:val="single" w:sz="8" w:color="D9D9D9"/>
            </w:tcBorders>
            <w:shd w:val="clear" w:color="auto" w:fill="D9D9D9"/>
          </w:tcPr>
          <w:p>
            <w:pPr>
              <w:spacing w:after="0"/>
              <w:rPr>
                <w:sz w:val="20"/>
                <w:szCs w:val="20"/>
                <w:color w:val="auto"/>
              </w:rPr>
            </w:pPr>
          </w:p>
        </w:tc>
        <w:tc>
          <w:tcPr>
            <w:tcW w:w="92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(930,567)</w:t>
            </w:r>
          </w:p>
        </w:tc>
        <w:tc>
          <w:tcPr>
            <w:tcW w:w="120" w:type="dxa"/>
            <w:vAlign w:val="bottom"/>
            <w:tcBorders>
              <w:bottom w:val="single" w:sz="8" w:color="D9D9D9"/>
            </w:tcBorders>
            <w:shd w:val="clear" w:color="auto" w:fill="D9D9D9"/>
          </w:tcPr>
          <w:p>
            <w:pPr>
              <w:spacing w:after="0"/>
              <w:rPr>
                <w:sz w:val="20"/>
                <w:szCs w:val="20"/>
                <w:color w:val="auto"/>
              </w:rPr>
            </w:pPr>
          </w:p>
        </w:tc>
        <w:tc>
          <w:tcPr>
            <w:tcW w:w="8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Borders>
              <w:bottom w:val="single" w:sz="8" w:color="D9D9D9"/>
            </w:tcBorders>
            <w:shd w:val="clear" w:color="auto" w:fill="D9D9D9"/>
          </w:tcPr>
          <w:p>
            <w:pPr>
              <w:spacing w:after="0"/>
              <w:rPr>
                <w:sz w:val="20"/>
                <w:szCs w:val="20"/>
                <w:color w:val="auto"/>
              </w:rPr>
            </w:pPr>
          </w:p>
        </w:tc>
        <w:tc>
          <w:tcPr>
            <w:tcW w:w="920" w:type="dxa"/>
            <w:vAlign w:val="bottom"/>
            <w:tcBorders>
              <w:bottom w:val="single" w:sz="8" w:color="D9D9D9"/>
            </w:tcBorders>
            <w:shd w:val="clear" w:color="auto" w:fill="D9D9D9"/>
          </w:tcPr>
          <w:p>
            <w:pPr>
              <w:spacing w:after="0"/>
              <w:rPr>
                <w:sz w:val="20"/>
                <w:szCs w:val="20"/>
                <w:color w:val="auto"/>
              </w:rPr>
            </w:pPr>
          </w:p>
        </w:tc>
        <w:tc>
          <w:tcPr>
            <w:tcW w:w="6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3,760,472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tcPr>
          <w:p>
            <w:pPr>
              <w:spacing w:after="0"/>
              <w:rPr>
                <w:sz w:val="20"/>
                <w:szCs w:val="20"/>
                <w:color w:val="auto"/>
              </w:rPr>
            </w:pPr>
          </w:p>
        </w:tc>
        <w:tc>
          <w:tcPr>
            <w:tcW w:w="102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5.85</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3,925,403</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229"/>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Exercisable at December 31</w:t>
            </w:r>
          </w:p>
        </w:tc>
        <w:tc>
          <w:tcPr>
            <w:tcW w:w="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3,210,536</w:t>
            </w:r>
          </w:p>
        </w:tc>
        <w:tc>
          <w:tcPr>
            <w:tcW w:w="20" w:type="dxa"/>
            <w:vAlign w:val="bottom"/>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7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shd w:val="clear" w:color="auto" w:fill="D9D9D9"/>
          </w:tcPr>
          <w:p>
            <w:pPr>
              <w:spacing w:after="0"/>
              <w:rPr>
                <w:sz w:val="19"/>
                <w:szCs w:val="19"/>
                <w:color w:val="auto"/>
              </w:rPr>
            </w:pPr>
          </w:p>
        </w:tc>
        <w:tc>
          <w:tcPr>
            <w:tcW w:w="940" w:type="dxa"/>
            <w:vAlign w:val="bottom"/>
            <w:gridSpan w:val="2"/>
            <w:shd w:val="clear" w:color="auto" w:fill="D9D9D9"/>
          </w:tcPr>
          <w:p>
            <w:pPr>
              <w:ind w:left="580"/>
              <w:spacing w:after="0"/>
              <w:rPr>
                <w:sz w:val="20"/>
                <w:szCs w:val="20"/>
                <w:color w:val="auto"/>
              </w:rPr>
            </w:pPr>
            <w:r>
              <w:rPr>
                <w:rFonts w:ascii="Times New Roman" w:cs="Times New Roman" w:eastAsia="Times New Roman" w:hAnsi="Times New Roman"/>
                <w:sz w:val="20"/>
                <w:szCs w:val="20"/>
                <w:color w:val="auto"/>
                <w:w w:val="97"/>
              </w:rPr>
              <w:t>5.57</w:t>
            </w:r>
          </w:p>
        </w:tc>
        <w:tc>
          <w:tcPr>
            <w:tcW w:w="80" w:type="dxa"/>
            <w:vAlign w:val="bottom"/>
            <w:shd w:val="clear" w:color="auto" w:fill="D9D9D9"/>
          </w:tcPr>
          <w:p>
            <w:pPr>
              <w:spacing w:after="0"/>
              <w:rPr>
                <w:sz w:val="19"/>
                <w:szCs w:val="19"/>
                <w:color w:val="auto"/>
              </w:rPr>
            </w:pPr>
          </w:p>
        </w:tc>
        <w:tc>
          <w:tcPr>
            <w:tcW w:w="980" w:type="dxa"/>
            <w:vAlign w:val="bottom"/>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2,947,725</w:t>
            </w:r>
          </w:p>
        </w:tc>
        <w:tc>
          <w:tcPr>
            <w:tcW w:w="9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1.36</w:t>
            </w:r>
          </w:p>
        </w:tc>
        <w:tc>
          <w:tcPr>
            <w:tcW w:w="980" w:type="dxa"/>
            <w:vAlign w:val="bottom"/>
            <w:gridSpan w:val="2"/>
            <w:shd w:val="clear" w:color="auto" w:fill="D9D9D9"/>
          </w:tcPr>
          <w:p>
            <w:pPr>
              <w:jc w:val="right"/>
              <w:ind w:right="40"/>
              <w:spacing w:after="0"/>
              <w:rPr>
                <w:sz w:val="20"/>
                <w:szCs w:val="20"/>
                <w:color w:val="auto"/>
              </w:rPr>
            </w:pPr>
            <w:r>
              <w:rPr>
                <w:rFonts w:ascii="Times New Roman" w:cs="Times New Roman" w:eastAsia="Times New Roman" w:hAnsi="Times New Roman"/>
                <w:sz w:val="20"/>
                <w:szCs w:val="20"/>
                <w:color w:val="auto"/>
              </w:rPr>
              <w:t>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5911850</wp:posOffset>
                </wp:positionH>
                <wp:positionV relativeFrom="paragraph">
                  <wp:posOffset>-786765</wp:posOffset>
                </wp:positionV>
                <wp:extent cx="31750" cy="190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19050"/>
                        </a:xfrm>
                        <a:prstGeom prst="rect">
                          <a:avLst/>
                        </a:prstGeom>
                        <a:solidFill>
                          <a:srgbClr val="D9D9D9"/>
                        </a:solidFill>
                      </wps:spPr>
                      <wps:bodyPr/>
                    </wps:wsp>
                  </a:graphicData>
                </a:graphic>
              </wp:anchor>
            </w:drawing>
          </mc:Choice>
          <mc:Fallback>
            <w:pict>
              <v:rect id="Shape 57" o:spid="_x0000_s1082" style="position:absolute;margin-left:465.5pt;margin-top:-61.9499pt;width: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1"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total compensation expense related to unvested employee stock options not yet recognized was $0.5 million, which is expected to be allocated to expenses over a weighted-average period of 1.6 years. There was no intrinsic value associated with options exercisable at December 31, 2025. The estimated fair</w:t>
      </w:r>
    </w:p>
    <w:p>
      <w:pPr>
        <w:sectPr>
          <w:pgSz w:w="12240" w:h="15840" w:orient="portrait"/>
          <w:cols w:equalWidth="0" w:num="1">
            <w:col w:w="9361"/>
          </w:cols>
          <w:pgMar w:left="1439" w:top="1416" w:right="144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1"/>
          </w:cols>
          <w:pgMar w:left="1439" w:top="1416" w:right="1440" w:bottom="175"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value of stock options granted is determined using the Black-Scholes-Merton method applied to individual grants.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stock options granted during the years ended December 31,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Stock Units and Restricted Stock Units</w:t>
      </w:r>
    </w:p>
    <w:p>
      <w:pPr>
        <w:spacing w:after="0" w:line="24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Under our non-employee director compensation program, non-employee directors may elect to receive deferred stock units, or DSUs, in lieu of their annual restricted stock units, or RSUs. In addition, certain officers have received DSUs instead of RSUs for their annual equity awards in 2025 and 2024. Each RSU or DSU represents the right to receive one share of our common stock.</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DSU and RSU activity for awards granted under the 2023 Plan and 2018 Plan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7"/>
              <w:spacing w:after="0" w:line="18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Average Fair</w:t>
            </w:r>
          </w:p>
        </w:tc>
        <w:tc>
          <w:tcPr>
            <w:tcW w:w="0" w:type="dxa"/>
            <w:vAlign w:val="bottom"/>
          </w:tcPr>
          <w:p>
            <w:pPr>
              <w:spacing w:after="0"/>
              <w:rPr>
                <w:sz w:val="1"/>
                <w:szCs w:val="1"/>
                <w:color w:val="auto"/>
              </w:rPr>
            </w:pPr>
          </w:p>
        </w:tc>
      </w:tr>
      <w:tr>
        <w:trPr>
          <w:trHeight w:val="206"/>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at Grant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Value at Grant</w:t>
            </w:r>
          </w:p>
        </w:tc>
        <w:tc>
          <w:tcPr>
            <w:tcW w:w="0" w:type="dxa"/>
            <w:vAlign w:val="bottom"/>
          </w:tcPr>
          <w:p>
            <w:pPr>
              <w:spacing w:after="0"/>
              <w:rPr>
                <w:sz w:val="1"/>
                <w:szCs w:val="1"/>
                <w:color w:val="auto"/>
              </w:rPr>
            </w:pPr>
          </w:p>
        </w:tc>
      </w:tr>
      <w:tr>
        <w:trPr>
          <w:trHeight w:val="238"/>
        </w:trPr>
        <w:tc>
          <w:tcPr>
            <w:tcW w:w="336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D9D9D9"/>
            </w:tcBorders>
            <w:gridSpan w:val="2"/>
          </w:tcPr>
          <w:p>
            <w:pPr>
              <w:spacing w:after="0"/>
              <w:rPr>
                <w:sz w:val="20"/>
                <w:szCs w:val="20"/>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Date Per Share</w:t>
            </w:r>
          </w:p>
        </w:tc>
        <w:tc>
          <w:tcPr>
            <w:tcW w:w="26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D9D9D9"/>
            </w:tcBorders>
            <w:gridSpan w:val="2"/>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Per Share</w:t>
            </w:r>
          </w:p>
        </w:tc>
        <w:tc>
          <w:tcPr>
            <w:tcW w:w="10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at January 1</w:t>
            </w:r>
          </w:p>
        </w:tc>
        <w:tc>
          <w:tcPr>
            <w:tcW w:w="12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5,455,472</w:t>
            </w:r>
          </w:p>
        </w:tc>
        <w:tc>
          <w:tcPr>
            <w:tcW w:w="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500" w:type="dxa"/>
            <w:vAlign w:val="bottom"/>
            <w:gridSpan w:val="4"/>
            <w:shd w:val="clear" w:color="auto" w:fill="D9D9D9"/>
          </w:tcPr>
          <w:p>
            <w:pPr>
              <w:jc w:val="right"/>
              <w:ind w:right="280"/>
              <w:spacing w:after="0"/>
              <w:rPr>
                <w:sz w:val="20"/>
                <w:szCs w:val="20"/>
                <w:color w:val="auto"/>
              </w:rPr>
            </w:pPr>
            <w:r>
              <w:rPr>
                <w:rFonts w:ascii="Times New Roman" w:cs="Times New Roman" w:eastAsia="Times New Roman" w:hAnsi="Times New Roman"/>
                <w:sz w:val="20"/>
                <w:szCs w:val="20"/>
                <w:color w:val="auto"/>
              </w:rPr>
              <w:t>0.90</w:t>
            </w:r>
          </w:p>
        </w:tc>
        <w:tc>
          <w:tcPr>
            <w:tcW w:w="130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3,524,675</w:t>
            </w:r>
          </w:p>
        </w:tc>
        <w:tc>
          <w:tcPr>
            <w:tcW w:w="180" w:type="dxa"/>
            <w:vAlign w:val="bottom"/>
            <w:shd w:val="clear" w:color="auto" w:fill="D9D9D9"/>
          </w:tcPr>
          <w:p>
            <w:pPr>
              <w:spacing w:after="0"/>
              <w:rPr>
                <w:sz w:val="19"/>
                <w:szCs w:val="19"/>
                <w:color w:val="auto"/>
              </w:rPr>
            </w:pPr>
          </w:p>
        </w:tc>
        <w:tc>
          <w:tcPr>
            <w:tcW w:w="132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3,497,772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4"/>
          </w:tcPr>
          <w:p>
            <w:pPr>
              <w:jc w:val="right"/>
              <w:ind w:right="280"/>
              <w:spacing w:after="0"/>
              <w:rPr>
                <w:sz w:val="20"/>
                <w:szCs w:val="20"/>
                <w:color w:val="auto"/>
              </w:rPr>
            </w:pPr>
            <w:r>
              <w:rPr>
                <w:rFonts w:ascii="Times New Roman" w:cs="Times New Roman" w:eastAsia="Times New Roman" w:hAnsi="Times New Roman"/>
                <w:sz w:val="20"/>
                <w:szCs w:val="20"/>
                <w:color w:val="auto"/>
              </w:rPr>
              <w:t>0.65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4,195,363</w:t>
            </w:r>
          </w:p>
        </w:tc>
        <w:tc>
          <w:tcPr>
            <w:tcW w:w="18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Vested</w:t>
            </w:r>
          </w:p>
        </w:tc>
        <w:tc>
          <w:tcPr>
            <w:tcW w:w="12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(1,203,987</w:t>
            </w:r>
          </w:p>
        </w:tc>
        <w:tc>
          <w:tcPr>
            <w:tcW w:w="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D9D9D9"/>
          </w:tcPr>
          <w:p>
            <w:pPr>
              <w:spacing w:after="0"/>
              <w:rPr>
                <w:sz w:val="20"/>
                <w:szCs w:val="20"/>
                <w:color w:val="auto"/>
              </w:rPr>
            </w:pPr>
          </w:p>
        </w:tc>
        <w:tc>
          <w:tcPr>
            <w:tcW w:w="1500" w:type="dxa"/>
            <w:vAlign w:val="bottom"/>
            <w:gridSpan w:val="4"/>
            <w:shd w:val="clear" w:color="auto" w:fill="D9D9D9"/>
          </w:tcPr>
          <w:p>
            <w:pPr>
              <w:jc w:val="right"/>
              <w:ind w:right="280"/>
              <w:spacing w:after="0"/>
              <w:rPr>
                <w:sz w:val="20"/>
                <w:szCs w:val="20"/>
                <w:color w:val="auto"/>
              </w:rPr>
            </w:pPr>
            <w:r>
              <w:rPr>
                <w:rFonts w:ascii="Times New Roman" w:cs="Times New Roman" w:eastAsia="Times New Roman" w:hAnsi="Times New Roman"/>
                <w:sz w:val="20"/>
                <w:szCs w:val="20"/>
                <w:color w:val="auto"/>
              </w:rPr>
              <w:t>0.89</w:t>
            </w:r>
          </w:p>
        </w:tc>
        <w:tc>
          <w:tcPr>
            <w:tcW w:w="1300" w:type="dxa"/>
            <w:vAlign w:val="bottom"/>
            <w:gridSpan w:val="3"/>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(1,310,937)</w:t>
            </w:r>
          </w:p>
        </w:tc>
        <w:tc>
          <w:tcPr>
            <w:tcW w:w="180" w:type="dxa"/>
            <w:vAlign w:val="bottom"/>
            <w:shd w:val="clear" w:color="auto" w:fill="D9D9D9"/>
          </w:tcPr>
          <w:p>
            <w:pPr>
              <w:spacing w:after="0"/>
              <w:rPr>
                <w:sz w:val="20"/>
                <w:szCs w:val="20"/>
                <w:color w:val="auto"/>
              </w:rPr>
            </w:pPr>
          </w:p>
        </w:tc>
        <w:tc>
          <w:tcPr>
            <w:tcW w:w="132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09"/>
        </w:trPr>
        <w:tc>
          <w:tcPr>
            <w:tcW w:w="3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Cancelled</w:t>
            </w:r>
          </w:p>
        </w:tc>
        <w:tc>
          <w:tcPr>
            <w:tcW w:w="200" w:type="dxa"/>
            <w:vAlign w:val="bottom"/>
            <w:tcBorders>
              <w:top w:val="single" w:sz="8" w:color="D9D9D9"/>
            </w:tcBorders>
          </w:tcPr>
          <w:p>
            <w:pPr>
              <w:spacing w:after="0"/>
              <w:rPr>
                <w:sz w:val="18"/>
                <w:szCs w:val="18"/>
                <w:color w:val="auto"/>
              </w:rPr>
            </w:pPr>
          </w:p>
        </w:tc>
        <w:tc>
          <w:tcPr>
            <w:tcW w:w="80" w:type="dxa"/>
            <w:vAlign w:val="bottom"/>
            <w:tcBorders>
              <w:top w:val="single" w:sz="8" w:color="D9D9D9"/>
            </w:tcBorders>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(80,116)</w:t>
            </w:r>
          </w:p>
        </w:tc>
        <w:tc>
          <w:tcPr>
            <w:tcW w:w="80" w:type="dxa"/>
            <w:vAlign w:val="bottom"/>
          </w:tcPr>
          <w:p>
            <w:pPr>
              <w:spacing w:after="0"/>
              <w:rPr>
                <w:sz w:val="18"/>
                <w:szCs w:val="18"/>
                <w:color w:val="auto"/>
              </w:rPr>
            </w:pPr>
          </w:p>
        </w:tc>
        <w:tc>
          <w:tcPr>
            <w:tcW w:w="200" w:type="dxa"/>
            <w:vAlign w:val="bottom"/>
            <w:tcBorders>
              <w:top w:val="single" w:sz="8" w:color="D9D9D9"/>
            </w:tcBorders>
          </w:tcPr>
          <w:p>
            <w:pPr>
              <w:spacing w:after="0"/>
              <w:rPr>
                <w:sz w:val="18"/>
                <w:szCs w:val="18"/>
                <w:color w:val="auto"/>
              </w:rPr>
            </w:pPr>
          </w:p>
        </w:tc>
        <w:tc>
          <w:tcPr>
            <w:tcW w:w="80" w:type="dxa"/>
            <w:vAlign w:val="bottom"/>
            <w:tcBorders>
              <w:top w:val="single" w:sz="8" w:color="D9D9D9"/>
            </w:tcBorders>
          </w:tcPr>
          <w:p>
            <w:pPr>
              <w:spacing w:after="0"/>
              <w:rPr>
                <w:sz w:val="18"/>
                <w:szCs w:val="18"/>
                <w:color w:val="auto"/>
              </w:rPr>
            </w:pPr>
          </w:p>
        </w:tc>
        <w:tc>
          <w:tcPr>
            <w:tcW w:w="116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0.98</w:t>
            </w:r>
          </w:p>
        </w:tc>
        <w:tc>
          <w:tcPr>
            <w:tcW w:w="260" w:type="dxa"/>
            <w:vAlign w:val="bottom"/>
            <w:tcBorders>
              <w:top w:val="single" w:sz="8" w:color="D9D9D9"/>
            </w:tcBorders>
          </w:tcPr>
          <w:p>
            <w:pPr>
              <w:spacing w:after="0"/>
              <w:rPr>
                <w:sz w:val="18"/>
                <w:szCs w:val="18"/>
                <w:color w:val="auto"/>
              </w:rPr>
            </w:pPr>
          </w:p>
        </w:tc>
        <w:tc>
          <w:tcPr>
            <w:tcW w:w="80" w:type="dxa"/>
            <w:vAlign w:val="bottom"/>
            <w:tcBorders>
              <w:top w:val="single" w:sz="8" w:color="D9D9D9"/>
            </w:tcBorders>
          </w:tcPr>
          <w:p>
            <w:pPr>
              <w:spacing w:after="0"/>
              <w:rPr>
                <w:sz w:val="18"/>
                <w:szCs w:val="18"/>
                <w:color w:val="auto"/>
              </w:rPr>
            </w:pPr>
          </w:p>
        </w:tc>
        <w:tc>
          <w:tcPr>
            <w:tcW w:w="122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(953,629)</w:t>
            </w:r>
          </w:p>
        </w:tc>
        <w:tc>
          <w:tcPr>
            <w:tcW w:w="180" w:type="dxa"/>
            <w:vAlign w:val="bottom"/>
            <w:tcBorders>
              <w:top w:val="single" w:sz="8" w:color="D9D9D9"/>
            </w:tcBorders>
          </w:tcPr>
          <w:p>
            <w:pPr>
              <w:spacing w:after="0"/>
              <w:rPr>
                <w:sz w:val="18"/>
                <w:szCs w:val="18"/>
                <w:color w:val="auto"/>
              </w:rPr>
            </w:pPr>
          </w:p>
        </w:tc>
        <w:tc>
          <w:tcPr>
            <w:tcW w:w="100" w:type="dxa"/>
            <w:vAlign w:val="bottom"/>
            <w:tcBorders>
              <w:top w:val="single" w:sz="8" w:color="D9D9D9"/>
            </w:tcBorders>
          </w:tcPr>
          <w:p>
            <w:pPr>
              <w:spacing w:after="0"/>
              <w:rPr>
                <w:sz w:val="18"/>
                <w:szCs w:val="18"/>
                <w:color w:val="auto"/>
              </w:rPr>
            </w:pP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0.92</w:t>
            </w:r>
          </w:p>
        </w:tc>
        <w:tc>
          <w:tcPr>
            <w:tcW w:w="100" w:type="dxa"/>
            <w:vAlign w:val="bottom"/>
            <w:tcBorders>
              <w:top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336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at December 31</w:t>
            </w:r>
          </w:p>
        </w:tc>
        <w:tc>
          <w:tcPr>
            <w:tcW w:w="200" w:type="dxa"/>
            <w:vAlign w:val="bottom"/>
            <w:shd w:val="clear" w:color="auto" w:fill="D9D9D9"/>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200" w:type="dxa"/>
            <w:vAlign w:val="bottom"/>
            <w:shd w:val="clear" w:color="auto" w:fill="D9D9D9"/>
          </w:tcPr>
          <w:p>
            <w:pPr>
              <w:spacing w:after="0"/>
              <w:rPr>
                <w:sz w:val="2"/>
                <w:szCs w:val="2"/>
                <w:color w:val="auto"/>
              </w:rPr>
            </w:pPr>
          </w:p>
        </w:tc>
        <w:tc>
          <w:tcPr>
            <w:tcW w:w="1240" w:type="dxa"/>
            <w:vAlign w:val="bottom"/>
            <w:gridSpan w:val="3"/>
            <w:shd w:val="clear" w:color="auto" w:fill="000000"/>
          </w:tcPr>
          <w:p>
            <w:pPr>
              <w:spacing w:after="0"/>
              <w:rPr>
                <w:sz w:val="2"/>
                <w:szCs w:val="2"/>
                <w:color w:val="auto"/>
              </w:rPr>
            </w:pPr>
          </w:p>
        </w:tc>
        <w:tc>
          <w:tcPr>
            <w:tcW w:w="260" w:type="dxa"/>
            <w:vAlign w:val="bottom"/>
            <w:shd w:val="clear" w:color="auto" w:fill="D9D9D9"/>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vMerge w:val="continue"/>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2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7,669,141</w:t>
            </w:r>
          </w:p>
        </w:tc>
        <w:tc>
          <w:tcPr>
            <w:tcW w:w="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240" w:type="dxa"/>
            <w:vAlign w:val="bottom"/>
            <w:gridSpan w:val="3"/>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0.79</w:t>
            </w:r>
          </w:p>
        </w:tc>
        <w:tc>
          <w:tcPr>
            <w:tcW w:w="26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5,455,472</w:t>
            </w:r>
          </w:p>
        </w:tc>
        <w:tc>
          <w:tcPr>
            <w:tcW w:w="180" w:type="dxa"/>
            <w:vAlign w:val="bottom"/>
            <w:shd w:val="clear" w:color="auto" w:fill="D9D9D9"/>
          </w:tcPr>
          <w:p>
            <w:pPr>
              <w:spacing w:after="0"/>
              <w:rPr>
                <w:sz w:val="20"/>
                <w:szCs w:val="20"/>
                <w:color w:val="auto"/>
              </w:rPr>
            </w:pPr>
          </w:p>
        </w:tc>
        <w:tc>
          <w:tcPr>
            <w:tcW w:w="1320" w:type="dxa"/>
            <w:vAlign w:val="bottom"/>
            <w:gridSpan w:val="3"/>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0.90</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Total compensation expense related to unvested DSUs and RSUs not yet recognized was $3.8 million as of December 31, 2025, which is expected to be allocated to expenses over a weighted-average period of 2.5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Stock Units</w:t>
      </w:r>
    </w:p>
    <w:p>
      <w:pPr>
        <w:spacing w:after="0" w:line="24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During 2024, the Company awarded performance stock units, or PSUs, under the 2023 Plan to certain executive officers and key employees. The Company has awarded an aggregate of 1,894,985 PSUs, assuming target performance, and each PSU award can be earned and vested at the end of a three-year performance period based on the total stockholder return, or TSR, of the Company’s common stock price relative to a group of peer companies and subject to continued service to the Company. The number of shares of the Company’s common stock to be issued upon vesting and settlement of the PSUs range from 0% to 200% of the target number of shares underlying the award, depending on the Company’s performance against the group of peer companies.</w:t>
      </w:r>
    </w:p>
    <w:p>
      <w:pPr>
        <w:spacing w:after="0" w:line="20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During 2025, the Company awarded PSUs under the 2023 Plan to certain executive officers and key employees. The Company awarded 1,699,402 PSUs, assuming target performance, and each PSU award can be earned at the end of each of the three one-year performance periods based on stock appreciation goals and subject to continued service to the Company. After each one-year performance period, the amount earned in that period will vest equally over the remaining service periods. The number of shares of the Company’s common stock or DSUs to be issued upon vesting and settlement of the PSUs range from 0% to 200% of the target number of shares underlying the award, depending on the Company’s performance against the stock appreciation goals set forth in the awards.</w:t>
      </w:r>
    </w:p>
    <w:p>
      <w:pPr>
        <w:spacing w:after="0" w:line="18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Activity for PSU awards granted under the 2023 Plan, assuming target performance, was as follows for the years ended December 31, 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3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08"/>
        </w:trPr>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Average Fair</w:t>
            </w:r>
          </w:p>
        </w:tc>
      </w:tr>
      <w:tr>
        <w:trPr>
          <w:trHeight w:val="237"/>
        </w:trPr>
        <w:tc>
          <w:tcPr>
            <w:tcW w:w="3560" w:type="dxa"/>
            <w:vAlign w:val="bottom"/>
            <w:tcBorders>
              <w:bottom w:val="single" w:sz="8" w:color="D9D9D9"/>
            </w:tcBorders>
          </w:tcPr>
          <w:p>
            <w:pPr>
              <w:spacing w:after="0"/>
              <w:rPr>
                <w:sz w:val="20"/>
                <w:szCs w:val="20"/>
                <w:color w:val="auto"/>
              </w:rPr>
            </w:pPr>
          </w:p>
        </w:tc>
        <w:tc>
          <w:tcPr>
            <w:tcW w:w="12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0"/>
                <w:szCs w:val="20"/>
                <w:color w:val="auto"/>
              </w:rPr>
            </w:pPr>
          </w:p>
        </w:tc>
        <w:tc>
          <w:tcPr>
            <w:tcW w:w="260" w:type="dxa"/>
            <w:vAlign w:val="bottom"/>
            <w:tcBorders>
              <w:bottom w:val="single" w:sz="8" w:color="D9D9D9"/>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Borders>
              <w:bottom w:val="single" w:sz="8" w:color="D9D9D9"/>
            </w:tcBorders>
          </w:tcPr>
          <w:p>
            <w:pPr>
              <w:spacing w:after="0"/>
              <w:rPr>
                <w:sz w:val="20"/>
                <w:szCs w:val="20"/>
                <w:color w:val="auto"/>
              </w:rPr>
            </w:pPr>
          </w:p>
        </w:tc>
        <w:tc>
          <w:tcPr>
            <w:tcW w:w="12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Borders>
              <w:bottom w:val="single" w:sz="8" w:color="D9D9D9"/>
            </w:tcBorders>
          </w:tcPr>
          <w:p>
            <w:pPr>
              <w:spacing w:after="0"/>
              <w:rPr>
                <w:sz w:val="20"/>
                <w:szCs w:val="20"/>
                <w:color w:val="auto"/>
              </w:rPr>
            </w:pPr>
          </w:p>
        </w:tc>
      </w:tr>
      <w:tr>
        <w:trPr>
          <w:trHeight w:val="230"/>
        </w:trPr>
        <w:tc>
          <w:tcPr>
            <w:tcW w:w="35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at January 1</w:t>
            </w:r>
          </w:p>
        </w:tc>
        <w:tc>
          <w:tcPr>
            <w:tcW w:w="12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1,640,709</w:t>
            </w:r>
          </w:p>
        </w:tc>
        <w:tc>
          <w:tcPr>
            <w:tcW w:w="20" w:type="dxa"/>
            <w:vAlign w:val="bottom"/>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1440" w:type="dxa"/>
            <w:vAlign w:val="bottom"/>
            <w:gridSpan w:val="3"/>
            <w:shd w:val="clear" w:color="auto" w:fill="D9D9D9"/>
          </w:tcPr>
          <w:p>
            <w:pPr>
              <w:jc w:val="right"/>
              <w:ind w:right="280"/>
              <w:spacing w:after="0"/>
              <w:rPr>
                <w:sz w:val="20"/>
                <w:szCs w:val="20"/>
                <w:color w:val="auto"/>
              </w:rPr>
            </w:pPr>
            <w:r>
              <w:rPr>
                <w:rFonts w:ascii="Times New Roman" w:cs="Times New Roman" w:eastAsia="Times New Roman" w:hAnsi="Times New Roman"/>
                <w:sz w:val="20"/>
                <w:szCs w:val="20"/>
                <w:color w:val="auto"/>
              </w:rPr>
              <w:t>1.49</w:t>
            </w:r>
          </w:p>
        </w:tc>
        <w:tc>
          <w:tcPr>
            <w:tcW w:w="12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1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1,699,402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0.84</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1,894,985</w:t>
            </w:r>
          </w:p>
        </w:tc>
        <w:tc>
          <w:tcPr>
            <w:tcW w:w="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1.49</w:t>
            </w:r>
          </w:p>
        </w:tc>
      </w:tr>
      <w:tr>
        <w:trPr>
          <w:trHeight w:val="239"/>
        </w:trPr>
        <w:tc>
          <w:tcPr>
            <w:tcW w:w="356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Forfeited</w:t>
            </w:r>
          </w:p>
        </w:tc>
        <w:tc>
          <w:tcPr>
            <w:tcW w:w="12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60" w:type="dxa"/>
            <w:vAlign w:val="bottom"/>
            <w:tcBorders>
              <w:bottom w:val="single" w:sz="8" w:color="D9D9D9"/>
            </w:tcBorders>
            <w:shd w:val="clear" w:color="auto" w:fill="D9D9D9"/>
          </w:tcPr>
          <w:p>
            <w:pPr>
              <w:spacing w:after="0"/>
              <w:rPr>
                <w:sz w:val="20"/>
                <w:szCs w:val="20"/>
                <w:color w:val="auto"/>
              </w:rPr>
            </w:pPr>
          </w:p>
        </w:tc>
        <w:tc>
          <w:tcPr>
            <w:tcW w:w="60" w:type="dxa"/>
            <w:vAlign w:val="bottom"/>
            <w:tcBorders>
              <w:bottom w:val="single" w:sz="8" w:color="auto"/>
            </w:tcBorders>
            <w:shd w:val="clear" w:color="auto" w:fill="D9D9D9"/>
          </w:tcPr>
          <w:p>
            <w:pPr>
              <w:spacing w:after="0"/>
              <w:rPr>
                <w:sz w:val="20"/>
                <w:szCs w:val="20"/>
                <w:color w:val="auto"/>
              </w:rPr>
            </w:pPr>
          </w:p>
        </w:tc>
        <w:tc>
          <w:tcPr>
            <w:tcW w:w="1180" w:type="dxa"/>
            <w:vAlign w:val="bottom"/>
            <w:tcBorders>
              <w:bottom w:val="single" w:sz="8" w:color="auto"/>
            </w:tcBorders>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9D9D9"/>
            </w:tcBorders>
            <w:shd w:val="clear" w:color="auto" w:fill="D9D9D9"/>
          </w:tcPr>
          <w:p>
            <w:pPr>
              <w:spacing w:after="0"/>
              <w:rPr>
                <w:sz w:val="20"/>
                <w:szCs w:val="20"/>
                <w:color w:val="auto"/>
              </w:rPr>
            </w:pPr>
          </w:p>
        </w:tc>
        <w:tc>
          <w:tcPr>
            <w:tcW w:w="12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(254,276)</w:t>
            </w:r>
          </w:p>
        </w:tc>
        <w:tc>
          <w:tcPr>
            <w:tcW w:w="28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auto"/>
            </w:tcBorders>
            <w:shd w:val="clear" w:color="auto" w:fill="D9D9D9"/>
          </w:tcPr>
          <w:p>
            <w:pPr>
              <w:spacing w:after="0"/>
              <w:rPr>
                <w:sz w:val="20"/>
                <w:szCs w:val="20"/>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00" w:type="dxa"/>
            <w:vAlign w:val="bottom"/>
            <w:tcBorders>
              <w:bottom w:val="single" w:sz="8" w:color="D9D9D9"/>
            </w:tcBorders>
            <w:shd w:val="clear" w:color="auto" w:fill="D9D9D9"/>
          </w:tcPr>
          <w:p>
            <w:pPr>
              <w:spacing w:after="0"/>
              <w:rPr>
                <w:sz w:val="20"/>
                <w:szCs w:val="20"/>
                <w:color w:val="auto"/>
              </w:rPr>
            </w:pPr>
          </w:p>
        </w:tc>
      </w:tr>
      <w:tr>
        <w:trPr>
          <w:trHeight w:val="267"/>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3,340,111</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1.16</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1,640,709</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0" w:right="1440" w:bottom="175" w:gutter="0" w:footer="0" w:header="0"/>
          <w:type w:val="continuous"/>
        </w:sectPr>
      </w:pPr>
    </w:p>
    <w:bookmarkStart w:id="87" w:name="page88"/>
    <w:bookmarkEnd w:id="87"/>
    <w:p>
      <w:pPr>
        <w:ind w:right="20" w:firstLine="720"/>
        <w:spacing w:after="0" w:line="278" w:lineRule="auto"/>
        <w:rPr>
          <w:sz w:val="20"/>
          <w:szCs w:val="20"/>
          <w:color w:val="auto"/>
        </w:rPr>
      </w:pPr>
      <w:r>
        <w:rPr>
          <w:rFonts w:ascii="Times New Roman" w:cs="Times New Roman" w:eastAsia="Times New Roman" w:hAnsi="Times New Roman"/>
          <w:sz w:val="20"/>
          <w:szCs w:val="20"/>
          <w:color w:val="auto"/>
        </w:rPr>
        <w:t>The fair value of the PSUs was estimated using a Monte Carlo simulation model and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Borders>
              <w:bottom w:val="single" w:sz="8" w:color="D9D9D9"/>
            </w:tcBorders>
          </w:tcPr>
          <w:p>
            <w:pPr>
              <w:spacing w:after="0"/>
              <w:rPr>
                <w:sz w:val="20"/>
                <w:szCs w:val="20"/>
                <w:color w:val="auto"/>
              </w:rPr>
            </w:pPr>
          </w:p>
        </w:tc>
        <w:tc>
          <w:tcPr>
            <w:tcW w:w="14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D9D9D9"/>
            </w:tcBorders>
          </w:tcPr>
          <w:p>
            <w:pPr>
              <w:spacing w:after="0"/>
              <w:rPr>
                <w:sz w:val="20"/>
                <w:szCs w:val="20"/>
                <w:color w:val="auto"/>
              </w:rPr>
            </w:pPr>
          </w:p>
        </w:tc>
        <w:tc>
          <w:tcPr>
            <w:tcW w:w="14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D9D9D9"/>
            </w:tcBorders>
          </w:tcPr>
          <w:p>
            <w:pPr>
              <w:spacing w:after="0"/>
              <w:rPr>
                <w:sz w:val="20"/>
                <w:szCs w:val="20"/>
                <w:color w:val="auto"/>
              </w:rPr>
            </w:pPr>
          </w:p>
        </w:tc>
      </w:tr>
      <w:tr>
        <w:trPr>
          <w:trHeight w:val="258"/>
        </w:trPr>
        <w:tc>
          <w:tcPr>
            <w:tcW w:w="5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Company volatility</w:t>
            </w:r>
          </w:p>
        </w:tc>
        <w:tc>
          <w:tcPr>
            <w:tcW w:w="1840" w:type="dxa"/>
            <w:vAlign w:val="bottom"/>
            <w:gridSpan w:val="2"/>
            <w:shd w:val="clear" w:color="auto" w:fill="D9D9D9"/>
          </w:tcPr>
          <w:p>
            <w:pPr>
              <w:jc w:val="right"/>
              <w:ind w:right="240"/>
              <w:spacing w:after="0"/>
              <w:rPr>
                <w:sz w:val="20"/>
                <w:szCs w:val="20"/>
                <w:color w:val="auto"/>
              </w:rPr>
            </w:pPr>
            <w:r>
              <w:rPr>
                <w:rFonts w:ascii="Times New Roman" w:cs="Times New Roman" w:eastAsia="Times New Roman" w:hAnsi="Times New Roman"/>
                <w:sz w:val="20"/>
                <w:szCs w:val="20"/>
                <w:color w:val="auto"/>
              </w:rPr>
              <w:t>78%</w:t>
            </w:r>
          </w:p>
        </w:tc>
        <w:tc>
          <w:tcPr>
            <w:tcW w:w="14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93.34</w:t>
            </w:r>
          </w:p>
        </w:tc>
        <w:tc>
          <w:tcPr>
            <w:tcW w:w="2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w w:val="95"/>
              </w:rPr>
              <w:t>%</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4.53 %</w:t>
            </w:r>
          </w:p>
        </w:tc>
      </w:tr>
      <w:tr>
        <w:trPr>
          <w:trHeight w:val="229"/>
        </w:trPr>
        <w:tc>
          <w:tcPr>
            <w:tcW w:w="5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Initial stock price</w:t>
            </w:r>
          </w:p>
        </w:tc>
        <w:tc>
          <w:tcPr>
            <w:tcW w:w="1840" w:type="dxa"/>
            <w:vAlign w:val="bottom"/>
            <w:gridSpan w:val="2"/>
            <w:shd w:val="clear" w:color="auto" w:fill="D9D9D9"/>
          </w:tcPr>
          <w:p>
            <w:pPr>
              <w:jc w:val="right"/>
              <w:ind w:right="400"/>
              <w:spacing w:after="0"/>
              <w:rPr>
                <w:sz w:val="20"/>
                <w:szCs w:val="20"/>
                <w:color w:val="auto"/>
              </w:rPr>
            </w:pPr>
            <w:r>
              <w:rPr>
                <w:rFonts w:ascii="Times New Roman" w:cs="Times New Roman" w:eastAsia="Times New Roman" w:hAnsi="Times New Roman"/>
                <w:sz w:val="20"/>
                <w:szCs w:val="20"/>
                <w:color w:val="auto"/>
              </w:rPr>
              <w:t>$0.6521</w:t>
            </w:r>
          </w:p>
        </w:tc>
        <w:tc>
          <w:tcPr>
            <w:tcW w:w="168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Correlation with index</w:t>
            </w: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Not applicable</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200" w:type="dxa"/>
            <w:vAlign w:val="bottom"/>
          </w:tcPr>
          <w:p>
            <w:pPr>
              <w:spacing w:after="0"/>
              <w:rPr>
                <w:sz w:val="20"/>
                <w:szCs w:val="20"/>
                <w:color w:val="auto"/>
              </w:rPr>
            </w:pPr>
          </w:p>
        </w:tc>
      </w:tr>
      <w:tr>
        <w:trPr>
          <w:trHeight w:val="230"/>
        </w:trPr>
        <w:tc>
          <w:tcPr>
            <w:tcW w:w="5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840" w:type="dxa"/>
            <w:vAlign w:val="bottom"/>
            <w:gridSpan w:val="2"/>
            <w:shd w:val="clear" w:color="auto" w:fill="D9D9D9"/>
          </w:tcPr>
          <w:p>
            <w:pPr>
              <w:jc w:val="right"/>
              <w:ind w:right="240"/>
              <w:spacing w:after="0"/>
              <w:rPr>
                <w:sz w:val="20"/>
                <w:szCs w:val="20"/>
                <w:color w:val="auto"/>
              </w:rPr>
            </w:pPr>
            <w:r>
              <w:rPr>
                <w:rFonts w:ascii="Times New Roman" w:cs="Times New Roman" w:eastAsia="Times New Roman" w:hAnsi="Times New Roman"/>
                <w:sz w:val="20"/>
                <w:szCs w:val="20"/>
                <w:color w:val="auto"/>
              </w:rPr>
              <w:t>0%</w:t>
            </w:r>
          </w:p>
        </w:tc>
        <w:tc>
          <w:tcPr>
            <w:tcW w:w="168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0 %</w:t>
            </w:r>
          </w:p>
        </w:tc>
      </w:tr>
      <w:tr>
        <w:trPr>
          <w:trHeight w:val="210"/>
        </w:trPr>
        <w:tc>
          <w:tcPr>
            <w:tcW w:w="5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unique to each</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Volatility of peer companies</w:t>
            </w: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Not applicable</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company in the</w:t>
            </w:r>
          </w:p>
        </w:tc>
      </w:tr>
      <w:tr>
        <w:trPr>
          <w:trHeight w:val="267"/>
        </w:trPr>
        <w:tc>
          <w:tcPr>
            <w:tcW w:w="58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simulation</w:t>
            </w:r>
          </w:p>
        </w:tc>
      </w:tr>
    </w:tbl>
    <w:p>
      <w:pPr>
        <w:spacing w:after="0" w:line="203"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The total compensation cost related to unvested PSUs was $2.4 million as of December 31, 2025, which is expected to be allocated to expenses over a weighted-average period of 2.2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Warrants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Warrant activity was as follows for the years ended December 31, 2025 and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7"/>
        </w:trPr>
        <w:tc>
          <w:tcPr>
            <w:tcW w:w="562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6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80" w:type="dxa"/>
            <w:vAlign w:val="bottom"/>
            <w:tcBorders>
              <w:bottom w:val="single" w:sz="8" w:color="D9D9D9"/>
            </w:tcBorders>
            <w:gridSpan w:val="2"/>
          </w:tcPr>
          <w:p>
            <w:pPr>
              <w:spacing w:after="0"/>
              <w:rPr>
                <w:sz w:val="20"/>
                <w:szCs w:val="20"/>
                <w:color w:val="auto"/>
              </w:rPr>
            </w:pPr>
          </w:p>
        </w:tc>
        <w:tc>
          <w:tcPr>
            <w:tcW w:w="1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Borders>
              <w:bottom w:val="single" w:sz="8" w:color="D9D9D9"/>
            </w:tcBorders>
          </w:tcPr>
          <w:p>
            <w:pPr>
              <w:spacing w:after="0"/>
              <w:rPr>
                <w:sz w:val="20"/>
                <w:szCs w:val="20"/>
                <w:color w:val="auto"/>
              </w:rPr>
            </w:pPr>
          </w:p>
        </w:tc>
      </w:tr>
      <w:tr>
        <w:trPr>
          <w:trHeight w:val="230"/>
        </w:trPr>
        <w:tc>
          <w:tcPr>
            <w:tcW w:w="580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8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12,187,470</w:t>
            </w:r>
          </w:p>
        </w:tc>
        <w:tc>
          <w:tcPr>
            <w:tcW w:w="20" w:type="dxa"/>
            <w:vAlign w:val="bottom"/>
            <w:shd w:val="clear" w:color="auto" w:fill="D9D9D9"/>
          </w:tcPr>
          <w:p>
            <w:pPr>
              <w:spacing w:after="0"/>
              <w:rPr>
                <w:sz w:val="20"/>
                <w:szCs w:val="20"/>
                <w:color w:val="auto"/>
              </w:rPr>
            </w:pPr>
          </w:p>
        </w:tc>
        <w:tc>
          <w:tcPr>
            <w:tcW w:w="15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00" w:type="dxa"/>
            <w:vAlign w:val="bottom"/>
            <w:shd w:val="clear" w:color="auto" w:fill="D9D9D9"/>
          </w:tcPr>
          <w:p>
            <w:pPr>
              <w:spacing w:after="0"/>
              <w:rPr>
                <w:sz w:val="20"/>
                <w:szCs w:val="20"/>
                <w:color w:val="auto"/>
              </w:rPr>
            </w:pPr>
          </w:p>
        </w:tc>
      </w:tr>
      <w:tr>
        <w:trPr>
          <w:trHeight w:val="229"/>
        </w:trPr>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Issued</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50,000</w:t>
            </w:r>
          </w:p>
        </w:tc>
        <w:tc>
          <w:tcPr>
            <w:tcW w:w="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0.82</w:t>
            </w:r>
          </w:p>
        </w:tc>
        <w:tc>
          <w:tcPr>
            <w:tcW w:w="100" w:type="dxa"/>
            <w:vAlign w:val="bottom"/>
          </w:tcPr>
          <w:p>
            <w:pPr>
              <w:spacing w:after="0"/>
              <w:rPr>
                <w:sz w:val="19"/>
                <w:szCs w:val="19"/>
                <w:color w:val="auto"/>
              </w:rPr>
            </w:pPr>
          </w:p>
        </w:tc>
      </w:tr>
      <w:tr>
        <w:trPr>
          <w:trHeight w:val="230"/>
        </w:trPr>
        <w:tc>
          <w:tcPr>
            <w:tcW w:w="5800" w:type="dxa"/>
            <w:vAlign w:val="bottom"/>
            <w:gridSpan w:val="3"/>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8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12,237,470</w:t>
            </w:r>
          </w:p>
        </w:tc>
        <w:tc>
          <w:tcPr>
            <w:tcW w:w="20" w:type="dxa"/>
            <w:vAlign w:val="bottom"/>
            <w:shd w:val="clear" w:color="auto" w:fill="D9D9D9"/>
          </w:tcPr>
          <w:p>
            <w:pPr>
              <w:spacing w:after="0"/>
              <w:rPr>
                <w:sz w:val="20"/>
                <w:szCs w:val="20"/>
                <w:color w:val="auto"/>
              </w:rPr>
            </w:pPr>
          </w:p>
        </w:tc>
        <w:tc>
          <w:tcPr>
            <w:tcW w:w="15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00" w:type="dxa"/>
            <w:vAlign w:val="bottom"/>
            <w:shd w:val="clear" w:color="auto" w:fill="D9D9D9"/>
          </w:tcPr>
          <w:p>
            <w:pPr>
              <w:spacing w:after="0"/>
              <w:rPr>
                <w:sz w:val="20"/>
                <w:szCs w:val="20"/>
                <w:color w:val="auto"/>
              </w:rPr>
            </w:pPr>
          </w:p>
        </w:tc>
      </w:tr>
      <w:tr>
        <w:trPr>
          <w:trHeight w:val="240"/>
        </w:trPr>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Issued</w:t>
            </w: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73"/>
        </w:trPr>
        <w:tc>
          <w:tcPr>
            <w:tcW w:w="562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6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12,237,470</w:t>
            </w:r>
          </w:p>
        </w:tc>
        <w:tc>
          <w:tcPr>
            <w:tcW w:w="2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5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00" w:type="dxa"/>
            <w:vAlign w:val="bottom"/>
            <w:tcBorders>
              <w:top w:val="single" w:sz="8" w:color="D9D9D9"/>
              <w:bottom w:val="single" w:sz="8" w:color="D9D9D9"/>
            </w:tcBorders>
            <w:shd w:val="clear" w:color="auto" w:fill="D9D9D9"/>
          </w:tcPr>
          <w:p>
            <w:pPr>
              <w:spacing w:after="0"/>
              <w:rPr>
                <w:sz w:val="23"/>
                <w:szCs w:val="23"/>
                <w:color w:val="auto"/>
              </w:rPr>
            </w:pPr>
          </w:p>
        </w:tc>
      </w:tr>
    </w:tbl>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As of December 31, 2025, the weighted average remaining contractual term of outstanding warrants was 0.8</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years.</w:t>
      </w:r>
    </w:p>
    <w:p>
      <w:pPr>
        <w:spacing w:after="0" w:line="207" w:lineRule="exact"/>
        <w:rPr>
          <w:sz w:val="20"/>
          <w:szCs w:val="20"/>
          <w:color w:val="auto"/>
        </w:rPr>
      </w:pPr>
    </w:p>
    <w:p>
      <w:pPr>
        <w:ind w:right="6160"/>
        <w:spacing w:after="0" w:line="492" w:lineRule="auto"/>
        <w:tabs>
          <w:tab w:leader="none" w:pos="384"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 Operating Leases</w:t>
      </w:r>
    </w:p>
    <w:p>
      <w:pPr>
        <w:spacing w:after="0" w:line="1"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color w:val="auto"/>
        </w:rPr>
        <w:t>We currently lease various office facilities. These leases are under non-cancelable operating lease agreements with expiration dates in 2030. We have the option for certain leases to extend for one or two five-year term(s) and we have the right of first refusal on any sale.</w:t>
      </w:r>
    </w:p>
    <w:p>
      <w:pPr>
        <w:spacing w:after="0" w:line="185"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 Company leases contain common area maintenance or security agreements.</w:t>
      </w:r>
    </w:p>
    <w:p>
      <w:pPr>
        <w:spacing w:after="0" w:line="200"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We have made certain assumptions and judgments when applying ASC 842, the most significant of which is that we elected the package of practical expedients available for transition, which allow us to not reassess whether expired or existing contracts contain leases under the new definition of a lease, lease classification for expired or existing leases, and whether previously capitalized initial direct costs would qualify for capitalization under ASC 842. Additionally, we did not elect to use hindsight when considering judgments and estimates such as assessments of lessee options to extend or terminate a lease or purchase the underlying asset.</w:t>
      </w:r>
    </w:p>
    <w:p>
      <w:pPr>
        <w:spacing w:after="0" w:line="200"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As of December 31, 2025, the weighted -average remaining lease term was 4.9 years. Lease expense related to operating leases was $1.2 million and $0.9 million for the years ended December 31, 2025 and 2024. The</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80"/>
          </w:cols>
          <w:pgMar w:left="1440" w:top="1420" w:right="1420" w:bottom="175" w:gutter="0" w:footer="0" w:header="0"/>
          <w:type w:val="continuous"/>
        </w:sectPr>
      </w:pPr>
    </w:p>
    <w:bookmarkStart w:id="88" w:name="page89"/>
    <w:bookmarkEnd w:id="88"/>
    <w:p>
      <w:pPr>
        <w:jc w:val="both"/>
        <w:spacing w:after="0" w:line="252" w:lineRule="auto"/>
        <w:rPr>
          <w:sz w:val="20"/>
          <w:szCs w:val="20"/>
          <w:color w:val="auto"/>
        </w:rPr>
      </w:pPr>
      <w:r>
        <w:rPr>
          <w:rFonts w:ascii="Times New Roman" w:cs="Times New Roman" w:eastAsia="Times New Roman" w:hAnsi="Times New Roman"/>
          <w:sz w:val="20"/>
          <w:szCs w:val="20"/>
          <w:color w:val="auto"/>
        </w:rPr>
        <w:t>Company’s lease agreements do not provide a readily determinable implicit rate nor is one available to the Company from its lessors. Instead, during the year ended December 31, 2025, the Company estimates the weighted-average discount rate for its operating leases to be between 10.93% and 12.46% to discount future cash flows to present value based on the incremental borrowing rate.</w:t>
      </w:r>
    </w:p>
    <w:p>
      <w:pPr>
        <w:spacing w:after="0" w:line="19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Future minimum payments as of December 31, 2025 under these long-term operating leases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2026</w:t>
            </w:r>
          </w:p>
        </w:tc>
        <w:tc>
          <w:tcPr>
            <w:tcW w:w="820" w:type="dxa"/>
            <w:vAlign w:val="bottom"/>
            <w:gridSpan w:val="3"/>
            <w:shd w:val="clear" w:color="auto" w:fill="D9D9D9"/>
          </w:tcPr>
          <w:p>
            <w:pPr>
              <w:jc w:val="right"/>
              <w:ind w:right="43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927</w:t>
            </w:r>
          </w:p>
        </w:tc>
      </w:tr>
      <w:tr>
        <w:trPr>
          <w:trHeight w:val="209"/>
        </w:trPr>
        <w:tc>
          <w:tcPr>
            <w:tcW w:w="74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18"/>
                <w:szCs w:val="18"/>
                <w:color w:val="auto"/>
              </w:rPr>
            </w:pPr>
          </w:p>
        </w:tc>
        <w:tc>
          <w:tcPr>
            <w:tcW w:w="20" w:type="dxa"/>
            <w:vAlign w:val="bottom"/>
            <w:tcBorders>
              <w:top w:val="single" w:sz="8" w:color="D9D9D9"/>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845</w:t>
            </w:r>
          </w:p>
        </w:tc>
        <w:tc>
          <w:tcPr>
            <w:tcW w:w="100" w:type="dxa"/>
            <w:vAlign w:val="bottom"/>
          </w:tcPr>
          <w:p>
            <w:pPr>
              <w:spacing w:after="0"/>
              <w:rPr>
                <w:sz w:val="18"/>
                <w:szCs w:val="18"/>
                <w:color w:val="auto"/>
              </w:rPr>
            </w:pPr>
          </w:p>
        </w:tc>
      </w:tr>
      <w:tr>
        <w:trPr>
          <w:trHeight w:val="240"/>
        </w:trPr>
        <w:tc>
          <w:tcPr>
            <w:tcW w:w="74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600" w:type="dxa"/>
            <w:vAlign w:val="bottom"/>
            <w:tcBorders>
              <w:bottom w:val="single" w:sz="8" w:color="D9D9D9"/>
            </w:tcBorders>
            <w:shd w:val="clear" w:color="auto" w:fill="D9D9D9"/>
          </w:tcPr>
          <w:p>
            <w:pPr>
              <w:spacing w:after="0"/>
              <w:rPr>
                <w:sz w:val="20"/>
                <w:szCs w:val="20"/>
                <w:color w:val="auto"/>
              </w:rPr>
            </w:pPr>
          </w:p>
        </w:tc>
        <w:tc>
          <w:tcPr>
            <w:tcW w:w="96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857</w:t>
            </w:r>
          </w:p>
        </w:tc>
        <w:tc>
          <w:tcPr>
            <w:tcW w:w="100" w:type="dxa"/>
            <w:vAlign w:val="bottom"/>
            <w:tcBorders>
              <w:bottom w:val="single" w:sz="8" w:color="D9D9D9"/>
            </w:tcBorders>
            <w:shd w:val="clear" w:color="auto" w:fill="D9D9D9"/>
          </w:tcPr>
          <w:p>
            <w:pPr>
              <w:spacing w:after="0"/>
              <w:rPr>
                <w:sz w:val="20"/>
                <w:szCs w:val="20"/>
                <w:color w:val="auto"/>
              </w:rPr>
            </w:pPr>
          </w:p>
        </w:tc>
      </w:tr>
      <w:tr>
        <w:trPr>
          <w:trHeight w:val="26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w:t>
            </w:r>
          </w:p>
        </w:tc>
        <w:tc>
          <w:tcPr>
            <w:tcW w:w="100" w:type="dxa"/>
            <w:vAlign w:val="bottom"/>
          </w:tcPr>
          <w:p>
            <w:pPr>
              <w:spacing w:after="0"/>
              <w:rPr>
                <w:sz w:val="22"/>
                <w:szCs w:val="22"/>
                <w:color w:val="auto"/>
              </w:rPr>
            </w:pPr>
          </w:p>
        </w:tc>
      </w:tr>
      <w:tr>
        <w:trPr>
          <w:trHeight w:val="239"/>
        </w:trPr>
        <w:tc>
          <w:tcPr>
            <w:tcW w:w="74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600" w:type="dxa"/>
            <w:vAlign w:val="bottom"/>
            <w:tcBorders>
              <w:bottom w:val="single" w:sz="8" w:color="auto"/>
            </w:tcBorders>
            <w:shd w:val="clear" w:color="auto" w:fill="D9D9D9"/>
          </w:tcPr>
          <w:p>
            <w:pPr>
              <w:spacing w:after="0"/>
              <w:rPr>
                <w:sz w:val="20"/>
                <w:szCs w:val="20"/>
                <w:color w:val="auto"/>
              </w:rPr>
            </w:pPr>
          </w:p>
        </w:tc>
        <w:tc>
          <w:tcPr>
            <w:tcW w:w="9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100" w:type="dxa"/>
            <w:vAlign w:val="bottom"/>
            <w:tcBorders>
              <w:bottom w:val="single" w:sz="8" w:color="D9D9D9"/>
            </w:tcBorders>
            <w:shd w:val="clear" w:color="auto" w:fill="D9D9D9"/>
          </w:tcPr>
          <w:p>
            <w:pPr>
              <w:spacing w:after="0"/>
              <w:rPr>
                <w:sz w:val="20"/>
                <w:szCs w:val="20"/>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4,192</w:t>
            </w:r>
          </w:p>
        </w:tc>
        <w:tc>
          <w:tcPr>
            <w:tcW w:w="100" w:type="dxa"/>
            <w:vAlign w:val="bottom"/>
          </w:tcPr>
          <w:p>
            <w:pPr>
              <w:spacing w:after="0"/>
              <w:rPr>
                <w:sz w:val="20"/>
                <w:szCs w:val="20"/>
                <w:color w:val="auto"/>
              </w:rPr>
            </w:pPr>
          </w:p>
        </w:tc>
      </w:tr>
      <w:tr>
        <w:trPr>
          <w:trHeight w:val="239"/>
        </w:trPr>
        <w:tc>
          <w:tcPr>
            <w:tcW w:w="74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Less: amount representing interest</w:t>
            </w:r>
          </w:p>
        </w:tc>
        <w:tc>
          <w:tcPr>
            <w:tcW w:w="20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600" w:type="dxa"/>
            <w:vAlign w:val="bottom"/>
            <w:tcBorders>
              <w:bottom w:val="single" w:sz="8" w:color="auto"/>
            </w:tcBorders>
            <w:shd w:val="clear" w:color="auto" w:fill="D9D9D9"/>
          </w:tcPr>
          <w:p>
            <w:pPr>
              <w:spacing w:after="0"/>
              <w:rPr>
                <w:sz w:val="20"/>
                <w:szCs w:val="20"/>
                <w:color w:val="auto"/>
              </w:rPr>
            </w:pPr>
          </w:p>
        </w:tc>
        <w:tc>
          <w:tcPr>
            <w:tcW w:w="9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100" w:type="dxa"/>
            <w:vAlign w:val="bottom"/>
            <w:tcBorders>
              <w:bottom w:val="single" w:sz="8" w:color="D9D9D9"/>
            </w:tcBorders>
            <w:shd w:val="clear" w:color="auto" w:fill="D9D9D9"/>
          </w:tcPr>
          <w:p>
            <w:pPr>
              <w:spacing w:after="0"/>
              <w:rPr>
                <w:sz w:val="20"/>
                <w:szCs w:val="20"/>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obligations under operating leases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3,287</w:t>
            </w:r>
          </w:p>
        </w:tc>
        <w:tc>
          <w:tcPr>
            <w:tcW w:w="100" w:type="dxa"/>
            <w:vAlign w:val="bottom"/>
          </w:tcPr>
          <w:p>
            <w:pPr>
              <w:spacing w:after="0"/>
              <w:rPr>
                <w:sz w:val="20"/>
                <w:szCs w:val="20"/>
                <w:color w:val="auto"/>
              </w:rPr>
            </w:pPr>
          </w:p>
        </w:tc>
      </w:tr>
      <w:tr>
        <w:trPr>
          <w:trHeight w:val="240"/>
        </w:trPr>
        <w:tc>
          <w:tcPr>
            <w:tcW w:w="74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20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600" w:type="dxa"/>
            <w:vAlign w:val="bottom"/>
            <w:tcBorders>
              <w:bottom w:val="single" w:sz="8" w:color="auto"/>
            </w:tcBorders>
            <w:shd w:val="clear" w:color="auto" w:fill="D9D9D9"/>
          </w:tcPr>
          <w:p>
            <w:pPr>
              <w:spacing w:after="0"/>
              <w:rPr>
                <w:sz w:val="20"/>
                <w:szCs w:val="20"/>
                <w:color w:val="auto"/>
              </w:rPr>
            </w:pPr>
          </w:p>
        </w:tc>
        <w:tc>
          <w:tcPr>
            <w:tcW w:w="9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100" w:type="dxa"/>
            <w:vAlign w:val="bottom"/>
            <w:tcBorders>
              <w:bottom w:val="single" w:sz="8" w:color="D9D9D9"/>
            </w:tcBorders>
            <w:shd w:val="clear" w:color="auto" w:fill="D9D9D9"/>
          </w:tcPr>
          <w:p>
            <w:pPr>
              <w:spacing w:after="0"/>
              <w:rPr>
                <w:sz w:val="20"/>
                <w:szCs w:val="20"/>
                <w:color w:val="auto"/>
              </w:rPr>
            </w:pPr>
          </w:p>
        </w:tc>
      </w:tr>
      <w:tr>
        <w:trPr>
          <w:trHeight w:val="26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Long-term operating lease obligations</w:t>
            </w:r>
          </w:p>
        </w:tc>
        <w:tc>
          <w:tcPr>
            <w:tcW w:w="220" w:type="dxa"/>
            <w:vAlign w:val="bottom"/>
            <w:gridSpan w:val="2"/>
          </w:tcPr>
          <w:p>
            <w:pPr>
              <w:spacing w:after="0"/>
              <w:rPr>
                <w:sz w:val="23"/>
                <w:szCs w:val="23"/>
                <w:color w:val="auto"/>
              </w:rPr>
            </w:pP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tcPr>
          <w:p>
            <w:pPr>
              <w:spacing w:after="0"/>
              <w:rPr>
                <w:sz w:val="23"/>
                <w:szCs w:val="23"/>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may be subject to potential liabilities under government regulations and various claims and legal actions that are pending but we believe are immaterial at this time or may be asserted in the future from time to time.</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These matters arise in the ordinary course and conduct of our business and may include, for example, commercial, product liability, intellectual property, and employment matters. We intend to continue to defend the Company vigorously in such matters and when warranted, take legal action against others. Furthermore, we regularly assess contingencies to determine the degree of probability and range of possible loss for potential accrual in our financial statements. An estimated loss contingency is accrued in our financial statements if it is probable that a liability has been incurred and the amount of the loss can be reasonably estimated. Based on our assessment, we have adequately accrued an amount for contingent liabilities currently in existence. We do not accrue amounts for liabilities that we do not believe are probable or that we consider immaterial to our overall financial position.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Indemnifications</w:t>
      </w:r>
    </w:p>
    <w:p>
      <w:pPr>
        <w:spacing w:after="0" w:line="243"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Our indemnification arrangements generally include limited warranties and certain provisions for indemnifying customers against liabilities if our products or services infringe a third-party’s intellectual property rights. To date, we have not incurred any material costs as a result of such warranties or indemnification provisions and have not accrued any liabilities related to such obligations in the accompanying consolidated financial statements.</w:t>
      </w:r>
    </w:p>
    <w:p>
      <w:pPr>
        <w:spacing w:after="0" w:line="17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have also agreed to indemnify our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Company’s (provision) benefit for income taxes differs from applying the statutory U.S. Federal income tax rate to income before taxes. The primary difference results from providing for state income taxes and from deducting certain expenses for financial statement purposes but not for federal income tax purposes.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20" w:right="1440" w:bottom="175" w:gutter="0" w:footer="0" w:header="0"/>
          <w:type w:val="continuous"/>
        </w:sectPr>
      </w:pPr>
    </w:p>
    <w:bookmarkStart w:id="89" w:name="page90"/>
    <w:bookmarkEnd w:id="89"/>
    <w:p>
      <w:pPr>
        <w:ind w:firstLine="720"/>
        <w:spacing w:after="0" w:line="278" w:lineRule="auto"/>
        <w:rPr>
          <w:sz w:val="20"/>
          <w:szCs w:val="20"/>
          <w:color w:val="auto"/>
        </w:rPr>
      </w:pPr>
      <w:r>
        <w:rPr>
          <w:rFonts w:ascii="Times New Roman" w:cs="Times New Roman" w:eastAsia="Times New Roman" w:hAnsi="Times New Roman"/>
          <w:sz w:val="20"/>
          <w:szCs w:val="20"/>
          <w:color w:val="auto"/>
        </w:rPr>
        <w:t>The components of income (loss) from operations before provision for income taxes consist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Borders>
              <w:bottom w:val="single" w:sz="8" w:color="auto"/>
            </w:tcBorders>
            <w:gridSpan w:val="6"/>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5620" w:type="dxa"/>
            <w:vAlign w:val="bottom"/>
            <w:tcBorders>
              <w:bottom w:val="single" w:sz="8" w:color="D9D9D9"/>
            </w:tcBorders>
          </w:tcPr>
          <w:p>
            <w:pPr>
              <w:spacing w:after="0"/>
              <w:rPr>
                <w:sz w:val="20"/>
                <w:szCs w:val="20"/>
                <w:color w:val="auto"/>
              </w:rPr>
            </w:pPr>
          </w:p>
        </w:tc>
        <w:tc>
          <w:tcPr>
            <w:tcW w:w="180" w:type="dxa"/>
            <w:vAlign w:val="bottom"/>
            <w:tcBorders>
              <w:bottom w:val="single" w:sz="8" w:color="D9D9D9"/>
            </w:tcBorders>
            <w:gridSpan w:val="2"/>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r>
      <w:tr>
        <w:trPr>
          <w:trHeight w:val="229"/>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40" w:type="dxa"/>
            <w:vAlign w:val="bottom"/>
            <w:shd w:val="clear" w:color="auto" w:fill="D9D9D9"/>
          </w:tcPr>
          <w:p>
            <w:pPr>
              <w:jc w:val="right"/>
              <w:ind w:right="845"/>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9,553</w:t>
            </w:r>
          </w:p>
        </w:tc>
        <w:tc>
          <w:tcPr>
            <w:tcW w:w="1180" w:type="dxa"/>
            <w:vAlign w:val="bottom"/>
            <w:gridSpan w:val="3"/>
            <w:shd w:val="clear" w:color="auto" w:fill="D9D9D9"/>
          </w:tcPr>
          <w:p>
            <w:pPr>
              <w:jc w:val="right"/>
              <w:ind w:right="78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w w:val="96"/>
              </w:rPr>
              <w:t>(13,835)</w:t>
            </w:r>
          </w:p>
        </w:tc>
      </w:tr>
      <w:tr>
        <w:trPr>
          <w:trHeight w:val="24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220" w:type="dxa"/>
            <w:vAlign w:val="bottom"/>
            <w:gridSpan w:val="3"/>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(2,552)</w:t>
            </w:r>
          </w:p>
        </w:tc>
        <w:tc>
          <w:tcPr>
            <w:tcW w:w="1180" w:type="dxa"/>
            <w:vAlign w:val="bottom"/>
            <w:gridSpan w:val="3"/>
          </w:tcPr>
          <w:p>
            <w:pPr>
              <w:jc w:val="right"/>
              <w:ind w:right="78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(2,427 )</w:t>
            </w:r>
          </w:p>
        </w:tc>
      </w:tr>
      <w:tr>
        <w:trPr>
          <w:trHeight w:val="273"/>
        </w:trPr>
        <w:tc>
          <w:tcPr>
            <w:tcW w:w="562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040" w:type="dxa"/>
            <w:vAlign w:val="bottom"/>
            <w:tcBorders>
              <w:top w:val="single" w:sz="8" w:color="auto"/>
              <w:bottom w:val="single" w:sz="8" w:color="auto"/>
            </w:tcBorders>
            <w:shd w:val="clear" w:color="auto" w:fill="D9D9D9"/>
          </w:tcPr>
          <w:p>
            <w:pPr>
              <w:jc w:val="right"/>
              <w:ind w:right="845"/>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7,001</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18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980" w:type="dxa"/>
            <w:vAlign w:val="bottom"/>
            <w:tcBorders>
              <w:top w:val="single" w:sz="8" w:color="auto"/>
              <w:bottom w:val="single" w:sz="8" w:color="auto"/>
            </w:tcBorders>
            <w:shd w:val="clear" w:color="auto" w:fill="D9D9D9"/>
          </w:tcPr>
          <w:p>
            <w:pPr>
              <w:jc w:val="right"/>
              <w:ind w:right="785"/>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87"/>
              </w:rPr>
              <w:t>(16,262)</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r>
    </w:tbl>
    <w:p>
      <w:pPr>
        <w:spacing w:after="0" w:line="21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components of the (provision) benefit for income taxes current and deferred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56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600" w:type="dxa"/>
            <w:vAlign w:val="bottom"/>
            <w:tcBorders>
              <w:top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Current:</w:t>
            </w:r>
          </w:p>
        </w:tc>
        <w:tc>
          <w:tcPr>
            <w:tcW w:w="160" w:type="dxa"/>
            <w:vAlign w:val="bottom"/>
            <w:tcBorders>
              <w:top w:val="single" w:sz="8" w:color="D9D9D9"/>
            </w:tcBorders>
            <w:shd w:val="clear" w:color="auto" w:fill="D9D9D9"/>
          </w:tcPr>
          <w:p>
            <w:pPr>
              <w:spacing w:after="0"/>
              <w:rPr>
                <w:sz w:val="19"/>
                <w:szCs w:val="19"/>
                <w:color w:val="auto"/>
              </w:rPr>
            </w:pPr>
          </w:p>
        </w:tc>
        <w:tc>
          <w:tcPr>
            <w:tcW w:w="20" w:type="dxa"/>
            <w:vAlign w:val="bottom"/>
            <w:tcBorders>
              <w:top w:val="single" w:sz="8" w:color="D9D9D9"/>
            </w:tcBorders>
            <w:shd w:val="clear" w:color="auto" w:fill="D9D9D9"/>
          </w:tcPr>
          <w:p>
            <w:pPr>
              <w:spacing w:after="0"/>
              <w:rPr>
                <w:sz w:val="19"/>
                <w:szCs w:val="19"/>
                <w:color w:val="auto"/>
              </w:rPr>
            </w:pPr>
          </w:p>
        </w:tc>
        <w:tc>
          <w:tcPr>
            <w:tcW w:w="1020" w:type="dxa"/>
            <w:vAlign w:val="bottom"/>
            <w:tcBorders>
              <w:top w:val="single" w:sz="8" w:color="auto"/>
            </w:tcBorders>
            <w:shd w:val="clear" w:color="auto" w:fill="D9D9D9"/>
          </w:tcPr>
          <w:p>
            <w:pPr>
              <w:spacing w:after="0"/>
              <w:rPr>
                <w:sz w:val="19"/>
                <w:szCs w:val="19"/>
                <w:color w:val="auto"/>
              </w:rPr>
            </w:pPr>
          </w:p>
        </w:tc>
        <w:tc>
          <w:tcPr>
            <w:tcW w:w="580" w:type="dxa"/>
            <w:vAlign w:val="bottom"/>
            <w:tcBorders>
              <w:top w:val="single" w:sz="8" w:color="auto"/>
            </w:tcBorders>
            <w:shd w:val="clear" w:color="auto" w:fill="D9D9D9"/>
          </w:tcPr>
          <w:p>
            <w:pPr>
              <w:spacing w:after="0"/>
              <w:rPr>
                <w:sz w:val="19"/>
                <w:szCs w:val="19"/>
                <w:color w:val="auto"/>
              </w:rPr>
            </w:pPr>
          </w:p>
        </w:tc>
        <w:tc>
          <w:tcPr>
            <w:tcW w:w="80" w:type="dxa"/>
            <w:vAlign w:val="bottom"/>
            <w:tcBorders>
              <w:top w:val="single" w:sz="8" w:color="D9D9D9"/>
            </w:tcBorders>
            <w:shd w:val="clear" w:color="auto" w:fill="D9D9D9"/>
          </w:tcPr>
          <w:p>
            <w:pPr>
              <w:spacing w:after="0"/>
              <w:rPr>
                <w:sz w:val="19"/>
                <w:szCs w:val="19"/>
                <w:color w:val="auto"/>
              </w:rPr>
            </w:pPr>
          </w:p>
        </w:tc>
        <w:tc>
          <w:tcPr>
            <w:tcW w:w="160" w:type="dxa"/>
            <w:vAlign w:val="bottom"/>
            <w:tcBorders>
              <w:top w:val="single" w:sz="8" w:color="D9D9D9"/>
            </w:tcBorders>
            <w:shd w:val="clear" w:color="auto" w:fill="D9D9D9"/>
          </w:tcPr>
          <w:p>
            <w:pPr>
              <w:spacing w:after="0"/>
              <w:rPr>
                <w:sz w:val="19"/>
                <w:szCs w:val="19"/>
                <w:color w:val="auto"/>
              </w:rPr>
            </w:pPr>
          </w:p>
        </w:tc>
        <w:tc>
          <w:tcPr>
            <w:tcW w:w="20" w:type="dxa"/>
            <w:vAlign w:val="bottom"/>
            <w:tcBorders>
              <w:top w:val="single" w:sz="8" w:color="D9D9D9"/>
            </w:tcBorders>
            <w:shd w:val="clear" w:color="auto" w:fill="D9D9D9"/>
          </w:tcPr>
          <w:p>
            <w:pPr>
              <w:spacing w:after="0"/>
              <w:rPr>
                <w:sz w:val="19"/>
                <w:szCs w:val="19"/>
                <w:color w:val="auto"/>
              </w:rPr>
            </w:pPr>
          </w:p>
        </w:tc>
        <w:tc>
          <w:tcPr>
            <w:tcW w:w="1100" w:type="dxa"/>
            <w:vAlign w:val="bottom"/>
            <w:tcBorders>
              <w:top w:val="single" w:sz="8" w:color="auto"/>
            </w:tcBorders>
            <w:shd w:val="clear" w:color="auto" w:fill="D9D9D9"/>
          </w:tcPr>
          <w:p>
            <w:pPr>
              <w:spacing w:after="0"/>
              <w:rPr>
                <w:sz w:val="19"/>
                <w:szCs w:val="19"/>
                <w:color w:val="auto"/>
              </w:rPr>
            </w:pPr>
          </w:p>
        </w:tc>
        <w:tc>
          <w:tcPr>
            <w:tcW w:w="500" w:type="dxa"/>
            <w:vAlign w:val="bottom"/>
            <w:tcBorders>
              <w:top w:val="single" w:sz="8" w:color="auto"/>
            </w:tcBorders>
            <w:shd w:val="clear" w:color="auto" w:fill="D9D9D9"/>
          </w:tcPr>
          <w:p>
            <w:pPr>
              <w:spacing w:after="0"/>
              <w:rPr>
                <w:sz w:val="19"/>
                <w:szCs w:val="19"/>
                <w:color w:val="auto"/>
              </w:rPr>
            </w:pPr>
          </w:p>
        </w:tc>
        <w:tc>
          <w:tcPr>
            <w:tcW w:w="120" w:type="dxa"/>
            <w:vAlign w:val="bottom"/>
            <w:tcBorders>
              <w:top w:val="single" w:sz="8" w:color="D9D9D9"/>
            </w:tcBorders>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ind w:right="823"/>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(1,490 )</w:t>
            </w:r>
          </w:p>
        </w:tc>
        <w:tc>
          <w:tcPr>
            <w:tcW w:w="1280" w:type="dxa"/>
            <w:vAlign w:val="bottom"/>
            <w:gridSpan w:val="3"/>
          </w:tcPr>
          <w:p>
            <w:pPr>
              <w:jc w:val="right"/>
              <w:ind w:right="90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State</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020" w:type="dxa"/>
            <w:vAlign w:val="bottom"/>
            <w:shd w:val="clear" w:color="auto" w:fill="D9D9D9"/>
          </w:tcPr>
          <w:p>
            <w:pPr>
              <w:spacing w:after="0"/>
              <w:rPr>
                <w:sz w:val="20"/>
                <w:szCs w:val="20"/>
                <w:color w:val="auto"/>
              </w:rPr>
            </w:pPr>
          </w:p>
        </w:tc>
        <w:tc>
          <w:tcPr>
            <w:tcW w:w="66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(575 )</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620" w:type="dxa"/>
            <w:vAlign w:val="bottom"/>
            <w:gridSpan w:val="2"/>
            <w:shd w:val="clear" w:color="auto" w:fill="D9D9D9"/>
          </w:tcPr>
          <w:p>
            <w:pPr>
              <w:jc w:val="right"/>
              <w:ind w:right="60"/>
              <w:spacing w:after="0"/>
              <w:rPr>
                <w:sz w:val="20"/>
                <w:szCs w:val="20"/>
                <w:color w:val="auto"/>
              </w:rPr>
            </w:pPr>
            <w:r>
              <w:rPr>
                <w:rFonts w:ascii="Times New Roman" w:cs="Times New Roman" w:eastAsia="Times New Roman" w:hAnsi="Times New Roman"/>
                <w:sz w:val="20"/>
                <w:szCs w:val="20"/>
                <w:color w:val="auto"/>
              </w:rPr>
              <w:t>(113)</w:t>
            </w:r>
          </w:p>
        </w:tc>
        <w:tc>
          <w:tcPr>
            <w:tcW w:w="20" w:type="dxa"/>
            <w:vAlign w:val="bottom"/>
            <w:shd w:val="clear" w:color="auto" w:fill="D9D9D9"/>
          </w:tcPr>
          <w:p>
            <w:pPr>
              <w:spacing w:after="0"/>
              <w:rPr>
                <w:sz w:val="20"/>
                <w:szCs w:val="20"/>
                <w:color w:val="auto"/>
              </w:rPr>
            </w:pP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20"/>
                <w:szCs w:val="20"/>
                <w:color w:val="auto"/>
              </w:rPr>
            </w:pPr>
          </w:p>
        </w:tc>
      </w:tr>
      <w:tr>
        <w:trPr>
          <w:trHeight w:val="240"/>
        </w:trPr>
        <w:tc>
          <w:tcPr>
            <w:tcW w:w="560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current</w:t>
            </w:r>
          </w:p>
        </w:tc>
        <w:tc>
          <w:tcPr>
            <w:tcW w:w="160" w:type="dxa"/>
            <w:vAlign w:val="bottom"/>
            <w:tcBorders>
              <w:top w:val="single" w:sz="8" w:color="D9D9D9"/>
              <w:bottom w:val="single" w:sz="8" w:color="D9D9D9"/>
            </w:tcBorders>
            <w:shd w:val="clear" w:color="auto" w:fill="D9D9D9"/>
          </w:tcPr>
          <w:p>
            <w:pPr>
              <w:spacing w:after="0"/>
              <w:rPr>
                <w:sz w:val="20"/>
                <w:szCs w:val="20"/>
                <w:color w:val="auto"/>
              </w:rPr>
            </w:pPr>
          </w:p>
        </w:tc>
        <w:tc>
          <w:tcPr>
            <w:tcW w:w="20" w:type="dxa"/>
            <w:vAlign w:val="bottom"/>
            <w:tcBorders>
              <w:top w:val="single" w:sz="8" w:color="D9D9D9"/>
              <w:bottom w:val="single" w:sz="8" w:color="D9D9D9"/>
            </w:tcBorders>
            <w:shd w:val="clear" w:color="auto" w:fill="D9D9D9"/>
          </w:tcPr>
          <w:p>
            <w:pPr>
              <w:spacing w:after="0"/>
              <w:rPr>
                <w:sz w:val="20"/>
                <w:szCs w:val="20"/>
                <w:color w:val="auto"/>
              </w:rPr>
            </w:pPr>
          </w:p>
        </w:tc>
        <w:tc>
          <w:tcPr>
            <w:tcW w:w="1020" w:type="dxa"/>
            <w:vAlign w:val="bottom"/>
            <w:tcBorders>
              <w:top w:val="single" w:sz="8" w:color="auto"/>
              <w:bottom w:val="single" w:sz="8" w:color="auto"/>
            </w:tcBorders>
            <w:shd w:val="clear" w:color="auto" w:fill="D9D9D9"/>
          </w:tcPr>
          <w:p>
            <w:pPr>
              <w:spacing w:after="0"/>
              <w:rPr>
                <w:sz w:val="20"/>
                <w:szCs w:val="20"/>
                <w:color w:val="auto"/>
              </w:rPr>
            </w:pPr>
          </w:p>
        </w:tc>
        <w:tc>
          <w:tcPr>
            <w:tcW w:w="5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(2,066</w:t>
            </w:r>
          </w:p>
        </w:tc>
        <w:tc>
          <w:tcPr>
            <w:tcW w:w="80" w:type="dxa"/>
            <w:vAlign w:val="bottom"/>
            <w:tcBorders>
              <w:top w:val="single" w:sz="8" w:color="D9D9D9"/>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D9D9D9"/>
              <w:bottom w:val="single" w:sz="8" w:color="D9D9D9"/>
            </w:tcBorders>
            <w:shd w:val="clear" w:color="auto" w:fill="D9D9D9"/>
          </w:tcPr>
          <w:p>
            <w:pPr>
              <w:spacing w:after="0"/>
              <w:rPr>
                <w:sz w:val="20"/>
                <w:szCs w:val="20"/>
                <w:color w:val="auto"/>
              </w:rPr>
            </w:pPr>
          </w:p>
        </w:tc>
        <w:tc>
          <w:tcPr>
            <w:tcW w:w="20" w:type="dxa"/>
            <w:vAlign w:val="bottom"/>
            <w:tcBorders>
              <w:top w:val="single" w:sz="8" w:color="D9D9D9"/>
              <w:bottom w:val="single" w:sz="8" w:color="D9D9D9"/>
            </w:tcBorders>
            <w:shd w:val="clear" w:color="auto" w:fill="D9D9D9"/>
          </w:tcPr>
          <w:p>
            <w:pPr>
              <w:spacing w:after="0"/>
              <w:rPr>
                <w:sz w:val="20"/>
                <w:szCs w:val="20"/>
                <w:color w:val="auto"/>
              </w:rPr>
            </w:pPr>
          </w:p>
        </w:tc>
        <w:tc>
          <w:tcPr>
            <w:tcW w:w="1100" w:type="dxa"/>
            <w:vAlign w:val="bottom"/>
            <w:tcBorders>
              <w:top w:val="single" w:sz="8" w:color="auto"/>
              <w:bottom w:val="single" w:sz="8" w:color="auto"/>
            </w:tcBorders>
            <w:shd w:val="clear" w:color="auto" w:fill="D9D9D9"/>
          </w:tcPr>
          <w:p>
            <w:pPr>
              <w:spacing w:after="0"/>
              <w:rPr>
                <w:sz w:val="20"/>
                <w:szCs w:val="20"/>
                <w:color w:val="auto"/>
              </w:rPr>
            </w:pPr>
          </w:p>
        </w:tc>
        <w:tc>
          <w:tcPr>
            <w:tcW w:w="5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20" w:type="dxa"/>
            <w:vAlign w:val="bottom"/>
            <w:tcBorders>
              <w:top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r>
      <w:tr>
        <w:trPr>
          <w:trHeight w:val="230"/>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Deferred:</w:t>
            </w: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58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50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r>
      <w:tr>
        <w:trPr>
          <w:trHeight w:val="240"/>
        </w:trPr>
        <w:tc>
          <w:tcPr>
            <w:tcW w:w="560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State</w:t>
            </w: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auto"/>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spacing w:after="0"/>
              <w:rPr>
                <w:sz w:val="20"/>
                <w:szCs w:val="20"/>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Total (provision) benefit for income taxes current and deferred</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-955675</wp:posOffset>
                </wp:positionV>
                <wp:extent cx="367157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157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2499pt" to="289.1pt,-75.2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-955675</wp:posOffset>
                </wp:positionV>
                <wp:extent cx="16764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8pt,-75.2499pt" to="382pt,-75.2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-352425</wp:posOffset>
                </wp:positionV>
                <wp:extent cx="367157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157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7499pt" to="289.1pt,-27.7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-342900</wp:posOffset>
                </wp:positionV>
                <wp:extent cx="0" cy="3429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2900"/>
                        </a:xfrm>
                        <a:prstGeom prst="line">
                          <a:avLst/>
                        </a:prstGeom>
                        <a:solidFill>
                          <a:srgbClr val="FFFFFF"/>
                        </a:solidFill>
                        <a:ln w="53340">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27pt" to="370.9pt,0pt" o:allowincell="f" strokecolor="#FFFFFF" strokeweight="4.2pt"/>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-187325</wp:posOffset>
                </wp:positionV>
                <wp:extent cx="16764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8pt,-14.7499pt" to="382pt,-14.7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59436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468pt,-1.2499pt" o:allowincell="f" strokecolor="#FFFFFF" strokeweight="2.5201pt"/>
            </w:pict>
          </mc:Fallback>
        </mc:AlternateContent>
      </w:r>
    </w:p>
    <w:p>
      <w:pPr>
        <w:spacing w:after="0" w:line="19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reconciliation of income tax benefit (expense) attributable to operations computed at the U.S. Federal statutory income tax rate of 21% to income tax expense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500" w:type="dxa"/>
            <w:vAlign w:val="bottom"/>
            <w:tcBorders>
              <w:bottom w:val="single" w:sz="8" w:color="D9D9D9"/>
            </w:tcBorders>
          </w:tcPr>
          <w:p>
            <w:pPr>
              <w:spacing w:after="0"/>
              <w:rPr>
                <w:sz w:val="20"/>
                <w:szCs w:val="20"/>
                <w:color w:val="auto"/>
              </w:rPr>
            </w:pPr>
          </w:p>
        </w:tc>
        <w:tc>
          <w:tcPr>
            <w:tcW w:w="4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D9D9D9"/>
            </w:tcBorders>
          </w:tcPr>
          <w:p>
            <w:pPr>
              <w:spacing w:after="0"/>
              <w:rPr>
                <w:sz w:val="20"/>
                <w:szCs w:val="20"/>
                <w:color w:val="auto"/>
              </w:rPr>
            </w:pPr>
          </w:p>
        </w:tc>
        <w:tc>
          <w:tcPr>
            <w:tcW w:w="2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600" w:type="dxa"/>
            <w:vAlign w:val="bottom"/>
            <w:tcBorders>
              <w:bottom w:val="single" w:sz="8" w:color="D9D9D9"/>
            </w:tcBorders>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Statutory Federal tax rate</w:t>
            </w:r>
          </w:p>
        </w:tc>
        <w:tc>
          <w:tcPr>
            <w:tcW w:w="56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gridSpan w:val="2"/>
            <w:shd w:val="clear" w:color="auto" w:fill="D9D9D9"/>
          </w:tcPr>
          <w:p>
            <w:pPr>
              <w:jc w:val="right"/>
              <w:ind w:right="240"/>
              <w:spacing w:after="0"/>
              <w:rPr>
                <w:sz w:val="20"/>
                <w:szCs w:val="20"/>
                <w:color w:val="auto"/>
              </w:rPr>
            </w:pPr>
            <w:r>
              <w:rPr>
                <w:rFonts w:ascii="Times New Roman" w:cs="Times New Roman" w:eastAsia="Times New Roman" w:hAnsi="Times New Roman"/>
                <w:sz w:val="20"/>
                <w:szCs w:val="20"/>
                <w:color w:val="auto"/>
              </w:rPr>
              <w:t>3,415</w:t>
            </w:r>
          </w:p>
        </w:tc>
        <w:tc>
          <w:tcPr>
            <w:tcW w:w="2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60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(3,163)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4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460" w:type="dxa"/>
            <w:vAlign w:val="bottom"/>
            <w:gridSpan w:val="2"/>
            <w:shd w:val="clear" w:color="auto" w:fill="D9D9D9"/>
          </w:tcPr>
          <w:p>
            <w:pPr>
              <w:jc w:val="right"/>
              <w:ind w:right="240"/>
              <w:spacing w:after="0"/>
              <w:rPr>
                <w:sz w:val="20"/>
                <w:szCs w:val="20"/>
                <w:color w:val="auto"/>
              </w:rPr>
            </w:pPr>
            <w:r>
              <w:rPr>
                <w:rFonts w:ascii="Times New Roman" w:cs="Times New Roman" w:eastAsia="Times New Roman" w:hAnsi="Times New Roman"/>
                <w:sz w:val="20"/>
                <w:szCs w:val="20"/>
                <w:color w:val="auto"/>
              </w:rPr>
              <w:t>636</w:t>
            </w:r>
          </w:p>
        </w:tc>
        <w:tc>
          <w:tcPr>
            <w:tcW w:w="220" w:type="dxa"/>
            <w:vAlign w:val="bottom"/>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6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5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Permanent differences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right"/>
              <w:ind w:right="180"/>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Change in state income tax rate</w:t>
            </w:r>
          </w:p>
        </w:tc>
        <w:tc>
          <w:tcPr>
            <w:tcW w:w="4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46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(42)</w:t>
            </w:r>
          </w:p>
        </w:tc>
        <w:tc>
          <w:tcPr>
            <w:tcW w:w="2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6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adjustment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Attribute expiration</w:t>
            </w:r>
          </w:p>
        </w:tc>
        <w:tc>
          <w:tcPr>
            <w:tcW w:w="4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46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(280)</w:t>
            </w:r>
          </w:p>
        </w:tc>
        <w:tc>
          <w:tcPr>
            <w:tcW w:w="2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6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Return to provision and other adjustments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4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2460" w:type="dxa"/>
            <w:vAlign w:val="bottom"/>
            <w:gridSpan w:val="2"/>
            <w:shd w:val="clear" w:color="auto" w:fill="D9D9D9"/>
          </w:tcPr>
          <w:p>
            <w:pPr>
              <w:jc w:val="right"/>
              <w:ind w:right="240"/>
              <w:spacing w:after="0"/>
              <w:rPr>
                <w:sz w:val="20"/>
                <w:szCs w:val="20"/>
                <w:color w:val="auto"/>
              </w:rPr>
            </w:pPr>
            <w:r>
              <w:rPr>
                <w:rFonts w:ascii="Times New Roman" w:cs="Times New Roman" w:eastAsia="Times New Roman" w:hAnsi="Times New Roman"/>
                <w:sz w:val="20"/>
                <w:szCs w:val="20"/>
                <w:color w:val="auto"/>
              </w:rPr>
              <w:t>134</w:t>
            </w:r>
          </w:p>
        </w:tc>
        <w:tc>
          <w:tcPr>
            <w:tcW w:w="2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60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24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executive compensation</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Total (provision) benefit for income taxes current and deferred</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0"/>
        </w:trPr>
        <w:tc>
          <w:tcPr>
            <w:tcW w:w="5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30"/>
        </w:trPr>
        <w:tc>
          <w:tcPr>
            <w:tcW w:w="5500" w:type="dxa"/>
            <w:vAlign w:val="bottom"/>
            <w:tcBorders>
              <w:top w:val="single" w:sz="8" w:color="D9D9D9"/>
            </w:tcBorders>
            <w:shd w:val="clear" w:color="auto" w:fill="D9D9D9"/>
          </w:tcPr>
          <w:p>
            <w:pPr>
              <w:spacing w:after="0"/>
              <w:rPr>
                <w:sz w:val="20"/>
                <w:szCs w:val="20"/>
                <w:color w:val="auto"/>
              </w:rPr>
            </w:pPr>
          </w:p>
        </w:tc>
        <w:tc>
          <w:tcPr>
            <w:tcW w:w="420" w:type="dxa"/>
            <w:vAlign w:val="bottom"/>
            <w:tcBorders>
              <w:top w:val="single" w:sz="8" w:color="D9D9D9"/>
            </w:tcBorders>
            <w:shd w:val="clear" w:color="auto" w:fill="D9D9D9"/>
          </w:tcPr>
          <w:p>
            <w:pPr>
              <w:spacing w:after="0"/>
              <w:rPr>
                <w:sz w:val="20"/>
                <w:szCs w:val="20"/>
                <w:color w:val="auto"/>
              </w:rPr>
            </w:pPr>
          </w:p>
        </w:tc>
        <w:tc>
          <w:tcPr>
            <w:tcW w:w="140" w:type="dxa"/>
            <w:vAlign w:val="bottom"/>
            <w:tcBorders>
              <w:top w:val="single" w:sz="8" w:color="auto"/>
            </w:tcBorders>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460" w:type="dxa"/>
            <w:vAlign w:val="bottom"/>
            <w:tcBorders>
              <w:top w:val="single" w:sz="8" w:color="auto"/>
            </w:tcBorders>
            <w:gridSpan w:val="2"/>
            <w:shd w:val="clear" w:color="auto" w:fill="D9D9D9"/>
          </w:tcPr>
          <w:p>
            <w:pPr>
              <w:jc w:val="right"/>
              <w:ind w:right="200"/>
              <w:spacing w:after="0"/>
              <w:rPr>
                <w:sz w:val="20"/>
                <w:szCs w:val="20"/>
                <w:color w:val="auto"/>
              </w:rPr>
            </w:pPr>
            <w:r>
              <w:rPr>
                <w:rFonts w:ascii="Times New Roman" w:cs="Times New Roman" w:eastAsia="Times New Roman" w:hAnsi="Times New Roman"/>
                <w:sz w:val="20"/>
                <w:szCs w:val="20"/>
                <w:color w:val="auto"/>
              </w:rPr>
              <w:t>(1,470)</w:t>
            </w:r>
          </w:p>
        </w:tc>
        <w:tc>
          <w:tcPr>
            <w:tcW w:w="840" w:type="dxa"/>
            <w:vAlign w:val="bottom"/>
            <w:tcBorders>
              <w:top w:val="single" w:sz="8" w:color="auto"/>
            </w:tcBorders>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0"/>
                <w:szCs w:val="20"/>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 net of federal income tax effect*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(432)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9"/>
                <w:szCs w:val="19"/>
                <w:color w:val="auto"/>
              </w:rPr>
            </w:pPr>
          </w:p>
        </w:tc>
      </w:tr>
      <w:tr>
        <w:trPr>
          <w:trHeight w:val="230"/>
        </w:trPr>
        <w:tc>
          <w:tcPr>
            <w:tcW w:w="5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4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22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6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Germany</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500" w:type="dxa"/>
            <w:vAlign w:val="bottom"/>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4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22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4,115</w:t>
            </w:r>
          </w:p>
        </w:tc>
        <w:tc>
          <w:tcPr>
            <w:tcW w:w="240" w:type="dxa"/>
            <w:vAlign w:val="bottom"/>
            <w:shd w:val="clear" w:color="auto" w:fill="D9D9D9"/>
          </w:tcPr>
          <w:p>
            <w:pPr>
              <w:spacing w:after="0"/>
              <w:rPr>
                <w:sz w:val="19"/>
                <w:szCs w:val="19"/>
                <w:color w:val="auto"/>
              </w:rPr>
            </w:pPr>
          </w:p>
        </w:tc>
        <w:tc>
          <w:tcPr>
            <w:tcW w:w="84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20" w:type="dxa"/>
            <w:vAlign w:val="bottom"/>
          </w:tcPr>
          <w:p>
            <w:pPr>
              <w:spacing w:after="0"/>
              <w:rPr>
                <w:sz w:val="19"/>
                <w:szCs w:val="19"/>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Reduction in deferred tax assets due to disposal</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(4,648)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20" w:type="dxa"/>
            <w:vAlign w:val="bottom"/>
          </w:tcPr>
          <w:p>
            <w:pPr>
              <w:spacing w:after="0"/>
              <w:rPr>
                <w:sz w:val="20"/>
                <w:szCs w:val="20"/>
                <w:color w:val="auto"/>
              </w:rPr>
            </w:pPr>
          </w:p>
        </w:tc>
      </w:tr>
      <w:tr>
        <w:trPr>
          <w:trHeight w:val="230"/>
        </w:trPr>
        <w:tc>
          <w:tcPr>
            <w:tcW w:w="5500" w:type="dxa"/>
            <w:vAlign w:val="bottom"/>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Other adjustments</w:t>
            </w:r>
          </w:p>
        </w:tc>
        <w:tc>
          <w:tcPr>
            <w:tcW w:w="4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2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240" w:type="dxa"/>
            <w:vAlign w:val="bottom"/>
            <w:shd w:val="clear" w:color="auto" w:fill="D9D9D9"/>
          </w:tcPr>
          <w:p>
            <w:pPr>
              <w:spacing w:after="0"/>
              <w:rPr>
                <w:sz w:val="20"/>
                <w:szCs w:val="20"/>
                <w:color w:val="auto"/>
              </w:rPr>
            </w:pPr>
          </w:p>
        </w:tc>
        <w:tc>
          <w:tcPr>
            <w:tcW w:w="84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r>
      <w:tr>
        <w:trPr>
          <w:trHeight w:val="229"/>
        </w:trPr>
        <w:tc>
          <w:tcPr>
            <w:tcW w:w="5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Kingdom</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Other adjustments</w:t>
            </w:r>
          </w:p>
        </w:tc>
        <w:tc>
          <w:tcPr>
            <w:tcW w:w="4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460" w:type="dxa"/>
            <w:vAlign w:val="bottom"/>
            <w:gridSpan w:val="2"/>
            <w:shd w:val="clear" w:color="auto" w:fill="D9D9D9"/>
          </w:tcPr>
          <w:p>
            <w:pPr>
              <w:jc w:val="right"/>
              <w:ind w:right="200"/>
              <w:spacing w:after="0"/>
              <w:rPr>
                <w:sz w:val="20"/>
                <w:szCs w:val="20"/>
                <w:color w:val="auto"/>
              </w:rPr>
            </w:pPr>
            <w:r>
              <w:rPr>
                <w:rFonts w:ascii="Times New Roman" w:cs="Times New Roman" w:eastAsia="Times New Roman" w:hAnsi="Times New Roman"/>
                <w:sz w:val="20"/>
                <w:szCs w:val="20"/>
                <w:color w:val="auto"/>
              </w:rPr>
              <w:t>(158)</w:t>
            </w:r>
          </w:p>
        </w:tc>
        <w:tc>
          <w:tcPr>
            <w:tcW w:w="84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0"/>
                <w:szCs w:val="20"/>
                <w:color w:val="auto"/>
              </w:rPr>
            </w:pPr>
          </w:p>
        </w:tc>
      </w:tr>
      <w:tr>
        <w:trPr>
          <w:trHeight w:val="267"/>
        </w:trPr>
        <w:tc>
          <w:tcPr>
            <w:tcW w:w="5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20" w:right="1440" w:bottom="175" w:gutter="0" w:footer="0" w:header="0"/>
          <w:type w:val="continuous"/>
        </w:sectPr>
      </w:pPr>
    </w:p>
    <w:bookmarkStart w:id="90" w:name="page91"/>
    <w:bookmarkEnd w:id="90"/>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D9D9D9"/>
            </w:tcBorders>
          </w:tcPr>
          <w:p>
            <w:pPr>
              <w:spacing w:after="0"/>
              <w:rPr>
                <w:sz w:val="20"/>
                <w:szCs w:val="20"/>
                <w:color w:val="auto"/>
              </w:rPr>
            </w:pPr>
          </w:p>
        </w:tc>
        <w:tc>
          <w:tcPr>
            <w:tcW w:w="420" w:type="dxa"/>
            <w:vAlign w:val="bottom"/>
            <w:tcBorders>
              <w:bottom w:val="single" w:sz="8" w:color="D9D9D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199"/>
        </w:trPr>
        <w:tc>
          <w:tcPr>
            <w:tcW w:w="5500" w:type="dxa"/>
            <w:vAlign w:val="bottom"/>
            <w:shd w:val="clear" w:color="auto" w:fill="D9D9D9"/>
          </w:tcPr>
          <w:p>
            <w:pPr>
              <w:spacing w:after="0" w:line="199" w:lineRule="exact"/>
              <w:rPr>
                <w:sz w:val="20"/>
                <w:szCs w:val="20"/>
                <w:color w:val="auto"/>
              </w:rPr>
            </w:pPr>
            <w:r>
              <w:rPr>
                <w:rFonts w:ascii="Times New Roman" w:cs="Times New Roman" w:eastAsia="Times New Roman" w:hAnsi="Times New Roman"/>
                <w:sz w:val="20"/>
                <w:szCs w:val="20"/>
                <w:color w:val="auto"/>
              </w:rPr>
              <w:t>Changes in valuation allowance</w:t>
            </w:r>
          </w:p>
        </w:tc>
        <w:tc>
          <w:tcPr>
            <w:tcW w:w="42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040" w:type="dxa"/>
            <w:vAlign w:val="bottom"/>
            <w:shd w:val="clear" w:color="auto" w:fill="D9D9D9"/>
          </w:tcPr>
          <w:p>
            <w:pPr>
              <w:jc w:val="right"/>
              <w:spacing w:after="0" w:line="199" w:lineRule="exact"/>
              <w:rPr>
                <w:sz w:val="20"/>
                <w:szCs w:val="20"/>
                <w:color w:val="auto"/>
              </w:rPr>
            </w:pPr>
            <w:r>
              <w:rPr>
                <w:rFonts w:ascii="Times New Roman" w:cs="Times New Roman" w:eastAsia="Times New Roman" w:hAnsi="Times New Roman"/>
                <w:sz w:val="20"/>
                <w:szCs w:val="20"/>
                <w:color w:val="auto"/>
              </w:rPr>
              <w:t>4,688</w:t>
            </w:r>
          </w:p>
        </w:tc>
        <w:tc>
          <w:tcPr>
            <w:tcW w:w="440" w:type="dxa"/>
            <w:vAlign w:val="bottom"/>
            <w:shd w:val="clear" w:color="auto" w:fill="D9D9D9"/>
          </w:tcPr>
          <w:p>
            <w:pPr>
              <w:spacing w:after="0"/>
              <w:rPr>
                <w:sz w:val="17"/>
                <w:szCs w:val="17"/>
                <w:color w:val="auto"/>
              </w:rPr>
            </w:pPr>
          </w:p>
        </w:tc>
        <w:tc>
          <w:tcPr>
            <w:tcW w:w="660" w:type="dxa"/>
            <w:vAlign w:val="bottom"/>
            <w:shd w:val="clear" w:color="auto" w:fill="D9D9D9"/>
          </w:tcPr>
          <w:p>
            <w:pPr>
              <w:jc w:val="right"/>
              <w:spacing w:after="0" w:line="199" w:lineRule="exact"/>
              <w:rPr>
                <w:sz w:val="20"/>
                <w:szCs w:val="20"/>
                <w:color w:val="auto"/>
              </w:rPr>
            </w:pPr>
            <w:r>
              <w:rPr>
                <w:rFonts w:ascii="Times New Roman" w:cs="Times New Roman" w:eastAsia="Times New Roman" w:hAnsi="Times New Roman"/>
                <w:sz w:val="20"/>
                <w:szCs w:val="20"/>
                <w:color w:val="auto"/>
                <w:w w:val="98"/>
              </w:rPr>
              <w:t>(67.0)%</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550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Share-based payment awards</w:t>
            </w:r>
          </w:p>
        </w:tc>
        <w:tc>
          <w:tcPr>
            <w:tcW w:w="4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2480" w:type="dxa"/>
            <w:vAlign w:val="bottom"/>
            <w:gridSpan w:val="2"/>
            <w:shd w:val="clear" w:color="auto" w:fill="D9D9D9"/>
          </w:tcPr>
          <w:p>
            <w:pPr>
              <w:jc w:val="right"/>
              <w:ind w:right="300"/>
              <w:spacing w:after="0"/>
              <w:rPr>
                <w:sz w:val="20"/>
                <w:szCs w:val="20"/>
                <w:color w:val="auto"/>
              </w:rPr>
            </w:pPr>
            <w:r>
              <w:rPr>
                <w:rFonts w:ascii="Times New Roman" w:cs="Times New Roman" w:eastAsia="Times New Roman" w:hAnsi="Times New Roman"/>
                <w:sz w:val="20"/>
                <w:szCs w:val="20"/>
                <w:color w:val="auto"/>
              </w:rPr>
              <w:t>(146)</w:t>
            </w:r>
          </w:p>
        </w:tc>
        <w:tc>
          <w:tcPr>
            <w:tcW w:w="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5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Executive compensation</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(195)</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550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2480" w:type="dxa"/>
            <w:vAlign w:val="bottom"/>
            <w:gridSpan w:val="2"/>
            <w:shd w:val="clear" w:color="auto" w:fill="D9D9D9"/>
          </w:tcPr>
          <w:p>
            <w:pPr>
              <w:jc w:val="right"/>
              <w:ind w:right="300"/>
              <w:spacing w:after="0"/>
              <w:rPr>
                <w:sz w:val="20"/>
                <w:szCs w:val="20"/>
                <w:color w:val="auto"/>
              </w:rPr>
            </w:pPr>
            <w:r>
              <w:rPr>
                <w:rFonts w:ascii="Times New Roman" w:cs="Times New Roman" w:eastAsia="Times New Roman" w:hAnsi="Times New Roman"/>
                <w:sz w:val="20"/>
                <w:szCs w:val="20"/>
                <w:color w:val="auto"/>
              </w:rPr>
              <w:t>(13)</w:t>
            </w:r>
          </w:p>
        </w:tc>
        <w:tc>
          <w:tcPr>
            <w:tcW w:w="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550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Return to provision</w:t>
            </w:r>
          </w:p>
        </w:tc>
        <w:tc>
          <w:tcPr>
            <w:tcW w:w="42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20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440" w:type="dxa"/>
            <w:vAlign w:val="bottom"/>
            <w:shd w:val="clear" w:color="auto" w:fill="D9D9D9"/>
          </w:tcPr>
          <w:p>
            <w:pPr>
              <w:spacing w:after="0"/>
              <w:rPr>
                <w:sz w:val="19"/>
                <w:szCs w:val="19"/>
                <w:color w:val="auto"/>
              </w:rPr>
            </w:pPr>
          </w:p>
        </w:tc>
        <w:tc>
          <w:tcPr>
            <w:tcW w:w="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Gain on sale of investments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(931)</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30"/>
        </w:trPr>
        <w:tc>
          <w:tcPr>
            <w:tcW w:w="550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Reduction in deferred tax assets due to 382 limitations</w:t>
            </w:r>
          </w:p>
        </w:tc>
        <w:tc>
          <w:tcPr>
            <w:tcW w:w="4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2480" w:type="dxa"/>
            <w:vAlign w:val="bottom"/>
            <w:gridSpan w:val="2"/>
            <w:shd w:val="clear" w:color="auto" w:fill="D9D9D9"/>
          </w:tcPr>
          <w:p>
            <w:pPr>
              <w:jc w:val="right"/>
              <w:ind w:right="300"/>
              <w:spacing w:after="0"/>
              <w:rPr>
                <w:sz w:val="20"/>
                <w:szCs w:val="20"/>
                <w:color w:val="auto"/>
              </w:rPr>
            </w:pPr>
            <w:r>
              <w:rPr>
                <w:rFonts w:ascii="Times New Roman" w:cs="Times New Roman" w:eastAsia="Times New Roman" w:hAnsi="Times New Roman"/>
                <w:sz w:val="20"/>
                <w:szCs w:val="20"/>
                <w:color w:val="auto"/>
              </w:rPr>
              <w:t>(3,734)</w:t>
            </w:r>
          </w:p>
        </w:tc>
        <w:tc>
          <w:tcPr>
            <w:tcW w:w="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53.3%</w:t>
            </w:r>
          </w:p>
        </w:tc>
      </w:tr>
      <w:tr>
        <w:trPr>
          <w:trHeight w:val="229"/>
        </w:trPr>
        <w:tc>
          <w:tcPr>
            <w:tcW w:w="5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adjustments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58</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20"/>
        </w:trPr>
        <w:tc>
          <w:tcPr>
            <w:tcW w:w="5500" w:type="dxa"/>
            <w:vAlign w:val="bottom"/>
            <w:tcBorders>
              <w:top w:val="single" w:sz="8" w:color="D9D9D9"/>
            </w:tcBorders>
            <w:shd w:val="clear" w:color="auto" w:fill="D9D9D9"/>
          </w:tcPr>
          <w:p>
            <w:pPr>
              <w:spacing w:after="0" w:line="220" w:lineRule="exact"/>
              <w:rPr>
                <w:sz w:val="20"/>
                <w:szCs w:val="20"/>
                <w:color w:val="auto"/>
              </w:rPr>
            </w:pPr>
            <w:r>
              <w:rPr>
                <w:rFonts w:ascii="Times New Roman" w:cs="Times New Roman" w:eastAsia="Times New Roman" w:hAnsi="Times New Roman"/>
                <w:sz w:val="20"/>
                <w:szCs w:val="20"/>
                <w:color w:val="auto"/>
              </w:rPr>
              <w:t>Total (provision) benefit for income taxes current and deferred</w:t>
            </w:r>
          </w:p>
        </w:tc>
        <w:tc>
          <w:tcPr>
            <w:tcW w:w="420" w:type="dxa"/>
            <w:vAlign w:val="bottom"/>
            <w:tcBorders>
              <w:top w:val="single" w:sz="8" w:color="D9D9D9"/>
            </w:tcBorders>
            <w:shd w:val="clear" w:color="auto" w:fill="D9D9D9"/>
          </w:tcPr>
          <w:p>
            <w:pPr>
              <w:spacing w:after="0"/>
              <w:rPr>
                <w:sz w:val="19"/>
                <w:szCs w:val="19"/>
                <w:color w:val="auto"/>
              </w:rPr>
            </w:pPr>
          </w:p>
        </w:tc>
        <w:tc>
          <w:tcPr>
            <w:tcW w:w="300" w:type="dxa"/>
            <w:vAlign w:val="bottom"/>
            <w:tcBorders>
              <w:top w:val="single" w:sz="8" w:color="auto"/>
            </w:tcBorders>
            <w:shd w:val="clear" w:color="auto" w:fill="D9D9D9"/>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tcBorders>
              <w:top w:val="single" w:sz="8" w:color="auto"/>
            </w:tcBorders>
            <w:shd w:val="clear" w:color="auto" w:fill="D9D9D9"/>
          </w:tcPr>
          <w:p>
            <w:pPr>
              <w:jc w:val="right"/>
              <w:spacing w:after="0" w:line="220" w:lineRule="exact"/>
              <w:rPr>
                <w:sz w:val="20"/>
                <w:szCs w:val="20"/>
                <w:color w:val="auto"/>
              </w:rPr>
            </w:pPr>
            <w:r>
              <w:rPr>
                <w:rFonts w:ascii="Times New Roman" w:cs="Times New Roman" w:eastAsia="Times New Roman" w:hAnsi="Times New Roman"/>
                <w:sz w:val="20"/>
                <w:szCs w:val="20"/>
                <w:color w:val="auto"/>
              </w:rPr>
              <w:t>(2,028</w:t>
            </w:r>
          </w:p>
        </w:tc>
        <w:tc>
          <w:tcPr>
            <w:tcW w:w="440" w:type="dxa"/>
            <w:vAlign w:val="bottom"/>
            <w:tcBorders>
              <w:top w:val="single" w:sz="8" w:color="D9D9D9"/>
            </w:tcBorders>
            <w:shd w:val="clear" w:color="auto" w:fill="D9D9D9"/>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D9D9D9"/>
            </w:tcBorders>
            <w:shd w:val="clear" w:color="auto" w:fill="D9D9D9"/>
          </w:tcPr>
          <w:p>
            <w:pPr>
              <w:jc w:val="right"/>
              <w:spacing w:after="0" w:line="220" w:lineRule="exact"/>
              <w:rPr>
                <w:sz w:val="20"/>
                <w:szCs w:val="20"/>
                <w:color w:val="auto"/>
              </w:rPr>
            </w:pPr>
            <w:r>
              <w:rPr>
                <w:rFonts w:ascii="Times New Roman" w:cs="Times New Roman" w:eastAsia="Times New Roman" w:hAnsi="Times New Roman"/>
                <w:sz w:val="20"/>
                <w:szCs w:val="20"/>
                <w:color w:val="auto"/>
              </w:rPr>
              <w:t>29.0%</w:t>
            </w:r>
          </w:p>
        </w:tc>
      </w:tr>
      <w:tr>
        <w:trPr>
          <w:trHeight w:val="50"/>
        </w:trPr>
        <w:tc>
          <w:tcPr>
            <w:tcW w:w="5500" w:type="dxa"/>
            <w:vAlign w:val="bottom"/>
            <w:shd w:val="clear" w:color="auto" w:fill="D9D9D9"/>
          </w:tcPr>
          <w:p>
            <w:pPr>
              <w:spacing w:after="0"/>
              <w:rPr>
                <w:sz w:val="4"/>
                <w:szCs w:val="4"/>
                <w:color w:val="auto"/>
              </w:rPr>
            </w:pPr>
          </w:p>
        </w:tc>
        <w:tc>
          <w:tcPr>
            <w:tcW w:w="42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2040" w:type="dxa"/>
            <w:vAlign w:val="bottom"/>
            <w:shd w:val="clear" w:color="auto" w:fill="D9D9D9"/>
          </w:tcPr>
          <w:p>
            <w:pPr>
              <w:spacing w:after="0"/>
              <w:rPr>
                <w:sz w:val="4"/>
                <w:szCs w:val="4"/>
                <w:color w:val="auto"/>
              </w:rPr>
            </w:pPr>
          </w:p>
        </w:tc>
        <w:tc>
          <w:tcPr>
            <w:tcW w:w="440" w:type="dxa"/>
            <w:vAlign w:val="bottom"/>
            <w:shd w:val="clear" w:color="auto" w:fill="D9D9D9"/>
          </w:tcPr>
          <w:p>
            <w:pPr>
              <w:spacing w:after="0"/>
              <w:rPr>
                <w:sz w:val="4"/>
                <w:szCs w:val="4"/>
                <w:color w:val="auto"/>
              </w:rPr>
            </w:pPr>
          </w:p>
        </w:tc>
        <w:tc>
          <w:tcPr>
            <w:tcW w:w="660" w:type="dxa"/>
            <w:vAlign w:val="bottom"/>
            <w:shd w:val="clear" w:color="auto" w:fill="D9D9D9"/>
          </w:tcPr>
          <w:p>
            <w:pPr>
              <w:spacing w:after="0"/>
              <w:rPr>
                <w:sz w:val="4"/>
                <w:szCs w:val="4"/>
                <w:color w:val="auto"/>
              </w:rPr>
            </w:pPr>
          </w:p>
        </w:tc>
      </w:tr>
    </w:tbl>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*State taxes in California, New York and Texas made up the majority (greater than 50%) of the tax effect in this category.</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Deferred tax components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56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29"/>
        </w:trPr>
        <w:tc>
          <w:tcPr>
            <w:tcW w:w="5620" w:type="dxa"/>
            <w:vAlign w:val="bottom"/>
            <w:tcBorders>
              <w:top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Borders>
              <w:top w:val="single" w:sz="8" w:color="D9D9D9"/>
            </w:tcBorders>
            <w:shd w:val="clear" w:color="auto" w:fill="D9D9D9"/>
          </w:tcPr>
          <w:p>
            <w:pPr>
              <w:spacing w:after="0"/>
              <w:rPr>
                <w:sz w:val="19"/>
                <w:szCs w:val="19"/>
                <w:color w:val="auto"/>
              </w:rPr>
            </w:pPr>
          </w:p>
        </w:tc>
        <w:tc>
          <w:tcPr>
            <w:tcW w:w="20" w:type="dxa"/>
            <w:vAlign w:val="bottom"/>
            <w:tcBorders>
              <w:top w:val="single" w:sz="8" w:color="D9D9D9"/>
            </w:tcBorders>
            <w:shd w:val="clear" w:color="auto" w:fill="D9D9D9"/>
          </w:tcPr>
          <w:p>
            <w:pPr>
              <w:spacing w:after="0"/>
              <w:rPr>
                <w:sz w:val="19"/>
                <w:szCs w:val="19"/>
                <w:color w:val="auto"/>
              </w:rPr>
            </w:pPr>
          </w:p>
        </w:tc>
        <w:tc>
          <w:tcPr>
            <w:tcW w:w="980" w:type="dxa"/>
            <w:vAlign w:val="bottom"/>
            <w:tcBorders>
              <w:top w:val="single" w:sz="8" w:color="auto"/>
            </w:tcBorders>
            <w:shd w:val="clear" w:color="auto" w:fill="D9D9D9"/>
          </w:tcPr>
          <w:p>
            <w:pPr>
              <w:spacing w:after="0"/>
              <w:rPr>
                <w:sz w:val="19"/>
                <w:szCs w:val="19"/>
                <w:color w:val="auto"/>
              </w:rPr>
            </w:pPr>
          </w:p>
        </w:tc>
        <w:tc>
          <w:tcPr>
            <w:tcW w:w="620" w:type="dxa"/>
            <w:vAlign w:val="bottom"/>
            <w:tcBorders>
              <w:top w:val="single" w:sz="8" w:color="auto"/>
            </w:tcBorders>
            <w:shd w:val="clear" w:color="auto" w:fill="D9D9D9"/>
          </w:tcPr>
          <w:p>
            <w:pPr>
              <w:spacing w:after="0"/>
              <w:rPr>
                <w:sz w:val="19"/>
                <w:szCs w:val="19"/>
                <w:color w:val="auto"/>
              </w:rPr>
            </w:pPr>
          </w:p>
        </w:tc>
        <w:tc>
          <w:tcPr>
            <w:tcW w:w="260" w:type="dxa"/>
            <w:vAlign w:val="bottom"/>
            <w:tcBorders>
              <w:top w:val="single" w:sz="8" w:color="D9D9D9"/>
            </w:tcBorders>
            <w:shd w:val="clear" w:color="auto" w:fill="D9D9D9"/>
          </w:tcPr>
          <w:p>
            <w:pPr>
              <w:spacing w:after="0"/>
              <w:rPr>
                <w:sz w:val="19"/>
                <w:szCs w:val="19"/>
                <w:color w:val="auto"/>
              </w:rPr>
            </w:pPr>
          </w:p>
        </w:tc>
        <w:tc>
          <w:tcPr>
            <w:tcW w:w="580" w:type="dxa"/>
            <w:vAlign w:val="bottom"/>
            <w:tcBorders>
              <w:top w:val="single" w:sz="8" w:color="auto"/>
            </w:tcBorders>
            <w:shd w:val="clear" w:color="auto" w:fill="D9D9D9"/>
          </w:tcPr>
          <w:p>
            <w:pPr>
              <w:spacing w:after="0"/>
              <w:rPr>
                <w:sz w:val="19"/>
                <w:szCs w:val="19"/>
                <w:color w:val="auto"/>
              </w:rPr>
            </w:pPr>
          </w:p>
        </w:tc>
        <w:tc>
          <w:tcPr>
            <w:tcW w:w="1040" w:type="dxa"/>
            <w:vAlign w:val="bottom"/>
            <w:tcBorders>
              <w:top w:val="single" w:sz="8" w:color="auto"/>
            </w:tcBorders>
            <w:shd w:val="clear" w:color="auto" w:fill="D9D9D9"/>
          </w:tcPr>
          <w:p>
            <w:pPr>
              <w:spacing w:after="0"/>
              <w:rPr>
                <w:sz w:val="19"/>
                <w:szCs w:val="19"/>
                <w:color w:val="auto"/>
              </w:rPr>
            </w:pPr>
          </w:p>
        </w:tc>
        <w:tc>
          <w:tcPr>
            <w:tcW w:w="80" w:type="dxa"/>
            <w:vAlign w:val="bottom"/>
            <w:tcBorders>
              <w:top w:val="single" w:sz="8" w:color="D9D9D9"/>
            </w:tcBorders>
            <w:shd w:val="clear" w:color="auto" w:fill="D9D9D9"/>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liability for vacation</w:t>
            </w:r>
          </w:p>
        </w:tc>
        <w:tc>
          <w:tcPr>
            <w:tcW w:w="1160" w:type="dxa"/>
            <w:vAlign w:val="bottom"/>
            <w:gridSpan w:val="3"/>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141</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173</w:t>
            </w: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Accrued commissions and bonuses / compensation</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88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432</w:t>
            </w:r>
          </w:p>
        </w:tc>
        <w:tc>
          <w:tcPr>
            <w:tcW w:w="5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Accrued contingencies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317</w:t>
            </w:r>
          </w:p>
        </w:tc>
        <w:tc>
          <w:tcPr>
            <w:tcW w:w="5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88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122</w:t>
            </w:r>
          </w:p>
        </w:tc>
        <w:tc>
          <w:tcPr>
            <w:tcW w:w="5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518</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Bad debt reserve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553</w:t>
            </w:r>
          </w:p>
        </w:tc>
        <w:tc>
          <w:tcPr>
            <w:tcW w:w="5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326</w:t>
            </w:r>
          </w:p>
        </w:tc>
      </w:tr>
      <w:tr>
        <w:trPr>
          <w:trHeight w:val="229"/>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Capitalized R&amp;D expenses</w:t>
            </w: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88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9D9D9"/>
          </w:tcPr>
          <w:p>
            <w:pPr>
              <w:spacing w:after="0"/>
              <w:rPr>
                <w:sz w:val="19"/>
                <w:szCs w:val="19"/>
                <w:color w:val="auto"/>
              </w:rPr>
            </w:pPr>
          </w:p>
        </w:tc>
        <w:tc>
          <w:tcPr>
            <w:tcW w:w="11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850</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Charitable contributions carryforward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88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851</w:t>
            </w:r>
          </w:p>
        </w:tc>
        <w:tc>
          <w:tcPr>
            <w:tcW w:w="5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261</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3,660</w:t>
            </w:r>
          </w:p>
        </w:tc>
        <w:tc>
          <w:tcPr>
            <w:tcW w:w="5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4,092</w:t>
            </w: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Inventory reserve</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88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3,010</w:t>
            </w:r>
          </w:p>
        </w:tc>
        <w:tc>
          <w:tcPr>
            <w:tcW w:w="5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2,834</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carryovers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8,814</w:t>
            </w:r>
          </w:p>
        </w:tc>
        <w:tc>
          <w:tcPr>
            <w:tcW w:w="5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19,160</w:t>
            </w:r>
          </w:p>
        </w:tc>
      </w:tr>
      <w:tr>
        <w:trPr>
          <w:trHeight w:val="229"/>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option compensation</w:t>
            </w:r>
          </w:p>
        </w:tc>
        <w:tc>
          <w:tcPr>
            <w:tcW w:w="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88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1,230</w:t>
            </w:r>
          </w:p>
        </w:tc>
        <w:tc>
          <w:tcPr>
            <w:tcW w:w="580" w:type="dxa"/>
            <w:vAlign w:val="bottom"/>
            <w:shd w:val="clear" w:color="auto" w:fill="D9D9D9"/>
          </w:tcPr>
          <w:p>
            <w:pPr>
              <w:spacing w:after="0"/>
              <w:rPr>
                <w:sz w:val="19"/>
                <w:szCs w:val="19"/>
                <w:color w:val="auto"/>
              </w:rPr>
            </w:pPr>
          </w:p>
        </w:tc>
        <w:tc>
          <w:tcPr>
            <w:tcW w:w="112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1,022</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UNICAP</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142</w:t>
            </w:r>
          </w:p>
        </w:tc>
        <w:tc>
          <w:tcPr>
            <w:tcW w:w="5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115</w:t>
            </w:r>
          </w:p>
        </w:tc>
      </w:tr>
      <w:tr>
        <w:trPr>
          <w:trHeight w:val="239"/>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60" w:type="dxa"/>
            <w:vAlign w:val="bottom"/>
            <w:tcBorders>
              <w:bottom w:val="single" w:sz="8" w:color="D9D9D9"/>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shd w:val="clear" w:color="auto" w:fill="D9D9D9"/>
          </w:tcPr>
          <w:p>
            <w:pPr>
              <w:spacing w:after="0"/>
              <w:rPr>
                <w:sz w:val="20"/>
                <w:szCs w:val="20"/>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19,429</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29,662</w:t>
            </w:r>
          </w:p>
        </w:tc>
        <w:tc>
          <w:tcPr>
            <w:tcW w:w="80" w:type="dxa"/>
            <w:vAlign w:val="bottom"/>
          </w:tcPr>
          <w:p>
            <w:pPr>
              <w:spacing w:after="0"/>
              <w:rPr>
                <w:sz w:val="20"/>
                <w:szCs w:val="20"/>
                <w:color w:val="auto"/>
              </w:rPr>
            </w:pPr>
          </w:p>
        </w:tc>
      </w:tr>
      <w:tr>
        <w:trPr>
          <w:trHeight w:val="230"/>
        </w:trPr>
        <w:tc>
          <w:tcPr>
            <w:tcW w:w="56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620" w:type="dxa"/>
            <w:vAlign w:val="bottom"/>
            <w:shd w:val="clear" w:color="auto" w:fill="D9D9D9"/>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104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880" w:type="dxa"/>
            <w:vAlign w:val="bottom"/>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(370)</w:t>
            </w:r>
          </w:p>
        </w:tc>
        <w:tc>
          <w:tcPr>
            <w:tcW w:w="5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(470)</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Right of use asset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(815)</w:t>
            </w:r>
          </w:p>
        </w:tc>
        <w:tc>
          <w:tcPr>
            <w:tcW w:w="5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(220)</w:t>
            </w:r>
          </w:p>
        </w:tc>
      </w:tr>
      <w:tr>
        <w:trPr>
          <w:trHeight w:val="239"/>
        </w:trPr>
        <w:tc>
          <w:tcPr>
            <w:tcW w:w="56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Prepaids</w:t>
            </w: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60" w:type="dxa"/>
            <w:vAlign w:val="bottom"/>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shd w:val="clear" w:color="auto" w:fill="D9D9D9"/>
          </w:tcPr>
          <w:p>
            <w:pPr>
              <w:spacing w:after="0"/>
              <w:rPr>
                <w:sz w:val="20"/>
                <w:szCs w:val="20"/>
                <w:color w:val="auto"/>
              </w:rPr>
            </w:pPr>
          </w:p>
        </w:tc>
      </w:tr>
      <w:tr>
        <w:trPr>
          <w:trHeight w:val="240"/>
        </w:trPr>
        <w:tc>
          <w:tcPr>
            <w:tcW w:w="562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26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80" w:type="dxa"/>
            <w:vAlign w:val="bottom"/>
            <w:tcBorders>
              <w:bottom w:val="single" w:sz="8" w:color="D9D9D9"/>
            </w:tcBorders>
          </w:tcPr>
          <w:p>
            <w:pPr>
              <w:spacing w:after="0"/>
              <w:rPr>
                <w:sz w:val="20"/>
                <w:szCs w:val="20"/>
                <w:color w:val="auto"/>
              </w:rPr>
            </w:pPr>
          </w:p>
        </w:tc>
      </w:tr>
      <w:tr>
        <w:trPr>
          <w:trHeight w:val="230"/>
        </w:trPr>
        <w:tc>
          <w:tcPr>
            <w:tcW w:w="56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c>
          <w:tcPr>
            <w:tcW w:w="880" w:type="dxa"/>
            <w:vAlign w:val="bottom"/>
            <w:gridSpan w:val="2"/>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1120" w:type="dxa"/>
            <w:vAlign w:val="bottom"/>
            <w:gridSpan w:val="2"/>
            <w:shd w:val="clear" w:color="auto" w:fill="D9D9D9"/>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6"/>
              </w:rPr>
              <w:t>(18,177)</w:t>
            </w:r>
          </w:p>
        </w:tc>
        <w:tc>
          <w:tcPr>
            <w:tcW w:w="5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(28,949)</w:t>
            </w:r>
          </w:p>
        </w:tc>
      </w:tr>
      <w:tr>
        <w:trPr>
          <w:trHeight w:val="230"/>
        </w:trPr>
        <w:tc>
          <w:tcPr>
            <w:tcW w:w="5620" w:type="dxa"/>
            <w:vAlign w:val="bottom"/>
            <w:tcBorders>
              <w:top w:val="single" w:sz="8" w:color="D9D9D9"/>
            </w:tcBorders>
            <w:shd w:val="clear" w:color="auto" w:fill="D9D9D9"/>
          </w:tcPr>
          <w:p>
            <w:pPr>
              <w:spacing w:after="0"/>
              <w:rPr>
                <w:sz w:val="20"/>
                <w:szCs w:val="20"/>
                <w:color w:val="auto"/>
              </w:rPr>
            </w:pPr>
          </w:p>
        </w:tc>
        <w:tc>
          <w:tcPr>
            <w:tcW w:w="160" w:type="dxa"/>
            <w:vAlign w:val="bottom"/>
            <w:tcBorders>
              <w:top w:val="single" w:sz="8" w:color="D9D9D9"/>
            </w:tcBorders>
            <w:shd w:val="clear" w:color="auto" w:fill="D9D9D9"/>
          </w:tcPr>
          <w:p>
            <w:pPr>
              <w:spacing w:after="0"/>
              <w:rPr>
                <w:sz w:val="20"/>
                <w:szCs w:val="20"/>
                <w:color w:val="auto"/>
              </w:rPr>
            </w:pPr>
          </w:p>
        </w:tc>
        <w:tc>
          <w:tcPr>
            <w:tcW w:w="20" w:type="dxa"/>
            <w:vAlign w:val="bottom"/>
            <w:tcBorders>
              <w:top w:val="single" w:sz="8" w:color="D9D9D9"/>
            </w:tcBorders>
            <w:shd w:val="clear" w:color="auto" w:fill="D9D9D9"/>
          </w:tcPr>
          <w:p>
            <w:pPr>
              <w:spacing w:after="0"/>
              <w:rPr>
                <w:sz w:val="20"/>
                <w:szCs w:val="20"/>
                <w:color w:val="auto"/>
              </w:rPr>
            </w:pPr>
          </w:p>
        </w:tc>
        <w:tc>
          <w:tcPr>
            <w:tcW w:w="980" w:type="dxa"/>
            <w:vAlign w:val="bottom"/>
            <w:tcBorders>
              <w:top w:val="single" w:sz="8" w:color="auto"/>
            </w:tcBorders>
            <w:shd w:val="clear" w:color="auto" w:fill="D9D9D9"/>
          </w:tcPr>
          <w:p>
            <w:pPr>
              <w:spacing w:after="0"/>
              <w:rPr>
                <w:sz w:val="20"/>
                <w:szCs w:val="20"/>
                <w:color w:val="auto"/>
              </w:rPr>
            </w:pPr>
          </w:p>
        </w:tc>
        <w:tc>
          <w:tcPr>
            <w:tcW w:w="620" w:type="dxa"/>
            <w:vAlign w:val="bottom"/>
            <w:tcBorders>
              <w:top w:val="single" w:sz="8" w:color="auto"/>
            </w:tcBorders>
            <w:shd w:val="clear" w:color="auto" w:fill="D9D9D9"/>
          </w:tcPr>
          <w:p>
            <w:pPr>
              <w:spacing w:after="0"/>
              <w:rPr>
                <w:sz w:val="20"/>
                <w:szCs w:val="20"/>
                <w:color w:val="auto"/>
              </w:rPr>
            </w:pPr>
          </w:p>
        </w:tc>
        <w:tc>
          <w:tcPr>
            <w:tcW w:w="260" w:type="dxa"/>
            <w:vAlign w:val="bottom"/>
            <w:tcBorders>
              <w:top w:val="single" w:sz="8" w:color="D9D9D9"/>
            </w:tcBorders>
            <w:shd w:val="clear" w:color="auto" w:fill="D9D9D9"/>
          </w:tcPr>
          <w:p>
            <w:pPr>
              <w:spacing w:after="0"/>
              <w:rPr>
                <w:sz w:val="20"/>
                <w:szCs w:val="20"/>
                <w:color w:val="auto"/>
              </w:rPr>
            </w:pPr>
          </w:p>
        </w:tc>
        <w:tc>
          <w:tcPr>
            <w:tcW w:w="580" w:type="dxa"/>
            <w:vAlign w:val="bottom"/>
            <w:tcBorders>
              <w:top w:val="single" w:sz="8" w:color="auto"/>
            </w:tcBorders>
            <w:shd w:val="clear" w:color="auto" w:fill="D9D9D9"/>
          </w:tcPr>
          <w:p>
            <w:pPr>
              <w:spacing w:after="0"/>
              <w:rPr>
                <w:sz w:val="20"/>
                <w:szCs w:val="20"/>
                <w:color w:val="auto"/>
              </w:rPr>
            </w:pPr>
          </w:p>
        </w:tc>
        <w:tc>
          <w:tcPr>
            <w:tcW w:w="1040" w:type="dxa"/>
            <w:vAlign w:val="bottom"/>
            <w:tcBorders>
              <w:top w:val="single" w:sz="8" w:color="auto"/>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160" w:type="dxa"/>
            <w:vAlign w:val="bottom"/>
            <w:gridSpan w:val="3"/>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4695825</wp:posOffset>
                </wp:positionH>
                <wp:positionV relativeFrom="paragraph">
                  <wp:posOffset>-1704975</wp:posOffset>
                </wp:positionV>
                <wp:extent cx="17145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34.2499pt" to="383.25pt,-134.2499pt" o:allowincell="f" strokecolor="#FFFFFF"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40" w:right="1440" w:bottom="175"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67"/>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Income taxes paid or refunded are as follows (in thousands):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9"/>
        </w:trPr>
        <w:tc>
          <w:tcPr>
            <w:tcW w:w="7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7160" w:type="dxa"/>
            <w:vAlign w:val="bottom"/>
            <w:tcBorders>
              <w:bottom w:val="single" w:sz="8" w:color="D9D9D9"/>
            </w:tcBorders>
          </w:tcPr>
          <w:p>
            <w:pPr>
              <w:spacing w:after="0"/>
              <w:rPr>
                <w:sz w:val="20"/>
                <w:szCs w:val="20"/>
                <w:color w:val="auto"/>
              </w:rPr>
            </w:pPr>
          </w:p>
        </w:tc>
        <w:tc>
          <w:tcPr>
            <w:tcW w:w="6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D9D9D9"/>
            </w:tcBorders>
          </w:tcPr>
          <w:p>
            <w:pPr>
              <w:spacing w:after="0"/>
              <w:rPr>
                <w:sz w:val="20"/>
                <w:szCs w:val="20"/>
                <w:color w:val="auto"/>
              </w:rPr>
            </w:pPr>
          </w:p>
        </w:tc>
      </w:tr>
      <w:tr>
        <w:trPr>
          <w:trHeight w:val="229"/>
        </w:trPr>
        <w:tc>
          <w:tcPr>
            <w:tcW w:w="71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9D9D9"/>
          </w:tcPr>
          <w:p>
            <w:pPr>
              <w:spacing w:after="0"/>
              <w:rPr>
                <w:sz w:val="19"/>
                <w:szCs w:val="19"/>
                <w:color w:val="auto"/>
              </w:rPr>
            </w:pPr>
          </w:p>
        </w:tc>
        <w:tc>
          <w:tcPr>
            <w:tcW w:w="1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9D9D9"/>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716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Texas</w:t>
            </w:r>
          </w:p>
        </w:tc>
        <w:tc>
          <w:tcPr>
            <w:tcW w:w="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260" w:type="dxa"/>
            <w:vAlign w:val="bottom"/>
            <w:gridSpan w:val="3"/>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70</w:t>
            </w:r>
          </w:p>
        </w:tc>
      </w:tr>
      <w:tr>
        <w:trPr>
          <w:trHeight w:val="209"/>
        </w:trPr>
        <w:tc>
          <w:tcPr>
            <w:tcW w:w="7160" w:type="dxa"/>
            <w:vAlign w:val="bottom"/>
          </w:tcPr>
          <w:p>
            <w:pPr>
              <w:ind w:left="180"/>
              <w:spacing w:after="0" w:line="209" w:lineRule="exact"/>
              <w:rPr>
                <w:sz w:val="20"/>
                <w:szCs w:val="20"/>
                <w:color w:val="auto"/>
              </w:rPr>
            </w:pPr>
            <w:r>
              <w:rPr>
                <w:rFonts w:ascii="Times New Roman" w:cs="Times New Roman" w:eastAsia="Times New Roman" w:hAnsi="Times New Roman"/>
                <w:sz w:val="20"/>
                <w:szCs w:val="20"/>
                <w:color w:val="auto"/>
              </w:rPr>
              <w:t>New York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17</w:t>
            </w:r>
          </w:p>
        </w:tc>
        <w:tc>
          <w:tcPr>
            <w:tcW w:w="80" w:type="dxa"/>
            <w:vAlign w:val="bottom"/>
            <w:tcBorders>
              <w:top w:val="single" w:sz="8" w:color="D9D9D9"/>
            </w:tcBorders>
          </w:tcPr>
          <w:p>
            <w:pPr>
              <w:spacing w:after="0"/>
              <w:rPr>
                <w:sz w:val="18"/>
                <w:szCs w:val="18"/>
                <w:color w:val="auto"/>
              </w:rPr>
            </w:pPr>
          </w:p>
        </w:tc>
      </w:tr>
      <w:tr>
        <w:trPr>
          <w:trHeight w:val="230"/>
        </w:trPr>
        <w:tc>
          <w:tcPr>
            <w:tcW w:w="716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Tennessee</w:t>
            </w:r>
          </w:p>
        </w:tc>
        <w:tc>
          <w:tcPr>
            <w:tcW w:w="6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60" w:type="dxa"/>
            <w:vAlign w:val="bottom"/>
            <w:shd w:val="clear" w:color="auto" w:fill="D9D9D9"/>
          </w:tcPr>
          <w:p>
            <w:pPr>
              <w:spacing w:after="0"/>
              <w:rPr>
                <w:sz w:val="20"/>
                <w:szCs w:val="20"/>
                <w:color w:val="auto"/>
              </w:rPr>
            </w:pPr>
          </w:p>
        </w:tc>
        <w:tc>
          <w:tcPr>
            <w:tcW w:w="20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7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25</w:t>
            </w:r>
          </w:p>
        </w:tc>
      </w:tr>
      <w:tr>
        <w:trPr>
          <w:trHeight w:val="229"/>
        </w:trPr>
        <w:tc>
          <w:tcPr>
            <w:tcW w:w="716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2000" w:type="dxa"/>
            <w:vAlign w:val="bottom"/>
            <w:gridSpan w:val="2"/>
            <w:shd w:val="clear" w:color="auto" w:fill="D9D9D9"/>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16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2260" w:type="dxa"/>
            <w:vAlign w:val="bottom"/>
            <w:gridSpan w:val="3"/>
            <w:shd w:val="clear" w:color="auto" w:fill="D9D9D9"/>
          </w:tcPr>
          <w:p>
            <w:pPr>
              <w:spacing w:after="0"/>
              <w:rPr>
                <w:sz w:val="19"/>
                <w:szCs w:val="19"/>
                <w:color w:val="auto"/>
              </w:rPr>
            </w:pPr>
          </w:p>
        </w:tc>
      </w:tr>
      <w:tr>
        <w:trPr>
          <w:trHeight w:val="26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taxes paid (refunded):</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121</w:t>
            </w:r>
          </w:p>
        </w:tc>
      </w:tr>
    </w:tbl>
    <w:p>
      <w:pPr>
        <w:spacing w:after="0" w:line="184" w:lineRule="exact"/>
        <w:rPr>
          <w:sz w:val="20"/>
          <w:szCs w:val="20"/>
          <w:color w:val="auto"/>
        </w:rPr>
      </w:pPr>
    </w:p>
    <w:p>
      <w:pPr>
        <w:jc w:val="both"/>
        <w:ind w:right="220" w:firstLine="720"/>
        <w:spacing w:after="0" w:line="246" w:lineRule="auto"/>
        <w:rPr>
          <w:sz w:val="20"/>
          <w:szCs w:val="20"/>
          <w:color w:val="auto"/>
        </w:rPr>
      </w:pPr>
      <w:r>
        <w:rPr>
          <w:rFonts w:ascii="Times New Roman" w:cs="Times New Roman" w:eastAsia="Times New Roman" w:hAnsi="Times New Roman"/>
          <w:sz w:val="20"/>
          <w:szCs w:val="20"/>
          <w:color w:val="auto"/>
        </w:rPr>
        <w:t>The ultimate realization of deferred tax assets is dependent upon the existence, or generation, of taxable income in the periods when those temporary differences and net operating loss carryovers are deductible. Management considers the scheduled reversal of deferred tax liabilities, taxes paid in carryover years, projected future taxable income, available tax planning strategies, and other factors in making this assessment. Based on available evidence, management does not believe it is more likely than not that all of the deferred tax assets will be realized. Accordingly, the Company has established a valuation allowance equal to the realizable deferred tax assets. The valuation allowance decreased by $10.8 million in 2025 and increased by $3.2 million in 2024.</w:t>
      </w:r>
    </w:p>
    <w:p>
      <w:pPr>
        <w:spacing w:after="0" w:line="199" w:lineRule="exact"/>
        <w:rPr>
          <w:sz w:val="20"/>
          <w:szCs w:val="20"/>
          <w:color w:val="auto"/>
        </w:rPr>
      </w:pPr>
    </w:p>
    <w:p>
      <w:pPr>
        <w:jc w:val="both"/>
        <w:ind w:right="220" w:firstLine="720"/>
        <w:spacing w:after="0" w:line="249" w:lineRule="auto"/>
        <w:rPr>
          <w:sz w:val="20"/>
          <w:szCs w:val="20"/>
          <w:color w:val="auto"/>
        </w:rPr>
      </w:pPr>
      <w:r>
        <w:rPr>
          <w:rFonts w:ascii="Times New Roman" w:cs="Times New Roman" w:eastAsia="Times New Roman" w:hAnsi="Times New Roman"/>
          <w:sz w:val="20"/>
          <w:szCs w:val="20"/>
          <w:color w:val="auto"/>
        </w:rPr>
        <w:t>At December 31, 2025, the Company had total domestic Federal, state and foreign net operating loss carryovers of approximately $34.1 million, $36.7 million and $0.0 million, respectively. Federal net operating losses generated prior to 2018 and State net operating loss carryovers expire at various dates between 2026 and 2045. Federal net operating losses generated after 2017 have an indefinite carryforward and are only available to offset 80% taxable income beginning in 2021. Foreign net operating losses carry forward indefinitely.</w:t>
      </w:r>
    </w:p>
    <w:p>
      <w:pPr>
        <w:spacing w:after="0" w:line="198" w:lineRule="exact"/>
        <w:rPr>
          <w:sz w:val="20"/>
          <w:szCs w:val="20"/>
          <w:color w:val="auto"/>
        </w:rPr>
      </w:pPr>
    </w:p>
    <w:p>
      <w:pPr>
        <w:jc w:val="both"/>
        <w:ind w:right="220" w:firstLine="720"/>
        <w:spacing w:after="0" w:line="246" w:lineRule="auto"/>
        <w:rPr>
          <w:sz w:val="20"/>
          <w:szCs w:val="20"/>
          <w:color w:val="auto"/>
        </w:rPr>
      </w:pPr>
      <w:r>
        <w:rPr>
          <w:rFonts w:ascii="Times New Roman" w:cs="Times New Roman" w:eastAsia="Times New Roman" w:hAnsi="Times New Roman"/>
          <w:sz w:val="20"/>
          <w:szCs w:val="20"/>
          <w:color w:val="auto"/>
        </w:rPr>
        <w:t>The Company has completed studies to assess whether an ownership change, as defined by Section 382 of the Code, had occurred from the Company’s formation through December 31, 2025. Based upon these studies, the Company determined that ownership changes occurred during 2018 and 2025. Accordingly, the Company reduced its deferred tax assets related to the federal NOL carryforwards that are anticipated to expire unused as a result of these ownership changes. These tax attributes were excluded from deferred tax assets with a corresponding reduction of the valuation allowance with no net effect on income tax expense or the effective tax rate. Future ownership changes may further limit the Company’s ability to utilize its remaining tax attributes.</w:t>
      </w:r>
    </w:p>
    <w:p>
      <w:pPr>
        <w:spacing w:after="0" w:line="199"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2023 through 2025 tax years remain open to examination by the Internal Revenue Service and various other state and foreign tax agencies. These taxing authorities have the authority to examine those tax years until the applicable statute of limitations expire. Foreign tax years remain open from 2022 to 2025.</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we have no unrecognized tax benefits in long-term liabilities.</w:t>
      </w:r>
    </w:p>
    <w:p>
      <w:pPr>
        <w:spacing w:after="0" w:line="240" w:lineRule="exact"/>
        <w:rPr>
          <w:sz w:val="20"/>
          <w:szCs w:val="20"/>
          <w:color w:val="auto"/>
        </w:rPr>
      </w:pPr>
    </w:p>
    <w:p>
      <w:pPr>
        <w:jc w:val="both"/>
        <w:ind w:right="220" w:firstLine="720"/>
        <w:spacing w:after="0" w:line="278" w:lineRule="auto"/>
        <w:rPr>
          <w:sz w:val="20"/>
          <w:szCs w:val="20"/>
          <w:color w:val="auto"/>
        </w:rPr>
      </w:pPr>
      <w:r>
        <w:rPr>
          <w:rFonts w:ascii="Times New Roman" w:cs="Times New Roman" w:eastAsia="Times New Roman" w:hAnsi="Times New Roman"/>
          <w:sz w:val="20"/>
          <w:szCs w:val="20"/>
          <w:color w:val="auto"/>
        </w:rPr>
        <w:t>The Company did not recognize any material interest or penalties related to income taxes for the years ended December 31, 2025 and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Net Income (Loss) Per Share</w:t>
      </w:r>
    </w:p>
    <w:p>
      <w:pPr>
        <w:spacing w:after="0" w:line="244" w:lineRule="exact"/>
        <w:rPr>
          <w:sz w:val="20"/>
          <w:szCs w:val="20"/>
          <w:color w:val="auto"/>
        </w:rPr>
      </w:pPr>
    </w:p>
    <w:p>
      <w:pPr>
        <w:jc w:val="both"/>
        <w:ind w:right="220" w:firstLine="720"/>
        <w:spacing w:after="0" w:line="245" w:lineRule="auto"/>
        <w:rPr>
          <w:sz w:val="20"/>
          <w:szCs w:val="20"/>
          <w:color w:val="auto"/>
        </w:rPr>
      </w:pPr>
      <w:r>
        <w:rPr>
          <w:rFonts w:ascii="Times New Roman" w:cs="Times New Roman" w:eastAsia="Times New Roman" w:hAnsi="Times New Roman"/>
          <w:sz w:val="20"/>
          <w:szCs w:val="20"/>
          <w:color w:val="auto"/>
        </w:rPr>
        <w:t>Basic net income (loss) per share is computed by dividing net income (loss) by the weighted average number of shares of common stock outstanding. Shares issued during the period and shares reacquired during the period are weighted for the portion of the period that they were outstanding. Diluted net income (loss)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 Diluted net income (loss) per share was the same as basic net income (loss) per share for the year ended December 31, 2024, as shares issuable upon the exercise of stock options and warrants were anti-dilutive as a result of the net loss incurred for the period.</w:t>
      </w:r>
    </w:p>
    <w:p>
      <w:pPr>
        <w:sectPr>
          <w:pgSz w:w="12240" w:h="15840" w:orient="portrait"/>
          <w:cols w:equalWidth="0" w:num="1">
            <w:col w:w="9580"/>
          </w:cols>
          <w:pgMar w:left="1440" w:top="1420" w:right="1220" w:bottom="17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580"/>
          </w:cols>
          <w:pgMar w:left="1440" w:top="1420" w:right="1220" w:bottom="175" w:gutter="0" w:footer="0" w:header="0"/>
          <w:type w:val="continuous"/>
        </w:sectPr>
      </w:pPr>
    </w:p>
    <w:bookmarkStart w:id="92" w:name="page93"/>
    <w:bookmarkEnd w:id="92"/>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The table below sets forth the computation of basic and diluted earnings per share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0"/>
        </w:trPr>
        <w:tc>
          <w:tcPr>
            <w:tcW w:w="598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D9D9D9"/>
            </w:tcBorders>
          </w:tcPr>
          <w:p>
            <w:pPr>
              <w:spacing w:after="0"/>
              <w:rPr>
                <w:sz w:val="20"/>
                <w:szCs w:val="20"/>
                <w:color w:val="auto"/>
              </w:rPr>
            </w:pPr>
          </w:p>
        </w:tc>
        <w:tc>
          <w:tcPr>
            <w:tcW w:w="20" w:type="dxa"/>
            <w:vAlign w:val="bottom"/>
            <w:tcBorders>
              <w:top w:val="single" w:sz="8" w:color="auto"/>
              <w:bottom w:val="single" w:sz="8" w:color="D9D9D9"/>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D9D9D9"/>
            </w:tcBorders>
          </w:tcPr>
          <w:p>
            <w:pPr>
              <w:spacing w:after="0"/>
              <w:rPr>
                <w:sz w:val="20"/>
                <w:szCs w:val="20"/>
                <w:color w:val="auto"/>
              </w:rPr>
            </w:pPr>
          </w:p>
        </w:tc>
      </w:tr>
      <w:tr>
        <w:trPr>
          <w:trHeight w:val="229"/>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180" w:type="dxa"/>
            <w:vAlign w:val="bottom"/>
            <w:tcBorders>
              <w:right w:val="single" w:sz="8" w:color="D9D9D9"/>
            </w:tcBorders>
            <w:shd w:val="clear" w:color="auto" w:fill="D9D9D9"/>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3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4,973</w:t>
            </w:r>
          </w:p>
        </w:tc>
        <w:tc>
          <w:tcPr>
            <w:tcW w:w="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(16,449)</w:t>
            </w:r>
          </w:p>
        </w:tc>
        <w:tc>
          <w:tcPr>
            <w:tcW w:w="100" w:type="dxa"/>
            <w:vAlign w:val="bottom"/>
          </w:tcPr>
          <w:p>
            <w:pPr>
              <w:spacing w:after="0"/>
              <w:rPr>
                <w:sz w:val="20"/>
                <w:szCs w:val="20"/>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00" w:type="dxa"/>
            <w:vAlign w:val="bottom"/>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180" w:type="dxa"/>
            <w:vAlign w:val="bottom"/>
            <w:tcBorders>
              <w:right w:val="single" w:sz="8" w:color="D9D9D9"/>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r>
      <w:tr>
        <w:trPr>
          <w:trHeight w:val="209"/>
        </w:trPr>
        <w:tc>
          <w:tcPr>
            <w:tcW w:w="5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Basic – weighted average shares outstanding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139,531,791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highlight w:val="white"/>
              </w:rPr>
              <w:t>133,665,075</w:t>
            </w:r>
          </w:p>
        </w:tc>
        <w:tc>
          <w:tcPr>
            <w:tcW w:w="100" w:type="dxa"/>
            <w:vAlign w:val="bottom"/>
          </w:tcPr>
          <w:p>
            <w:pPr>
              <w:spacing w:after="0"/>
              <w:rPr>
                <w:sz w:val="18"/>
                <w:szCs w:val="18"/>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180" w:type="dxa"/>
            <w:vAlign w:val="bottom"/>
            <w:tcBorders>
              <w:right w:val="single" w:sz="8" w:color="D9D9D9"/>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r>
      <w:tr>
        <w:trPr>
          <w:trHeight w:val="210"/>
        </w:trPr>
        <w:tc>
          <w:tcPr>
            <w:tcW w:w="5980" w:type="dxa"/>
            <w:vAlign w:val="bottom"/>
          </w:tcPr>
          <w:p>
            <w:pPr>
              <w:ind w:left="200"/>
              <w:spacing w:after="0" w:line="209" w:lineRule="exact"/>
              <w:rPr>
                <w:sz w:val="20"/>
                <w:szCs w:val="20"/>
                <w:color w:val="auto"/>
              </w:rPr>
            </w:pPr>
            <w:r>
              <w:rPr>
                <w:rFonts w:ascii="Times New Roman" w:cs="Times New Roman" w:eastAsia="Times New Roman" w:hAnsi="Times New Roman"/>
                <w:sz w:val="20"/>
                <w:szCs w:val="20"/>
                <w:color w:val="auto"/>
              </w:rPr>
              <w:t>Employee restricted stock units, deferred stock units and performance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units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5,434,407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980" w:type="dxa"/>
            <w:vAlign w:val="bottom"/>
            <w:shd w:val="clear" w:color="auto" w:fill="D9D9D9"/>
          </w:tcPr>
          <w:p>
            <w:pPr>
              <w:ind w:left="200"/>
              <w:spacing w:after="0"/>
              <w:rPr>
                <w:sz w:val="20"/>
                <w:szCs w:val="20"/>
                <w:color w:val="auto"/>
              </w:rPr>
            </w:pPr>
            <w:r>
              <w:rPr>
                <w:rFonts w:ascii="Times New Roman" w:cs="Times New Roman" w:eastAsia="Times New Roman" w:hAnsi="Times New Roman"/>
                <w:sz w:val="20"/>
                <w:szCs w:val="20"/>
                <w:color w:val="auto"/>
              </w:rPr>
              <w:t>Warrants</w:t>
            </w:r>
          </w:p>
        </w:tc>
        <w:tc>
          <w:tcPr>
            <w:tcW w:w="2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18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5,076,358</w:t>
            </w:r>
          </w:p>
        </w:tc>
        <w:tc>
          <w:tcPr>
            <w:tcW w:w="20" w:type="dxa"/>
            <w:vAlign w:val="bottom"/>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Diluted – weighted average shares outstanding</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150,042,556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133,665,075</w:t>
            </w:r>
          </w:p>
        </w:tc>
        <w:tc>
          <w:tcPr>
            <w:tcW w:w="100" w:type="dxa"/>
            <w:vAlign w:val="bottom"/>
          </w:tcPr>
          <w:p>
            <w:pPr>
              <w:spacing w:after="0"/>
              <w:rPr>
                <w:sz w:val="19"/>
                <w:szCs w:val="19"/>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Basic earnings per share</w:t>
            </w:r>
          </w:p>
        </w:tc>
        <w:tc>
          <w:tcPr>
            <w:tcW w:w="20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1180" w:type="dxa"/>
            <w:vAlign w:val="bottom"/>
            <w:tcBorders>
              <w:right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(0.12)</w:t>
            </w:r>
          </w:p>
        </w:tc>
      </w:tr>
      <w:tr>
        <w:trPr>
          <w:trHeight w:val="267"/>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(0.12)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4813935</wp:posOffset>
                </wp:positionH>
                <wp:positionV relativeFrom="paragraph">
                  <wp:posOffset>-314960</wp:posOffset>
                </wp:positionV>
                <wp:extent cx="1069975" cy="14605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975" cy="146050"/>
                        </a:xfrm>
                        <a:prstGeom prst="rect">
                          <a:avLst/>
                        </a:prstGeom>
                        <a:solidFill>
                          <a:srgbClr val="D9D9D9"/>
                        </a:solidFill>
                      </wps:spPr>
                      <wps:bodyPr/>
                    </wps:wsp>
                  </a:graphicData>
                </a:graphic>
              </wp:anchor>
            </w:drawing>
          </mc:Choice>
          <mc:Fallback>
            <w:pict>
              <v:rect id="Shape 65" o:spid="_x0000_s1090" style="position:absolute;margin-left:379.05pt;margin-top:-24.7999pt;width:84.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63"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color w:val="auto"/>
        </w:rPr>
        <w:t>For the years ended December 31, 2025 and 2024, 16,496,429 and 21,952,434 stock options, restricted stock units, deferred stock units, performance stock units and warrants were excluded for the diluted earnings per share calculation as they were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Employee Benefit Plans</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has a 401(k) plan for our employees. The 401(k) plan is a defined contribution plan covering substantially all of our employees. Employees are eligible to participate in the plan on the first day of any month after starting employment. Employees are allowed to contribute a percentage of their wages to the 401(k) plan, subject to statutorily prescribed limits and are subject to a discretionary employer match of 100% of their wage deferrals not in excess of 4% of their wages. The Company contributed $0.6 million and $0.7 million as part of the employer match program for the years ended December 31, 2025 and 2024,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Supplemental Disclosure of Cash Flow Information</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Supplemental cash flow information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0"/>
        </w:trPr>
        <w:tc>
          <w:tcPr>
            <w:tcW w:w="5980" w:type="dxa"/>
            <w:vAlign w:val="bottom"/>
            <w:tcBorders>
              <w:bottom w:val="single" w:sz="8" w:color="D9D9D9"/>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D9D9D9"/>
            </w:tcBorders>
          </w:tcPr>
          <w:p>
            <w:pPr>
              <w:spacing w:after="0"/>
              <w:rPr>
                <w:sz w:val="20"/>
                <w:szCs w:val="20"/>
                <w:color w:val="auto"/>
              </w:rPr>
            </w:pPr>
          </w:p>
        </w:tc>
        <w:tc>
          <w:tcPr>
            <w:tcW w:w="20" w:type="dxa"/>
            <w:vAlign w:val="bottom"/>
            <w:tcBorders>
              <w:top w:val="single" w:sz="8" w:color="auto"/>
              <w:bottom w:val="single" w:sz="8" w:color="D9D9D9"/>
            </w:tcBorders>
          </w:tcPr>
          <w:p>
            <w:pPr>
              <w:spacing w:after="0"/>
              <w:rPr>
                <w:sz w:val="20"/>
                <w:szCs w:val="20"/>
                <w:color w:val="auto"/>
              </w:rPr>
            </w:pPr>
          </w:p>
        </w:tc>
        <w:tc>
          <w:tcPr>
            <w:tcW w:w="160" w:type="dxa"/>
            <w:vAlign w:val="bottom"/>
            <w:tcBorders>
              <w:top w:val="single" w:sz="8" w:color="auto"/>
              <w:bottom w:val="single" w:sz="8" w:color="D9D9D9"/>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D9D9D9"/>
            </w:tcBorders>
          </w:tcPr>
          <w:p>
            <w:pPr>
              <w:spacing w:after="0"/>
              <w:rPr>
                <w:sz w:val="20"/>
                <w:szCs w:val="20"/>
                <w:color w:val="auto"/>
              </w:rPr>
            </w:pPr>
          </w:p>
        </w:tc>
      </w:tr>
      <w:tr>
        <w:trPr>
          <w:trHeight w:val="230"/>
        </w:trPr>
        <w:tc>
          <w:tcPr>
            <w:tcW w:w="60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i w:val="1"/>
                <w:iCs w:val="1"/>
                <w:color w:val="auto"/>
              </w:rPr>
              <w:t>Cash paid during the period for:</w:t>
            </w:r>
          </w:p>
        </w:tc>
        <w:tc>
          <w:tcPr>
            <w:tcW w:w="8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09"/>
        </w:trPr>
        <w:tc>
          <w:tcPr>
            <w:tcW w:w="5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Interest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380" w:type="dxa"/>
            <w:vAlign w:val="bottom"/>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3,134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3,638</w:t>
            </w: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Income taxes paid, net</w:t>
            </w:r>
          </w:p>
        </w:tc>
        <w:tc>
          <w:tcPr>
            <w:tcW w:w="10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320" w:type="dxa"/>
            <w:vAlign w:val="bottom"/>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796</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658</w:t>
            </w:r>
          </w:p>
        </w:tc>
      </w:tr>
      <w:tr>
        <w:trPr>
          <w:trHeight w:val="230"/>
        </w:trPr>
        <w:tc>
          <w:tcPr>
            <w:tcW w:w="60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i w:val="1"/>
                <w:iCs w:val="1"/>
                <w:color w:val="auto"/>
              </w:rPr>
              <w:t>Non-cash activities:</w:t>
            </w:r>
          </w:p>
        </w:tc>
        <w:tc>
          <w:tcPr>
            <w:tcW w:w="8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r>
      <w:tr>
        <w:trPr>
          <w:trHeight w:val="210"/>
        </w:trPr>
        <w:tc>
          <w:tcPr>
            <w:tcW w:w="60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Operating lease liabilities arising from obtaining right-of-use assets 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3,219</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111</w:t>
            </w:r>
          </w:p>
        </w:tc>
      </w:tr>
      <w:tr>
        <w:trPr>
          <w:trHeight w:val="230"/>
        </w:trPr>
        <w:tc>
          <w:tcPr>
            <w:tcW w:w="60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Note receivable in investing activities</w:t>
            </w:r>
          </w:p>
        </w:tc>
        <w:tc>
          <w:tcPr>
            <w:tcW w:w="80" w:type="dxa"/>
            <w:vAlign w:val="bottom"/>
            <w:shd w:val="clear" w:color="auto" w:fill="D9D9D9"/>
          </w:tcPr>
          <w:p>
            <w:pPr>
              <w:spacing w:after="0"/>
              <w:rPr>
                <w:sz w:val="20"/>
                <w:szCs w:val="20"/>
                <w:color w:val="auto"/>
              </w:rPr>
            </w:pPr>
          </w:p>
        </w:tc>
        <w:tc>
          <w:tcPr>
            <w:tcW w:w="1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10,368</w:t>
            </w:r>
          </w:p>
        </w:tc>
        <w:tc>
          <w:tcPr>
            <w:tcW w:w="500" w:type="dxa"/>
            <w:vAlign w:val="bottom"/>
            <w:gridSpan w:val="3"/>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Related Party Transactions</w:t>
      </w:r>
    </w:p>
    <w:p>
      <w:pPr>
        <w:spacing w:after="0" w:line="24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19"/>
          <w:szCs w:val="19"/>
          <w:color w:val="auto"/>
        </w:rPr>
        <w:t>The Company was party to an Investor Rights Agreement, as amended, several Registration Rights Agreements and certain other agreements with OrbiMed Royalty Opportunities II, LP and ROS Acquisition Offshore LP, which are funds affiliated with OrbiMed Advisors LLC (collectively, “OrbiMed”) . OrbiMed beneficially owned 52.6% of the Company’s common stock as of March 31, 2025, but in April 2025 sold all of its shares of the Company’s common stock to several investors in a private secondary resale transaction. As the lead purchaser in such transaction, funds affiliated with Nantahala Capital Management, LLC (“Nantahala”), an existing stockholder of the Company, purchased 57.0 million shares of the Company’s common stock, which together with shares of common stock previously held by Nantahala, resulted in Nantahala holding shares of common stock representing 48.8% of the issued</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80"/>
          </w:cols>
          <w:pgMar w:left="1440" w:top="1420" w:right="1420" w:bottom="175" w:gutter="0" w:footer="0" w:header="0"/>
          <w:type w:val="continuous"/>
        </w:sectPr>
      </w:pPr>
    </w:p>
    <w:bookmarkStart w:id="93" w:name="page94"/>
    <w:bookmarkEnd w:id="93"/>
    <w:p>
      <w:pPr>
        <w:jc w:val="both"/>
        <w:spacing w:after="0" w:line="243" w:lineRule="auto"/>
        <w:rPr>
          <w:sz w:val="20"/>
          <w:szCs w:val="20"/>
          <w:color w:val="auto"/>
        </w:rPr>
      </w:pPr>
      <w:r>
        <w:rPr>
          <w:rFonts w:ascii="Times New Roman" w:cs="Times New Roman" w:eastAsia="Times New Roman" w:hAnsi="Times New Roman"/>
          <w:sz w:val="20"/>
          <w:szCs w:val="20"/>
          <w:color w:val="auto"/>
        </w:rPr>
        <w:t>and outstanding shares of the Company’s common stock. A family member of Stavros Vizirgianakis, a Board member, also participated in the transaction and purchased shares from OrbiMed. The Company was not party to the stock purchase agreement, which was privately negotiated amongst OrbiMed and the purchasers; however, to facilitate the transaction, the Company entered into a registration rights agreement with the purchasers pursuant to which the Company agreed to prepare and file a shelf resale registration statement with the Securities and Exchange Commission (“SEC”) for purposes of registering the resale of the shares and to use commercially reasonable efforts to cause the registration statement to be declared effective by the SEC. The Company also agreed, among other things, to indemnify the selling stockholders from certain liabilities and to pay all fees and expenses incident to its performance of or compliance with the registration rights agreement. The Company filed this registration statement on May 12, 2025 and it became effective on May 19, 2025. The sale of OrbiMed’s shares resulted in the termination of the Investor Rights Agreement.</w:t>
      </w:r>
    </w:p>
    <w:p>
      <w:pPr>
        <w:spacing w:after="0" w:line="20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All related party transactions are reviewed and approved by the Audit Committee or the disinterested members of the full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Segment and Geographic Information</w:t>
      </w:r>
    </w:p>
    <w:p>
      <w:pPr>
        <w:spacing w:after="0" w:line="24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Company operates as one reportable and operating segment based upon the Company’s organization structure and the way in which the operations and investments are managed and evaluated by the chief operating decision maker (“CODM”), who is the Chief Executive Officer. The CODM uses consolidated net income (loss) as the primary measure of segment profit or loss to monitor performance and allocate resources.</w:t>
      </w:r>
    </w:p>
    <w:p>
      <w:pPr>
        <w:spacing w:after="0" w:line="19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measure of segment assets is reported on the balance sheet as total assets. The CODM does not review segment assets at a level other than that presented in the Company’s consolidated balance sheets.</w:t>
      </w:r>
    </w:p>
    <w:p>
      <w:pPr>
        <w:spacing w:after="0" w:line="16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table below provides the calculation of consolidated net income (loss), which is the performance measure that is most consistent with GAAP, and the significant operating expenses included in this performance measure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9"/>
        </w:trPr>
        <w:tc>
          <w:tcPr>
            <w:tcW w:w="5980" w:type="dxa"/>
            <w:vAlign w:val="bottom"/>
            <w:tcBorders>
              <w:bottom w:val="single" w:sz="8" w:color="D9D9D9"/>
            </w:tcBorders>
          </w:tcPr>
          <w:p>
            <w:pPr>
              <w:spacing w:after="0"/>
              <w:rPr>
                <w:sz w:val="20"/>
                <w:szCs w:val="20"/>
                <w:color w:val="auto"/>
              </w:rPr>
            </w:pPr>
          </w:p>
        </w:tc>
        <w:tc>
          <w:tcPr>
            <w:tcW w:w="180" w:type="dxa"/>
            <w:vAlign w:val="bottom"/>
            <w:tcBorders>
              <w:bottom w:val="single" w:sz="8" w:color="D9D9D9"/>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D9D9D9"/>
            </w:tcBorders>
          </w:tcPr>
          <w:p>
            <w:pPr>
              <w:spacing w:after="0"/>
              <w:rPr>
                <w:sz w:val="20"/>
                <w:szCs w:val="20"/>
                <w:color w:val="auto"/>
              </w:rPr>
            </w:pPr>
          </w:p>
        </w:tc>
        <w:tc>
          <w:tcPr>
            <w:tcW w:w="160" w:type="dxa"/>
            <w:vAlign w:val="bottom"/>
            <w:tcBorders>
              <w:top w:val="single" w:sz="8" w:color="auto"/>
              <w:bottom w:val="single" w:sz="8" w:color="D9D9D9"/>
            </w:tcBorders>
          </w:tcPr>
          <w:p>
            <w:pPr>
              <w:spacing w:after="0"/>
              <w:rPr>
                <w:sz w:val="20"/>
                <w:szCs w:val="20"/>
                <w:color w:val="auto"/>
              </w:rPr>
            </w:pPr>
          </w:p>
        </w:tc>
        <w:tc>
          <w:tcPr>
            <w:tcW w:w="20" w:type="dxa"/>
            <w:vAlign w:val="bottom"/>
            <w:tcBorders>
              <w:top w:val="single" w:sz="8" w:color="auto"/>
              <w:bottom w:val="single" w:sz="8" w:color="D9D9D9"/>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D9D9D9"/>
            </w:tcBorders>
          </w:tcPr>
          <w:p>
            <w:pPr>
              <w:spacing w:after="0"/>
              <w:rPr>
                <w:sz w:val="20"/>
                <w:szCs w:val="20"/>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80" w:type="dxa"/>
            <w:vAlign w:val="bottom"/>
            <w:shd w:val="clear" w:color="auto" w:fill="D9D9D9"/>
          </w:tcPr>
          <w:p>
            <w:pPr>
              <w:spacing w:after="0"/>
              <w:rPr>
                <w:sz w:val="20"/>
                <w:szCs w:val="20"/>
                <w:color w:val="auto"/>
              </w:rPr>
            </w:pPr>
          </w:p>
        </w:tc>
        <w:tc>
          <w:tcPr>
            <w:tcW w:w="1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133,927</w:t>
            </w:r>
          </w:p>
        </w:tc>
        <w:tc>
          <w:tcPr>
            <w:tcW w:w="28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117,267</w:t>
            </w:r>
          </w:p>
        </w:tc>
      </w:tr>
      <w:tr>
        <w:trPr>
          <w:trHeight w:val="240"/>
        </w:trPr>
        <w:tc>
          <w:tcPr>
            <w:tcW w:w="5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Less cost of 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49,654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49,051</w:t>
            </w:r>
          </w:p>
        </w:tc>
      </w:tr>
      <w:tr>
        <w:trPr>
          <w:trHeight w:val="239"/>
        </w:trPr>
        <w:tc>
          <w:tcPr>
            <w:tcW w:w="598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top w:val="single" w:sz="8" w:color="D9D9D9"/>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30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84,273</w:t>
            </w: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160" w:type="dxa"/>
            <w:vAlign w:val="bottom"/>
            <w:tcBorders>
              <w:top w:val="single" w:sz="8" w:color="D9D9D9"/>
              <w:bottom w:val="single" w:sz="8" w:color="D9D9D9"/>
            </w:tcBorders>
            <w:shd w:val="clear" w:color="auto" w:fill="D9D9D9"/>
          </w:tcPr>
          <w:p>
            <w:pPr>
              <w:spacing w:after="0"/>
              <w:rPr>
                <w:sz w:val="20"/>
                <w:szCs w:val="20"/>
                <w:color w:val="auto"/>
              </w:rPr>
            </w:pPr>
          </w:p>
        </w:tc>
        <w:tc>
          <w:tcPr>
            <w:tcW w:w="20" w:type="dxa"/>
            <w:vAlign w:val="bottom"/>
            <w:tcBorders>
              <w:top w:val="single" w:sz="8" w:color="D9D9D9"/>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132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68,216</w:t>
            </w:r>
          </w:p>
        </w:tc>
        <w:tc>
          <w:tcPr>
            <w:tcW w:w="80" w:type="dxa"/>
            <w:vAlign w:val="bottom"/>
            <w:tcBorders>
              <w:top w:val="single" w:sz="8" w:color="D9D9D9"/>
              <w:bottom w:val="single" w:sz="8" w:color="D9D9D9"/>
            </w:tcBorders>
            <w:shd w:val="clear" w:color="auto" w:fill="D9D9D9"/>
          </w:tcPr>
          <w:p>
            <w:pPr>
              <w:spacing w:after="0"/>
              <w:rPr>
                <w:sz w:val="20"/>
                <w:szCs w:val="20"/>
                <w:color w:val="auto"/>
              </w:rPr>
            </w:pPr>
          </w:p>
        </w:tc>
      </w:tr>
      <w:tr>
        <w:trPr>
          <w:trHeight w:val="260"/>
        </w:trPr>
        <w:tc>
          <w:tcPr>
            <w:tcW w:w="5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Gross Margin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80" w:type="dxa"/>
            <w:vAlign w:val="bottom"/>
          </w:tcPr>
          <w:p>
            <w:pPr>
              <w:spacing w:after="0"/>
              <w:rPr>
                <w:sz w:val="22"/>
                <w:szCs w:val="22"/>
                <w:color w:val="auto"/>
              </w:rPr>
            </w:pPr>
          </w:p>
        </w:tc>
      </w:tr>
      <w:tr>
        <w:trPr>
          <w:trHeight w:val="240"/>
        </w:trPr>
        <w:tc>
          <w:tcPr>
            <w:tcW w:w="5980" w:type="dxa"/>
            <w:vAlign w:val="bottom"/>
            <w:tcBorders>
              <w:bottom w:val="single" w:sz="8" w:color="D9D9D9"/>
            </w:tcBorders>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Less:</w:t>
            </w:r>
          </w:p>
        </w:tc>
        <w:tc>
          <w:tcPr>
            <w:tcW w:w="1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30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3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259"/>
        </w:trPr>
        <w:tc>
          <w:tcPr>
            <w:tcW w:w="5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28,691</w:t>
            </w:r>
          </w:p>
        </w:tc>
        <w:tc>
          <w:tcPr>
            <w:tcW w:w="80" w:type="dxa"/>
            <w:vAlign w:val="bottom"/>
          </w:tcPr>
          <w:p>
            <w:pPr>
              <w:spacing w:after="0"/>
              <w:rPr>
                <w:sz w:val="22"/>
                <w:szCs w:val="22"/>
                <w:color w:val="auto"/>
              </w:rPr>
            </w:pPr>
          </w:p>
        </w:tc>
      </w:tr>
      <w:tr>
        <w:trPr>
          <w:trHeight w:val="240"/>
        </w:trPr>
        <w:tc>
          <w:tcPr>
            <w:tcW w:w="5980" w:type="dxa"/>
            <w:vAlign w:val="bottom"/>
            <w:tcBorders>
              <w:bottom w:val="single" w:sz="8" w:color="D9D9D9"/>
            </w:tcBorders>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Sales and marketing</w:t>
            </w:r>
          </w:p>
        </w:tc>
        <w:tc>
          <w:tcPr>
            <w:tcW w:w="1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3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45,512</w:t>
            </w:r>
          </w:p>
        </w:tc>
        <w:tc>
          <w:tcPr>
            <w:tcW w:w="1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3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49,214</w:t>
            </w:r>
          </w:p>
        </w:tc>
        <w:tc>
          <w:tcPr>
            <w:tcW w:w="80" w:type="dxa"/>
            <w:vAlign w:val="bottom"/>
            <w:tcBorders>
              <w:bottom w:val="single" w:sz="8" w:color="D9D9D9"/>
            </w:tcBorders>
            <w:shd w:val="clear" w:color="auto" w:fill="D9D9D9"/>
          </w:tcPr>
          <w:p>
            <w:pPr>
              <w:spacing w:after="0"/>
              <w:rPr>
                <w:sz w:val="20"/>
                <w:szCs w:val="20"/>
                <w:color w:val="auto"/>
              </w:rPr>
            </w:pPr>
          </w:p>
        </w:tc>
      </w:tr>
      <w:tr>
        <w:trPr>
          <w:trHeight w:val="259"/>
        </w:trPr>
        <w:tc>
          <w:tcPr>
            <w:tcW w:w="5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w:t>
            </w:r>
          </w:p>
        </w:tc>
        <w:tc>
          <w:tcPr>
            <w:tcW w:w="80" w:type="dxa"/>
            <w:vAlign w:val="bottom"/>
          </w:tcPr>
          <w:p>
            <w:pPr>
              <w:spacing w:after="0"/>
              <w:rPr>
                <w:sz w:val="22"/>
                <w:szCs w:val="22"/>
                <w:color w:val="auto"/>
              </w:rPr>
            </w:pPr>
          </w:p>
        </w:tc>
      </w:tr>
      <w:tr>
        <w:trPr>
          <w:trHeight w:val="240"/>
        </w:trPr>
        <w:tc>
          <w:tcPr>
            <w:tcW w:w="5980" w:type="dxa"/>
            <w:vAlign w:val="bottom"/>
            <w:tcBorders>
              <w:bottom w:val="single" w:sz="8" w:color="D9D9D9"/>
            </w:tcBorders>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3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3,671</w:t>
            </w:r>
          </w:p>
        </w:tc>
        <w:tc>
          <w:tcPr>
            <w:tcW w:w="1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3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4,160</w:t>
            </w:r>
          </w:p>
        </w:tc>
        <w:tc>
          <w:tcPr>
            <w:tcW w:w="80" w:type="dxa"/>
            <w:vAlign w:val="bottom"/>
            <w:tcBorders>
              <w:bottom w:val="single" w:sz="8" w:color="D9D9D9"/>
            </w:tcBorders>
            <w:shd w:val="clear" w:color="auto" w:fill="D9D9D9"/>
          </w:tcPr>
          <w:p>
            <w:pPr>
              <w:spacing w:after="0"/>
              <w:rPr>
                <w:sz w:val="20"/>
                <w:szCs w:val="20"/>
                <w:color w:val="auto"/>
              </w:rPr>
            </w:pPr>
          </w:p>
        </w:tc>
      </w:tr>
      <w:tr>
        <w:trPr>
          <w:trHeight w:val="260"/>
        </w:trPr>
        <w:tc>
          <w:tcPr>
            <w:tcW w:w="5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r>
      <w:tr>
        <w:trPr>
          <w:trHeight w:val="239"/>
        </w:trPr>
        <w:tc>
          <w:tcPr>
            <w:tcW w:w="5980" w:type="dxa"/>
            <w:vAlign w:val="bottom"/>
            <w:tcBorders>
              <w:bottom w:val="single" w:sz="8" w:color="D9D9D9"/>
            </w:tcBorders>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Unrealized foreign currency translation loss (gain)</w:t>
            </w:r>
          </w:p>
        </w:tc>
        <w:tc>
          <w:tcPr>
            <w:tcW w:w="1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3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400" w:type="dxa"/>
            <w:vAlign w:val="bottom"/>
            <w:tcBorders>
              <w:bottom w:val="single" w:sz="8" w:color="D9D9D9"/>
            </w:tcBorders>
            <w:gridSpan w:val="2"/>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60"/>
        </w:trPr>
        <w:tc>
          <w:tcPr>
            <w:tcW w:w="5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divestiture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5980" w:type="dxa"/>
            <w:vAlign w:val="bottom"/>
            <w:tcBorders>
              <w:bottom w:val="single" w:sz="8" w:color="D9D9D9"/>
            </w:tcBorders>
            <w:shd w:val="clear" w:color="auto" w:fill="D9D9D9"/>
          </w:tcPr>
          <w:p>
            <w:pPr>
              <w:ind w:left="360"/>
              <w:spacing w:after="0"/>
              <w:rPr>
                <w:sz w:val="20"/>
                <w:szCs w:val="20"/>
                <w:color w:val="auto"/>
              </w:rPr>
            </w:pPr>
            <w:r>
              <w:rPr>
                <w:rFonts w:ascii="Times New Roman" w:cs="Times New Roman" w:eastAsia="Times New Roman" w:hAnsi="Times New Roman"/>
                <w:sz w:val="20"/>
                <w:szCs w:val="20"/>
                <w:color w:val="auto"/>
              </w:rPr>
              <w:t>Other (income) expense</w:t>
            </w:r>
          </w:p>
        </w:tc>
        <w:tc>
          <w:tcPr>
            <w:tcW w:w="1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3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3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Borders>
              <w:bottom w:val="single" w:sz="8" w:color="D9D9D9"/>
            </w:tcBorders>
            <w:shd w:val="clear" w:color="auto" w:fill="D9D9D9"/>
          </w:tcPr>
          <w:p>
            <w:pPr>
              <w:spacing w:after="0"/>
              <w:rPr>
                <w:sz w:val="20"/>
                <w:szCs w:val="20"/>
                <w:color w:val="auto"/>
              </w:rPr>
            </w:pPr>
          </w:p>
        </w:tc>
      </w:tr>
      <w:tr>
        <w:trPr>
          <w:trHeight w:val="239"/>
        </w:trPr>
        <w:tc>
          <w:tcPr>
            <w:tcW w:w="5980" w:type="dxa"/>
            <w:vAlign w:val="bottom"/>
            <w:tcBorders>
              <w:bottom w:val="single" w:sz="8" w:color="D9D9D9"/>
            </w:tcBorders>
          </w:tcPr>
          <w:p>
            <w:pPr>
              <w:ind w:left="36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80" w:type="dxa"/>
            <w:vAlign w:val="bottom"/>
            <w:tcBorders>
              <w:bottom w:val="single" w:sz="8" w:color="D9D9D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10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80" w:type="dxa"/>
            <w:vAlign w:val="bottom"/>
            <w:tcBorders>
              <w:bottom w:val="single" w:sz="8" w:color="D9D9D9"/>
            </w:tcBorders>
          </w:tcPr>
          <w:p>
            <w:pPr>
              <w:spacing w:after="0"/>
              <w:rPr>
                <w:sz w:val="20"/>
                <w:szCs w:val="20"/>
                <w:color w:val="auto"/>
              </w:rPr>
            </w:pPr>
          </w:p>
        </w:tc>
      </w:tr>
      <w:tr>
        <w:trPr>
          <w:trHeight w:val="274"/>
        </w:trPr>
        <w:tc>
          <w:tcPr>
            <w:tcW w:w="598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180" w:type="dxa"/>
            <w:vAlign w:val="bottom"/>
            <w:tcBorders>
              <w:bottom w:val="single" w:sz="8" w:color="D9D9D9"/>
            </w:tcBorders>
            <w:shd w:val="clear" w:color="auto" w:fill="D9D9D9"/>
          </w:tcPr>
          <w:p>
            <w:pPr>
              <w:spacing w:after="0"/>
              <w:rPr>
                <w:sz w:val="23"/>
                <w:szCs w:val="23"/>
                <w:color w:val="auto"/>
              </w:rPr>
            </w:pPr>
          </w:p>
        </w:tc>
        <w:tc>
          <w:tcPr>
            <w:tcW w:w="1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4,973</w:t>
            </w:r>
          </w:p>
        </w:tc>
        <w:tc>
          <w:tcPr>
            <w:tcW w:w="100" w:type="dxa"/>
            <w:vAlign w:val="bottom"/>
            <w:tcBorders>
              <w:bottom w:val="single" w:sz="8" w:color="D9D9D9"/>
            </w:tcBorders>
            <w:shd w:val="clear" w:color="auto" w:fill="D9D9D9"/>
          </w:tcPr>
          <w:p>
            <w:pPr>
              <w:spacing w:after="0"/>
              <w:rPr>
                <w:sz w:val="23"/>
                <w:szCs w:val="23"/>
                <w:color w:val="auto"/>
              </w:rPr>
            </w:pPr>
          </w:p>
        </w:tc>
        <w:tc>
          <w:tcPr>
            <w:tcW w:w="160" w:type="dxa"/>
            <w:vAlign w:val="bottom"/>
            <w:tcBorders>
              <w:bottom w:val="single" w:sz="8" w:color="D9D9D9"/>
            </w:tcBorders>
            <w:shd w:val="clear" w:color="auto" w:fill="D9D9D9"/>
          </w:tcPr>
          <w:p>
            <w:pPr>
              <w:spacing w:after="0"/>
              <w:rPr>
                <w:sz w:val="23"/>
                <w:szCs w:val="23"/>
                <w:color w:val="auto"/>
              </w:rPr>
            </w:pPr>
          </w:p>
        </w:tc>
        <w:tc>
          <w:tcPr>
            <w:tcW w:w="20" w:type="dxa"/>
            <w:vAlign w:val="bottom"/>
            <w:tcBorders>
              <w:bottom w:val="single" w:sz="8" w:color="auto"/>
            </w:tcBorders>
            <w:shd w:val="clear" w:color="auto" w:fill="D9D9D9"/>
          </w:tcPr>
          <w:p>
            <w:pPr>
              <w:spacing w:after="0"/>
              <w:rPr>
                <w:sz w:val="23"/>
                <w:szCs w:val="23"/>
                <w:color w:val="auto"/>
              </w:rPr>
            </w:pPr>
          </w:p>
        </w:tc>
        <w:tc>
          <w:tcPr>
            <w:tcW w:w="1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(16,449)</w:t>
            </w:r>
          </w:p>
        </w:tc>
        <w:tc>
          <w:tcPr>
            <w:tcW w:w="80" w:type="dxa"/>
            <w:vAlign w:val="bottom"/>
            <w:tcBorders>
              <w:bottom w:val="single" w:sz="8" w:color="D9D9D9"/>
            </w:tcBorders>
            <w:shd w:val="clear" w:color="auto" w:fill="D9D9D9"/>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4987925</wp:posOffset>
                </wp:positionH>
                <wp:positionV relativeFrom="paragraph">
                  <wp:posOffset>-838200</wp:posOffset>
                </wp:positionV>
                <wp:extent cx="899795" cy="14605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9795" cy="146050"/>
                        </a:xfrm>
                        <a:prstGeom prst="rect">
                          <a:avLst/>
                        </a:prstGeom>
                        <a:solidFill>
                          <a:srgbClr val="D9D9D9"/>
                        </a:solidFill>
                      </wps:spPr>
                      <wps:bodyPr/>
                    </wps:wsp>
                  </a:graphicData>
                </a:graphic>
              </wp:anchor>
            </w:drawing>
          </mc:Choice>
          <mc:Fallback>
            <w:pict>
              <v:rect id="Shape 66" o:spid="_x0000_s1091" style="position:absolute;margin-left:392.75pt;margin-top:-66pt;width:70.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20" w:right="1440" w:bottom="175" w:gutter="0" w:footer="0" w:header="0"/>
          <w:type w:val="continuous"/>
        </w:sectPr>
      </w:pPr>
    </w:p>
    <w:bookmarkStart w:id="94" w:name="page95"/>
    <w:bookmarkEnd w:id="94"/>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attributes revenues to geographic areas based on the location of the customer. Approximately 91% and 90% of revenue was in the United States for the years ended December 31, 2025 and 2024, respectively. Total revenue by major geographic area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9"/>
        </w:trPr>
        <w:tc>
          <w:tcPr>
            <w:tcW w:w="5980" w:type="dxa"/>
            <w:vAlign w:val="bottom"/>
            <w:tcBorders>
              <w:bottom w:val="single" w:sz="8" w:color="D9D9D9"/>
            </w:tcBorders>
          </w:tcPr>
          <w:p>
            <w:pPr>
              <w:spacing w:after="0"/>
              <w:rPr>
                <w:sz w:val="20"/>
                <w:szCs w:val="20"/>
                <w:color w:val="auto"/>
              </w:rPr>
            </w:pPr>
          </w:p>
        </w:tc>
        <w:tc>
          <w:tcPr>
            <w:tcW w:w="180" w:type="dxa"/>
            <w:vAlign w:val="bottom"/>
            <w:tcBorders>
              <w:bottom w:val="single" w:sz="8" w:color="D9D9D9"/>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D9D9D9"/>
            </w:tcBorders>
          </w:tcPr>
          <w:p>
            <w:pPr>
              <w:spacing w:after="0"/>
              <w:rPr>
                <w:sz w:val="20"/>
                <w:szCs w:val="20"/>
                <w:color w:val="auto"/>
              </w:rPr>
            </w:pPr>
          </w:p>
        </w:tc>
        <w:tc>
          <w:tcPr>
            <w:tcW w:w="20" w:type="dxa"/>
            <w:vAlign w:val="bottom"/>
            <w:tcBorders>
              <w:top w:val="single" w:sz="8" w:color="auto"/>
              <w:bottom w:val="single" w:sz="8" w:color="D9D9D9"/>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D9D9D9"/>
            </w:tcBorders>
          </w:tcPr>
          <w:p>
            <w:pPr>
              <w:spacing w:after="0"/>
              <w:rPr>
                <w:sz w:val="20"/>
                <w:szCs w:val="20"/>
                <w:color w:val="auto"/>
              </w:rPr>
            </w:pPr>
          </w:p>
        </w:tc>
      </w:tr>
      <w:tr>
        <w:trPr>
          <w:trHeight w:val="230"/>
        </w:trPr>
        <w:tc>
          <w:tcPr>
            <w:tcW w:w="59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80" w:type="dxa"/>
            <w:vAlign w:val="bottom"/>
            <w:shd w:val="clear" w:color="auto" w:fill="D9D9D9"/>
          </w:tcPr>
          <w:p>
            <w:pPr>
              <w:spacing w:after="0"/>
              <w:rPr>
                <w:sz w:val="20"/>
                <w:szCs w:val="20"/>
                <w:color w:val="auto"/>
              </w:rPr>
            </w:pPr>
          </w:p>
        </w:tc>
        <w:tc>
          <w:tcPr>
            <w:tcW w:w="320" w:type="dxa"/>
            <w:vAlign w:val="bottom"/>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122,448</w:t>
            </w:r>
          </w:p>
        </w:tc>
        <w:tc>
          <w:tcPr>
            <w:tcW w:w="32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0"/>
                <w:szCs w:val="20"/>
                <w:color w:val="auto"/>
              </w:rPr>
              <w:t>105,519</w:t>
            </w:r>
          </w:p>
        </w:tc>
      </w:tr>
      <w:tr>
        <w:trPr>
          <w:trHeight w:val="24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Rest of World</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11,479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11,748</w:t>
            </w:r>
          </w:p>
        </w:tc>
      </w:tr>
      <w:tr>
        <w:trPr>
          <w:trHeight w:val="260"/>
        </w:trPr>
        <w:tc>
          <w:tcPr>
            <w:tcW w:w="598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D9D9D9"/>
              <w:bottom w:val="single" w:sz="8" w:color="D9D9D9"/>
            </w:tcBorders>
            <w:shd w:val="clear" w:color="auto" w:fill="D9D9D9"/>
          </w:tcPr>
          <w:p>
            <w:pPr>
              <w:spacing w:after="0"/>
              <w:rPr>
                <w:sz w:val="22"/>
                <w:szCs w:val="22"/>
                <w:color w:val="auto"/>
              </w:rPr>
            </w:pPr>
          </w:p>
        </w:tc>
        <w:tc>
          <w:tcPr>
            <w:tcW w:w="320" w:type="dxa"/>
            <w:vAlign w:val="bottom"/>
            <w:tcBorders>
              <w:top w:val="single" w:sz="8" w:color="auto"/>
              <w:bottom w:val="single" w:sz="8" w:color="D9D9D9"/>
            </w:tcBorders>
            <w:shd w:val="clear" w:color="auto" w:fill="D9D9D9"/>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133,927</w:t>
            </w:r>
          </w:p>
        </w:tc>
        <w:tc>
          <w:tcPr>
            <w:tcW w:w="260" w:type="dxa"/>
            <w:vAlign w:val="bottom"/>
            <w:tcBorders>
              <w:top w:val="single" w:sz="8" w:color="D9D9D9"/>
              <w:bottom w:val="single" w:sz="8" w:color="D9D9D9"/>
            </w:tcBorders>
            <w:shd w:val="clear" w:color="auto" w:fill="D9D9D9"/>
          </w:tcPr>
          <w:p>
            <w:pPr>
              <w:spacing w:after="0"/>
              <w:rPr>
                <w:sz w:val="22"/>
                <w:szCs w:val="22"/>
                <w:color w:val="auto"/>
              </w:rPr>
            </w:pPr>
          </w:p>
        </w:tc>
        <w:tc>
          <w:tcPr>
            <w:tcW w:w="2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auto"/>
              <w:bottom w:val="single" w:sz="8" w:color="auto"/>
            </w:tcBorders>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117,267</w:t>
            </w:r>
          </w:p>
        </w:tc>
        <w:tc>
          <w:tcPr>
            <w:tcW w:w="80" w:type="dxa"/>
            <w:vAlign w:val="bottom"/>
            <w:tcBorders>
              <w:top w:val="single" w:sz="8" w:color="D9D9D9"/>
              <w:bottom w:val="single" w:sz="8" w:color="D9D9D9"/>
            </w:tcBorders>
            <w:shd w:val="clear" w:color="auto" w:fill="D9D9D9"/>
          </w:tcPr>
          <w:p>
            <w:pPr>
              <w:spacing w:after="0"/>
              <w:rPr>
                <w:sz w:val="22"/>
                <w:szCs w:val="2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Immaterial Out-of-Period Adjustment</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During the preparation of the Company's annual financial statements for the year ended December 31, 2025, management identified errors in amounts recorded in the first, second, and third quarters of the year ended December 31, 2025. Management evaluated each of these items individually and in the aggregate and determined that the errors were not material to any previously issued interim financial statements or to the full fiscal year. However, the aggregate effect of correcting these items in the fourth quarter of 2025 was material to the Company’s results of operations for that period.</w:t>
      </w:r>
    </w:p>
    <w:p>
      <w:pPr>
        <w:spacing w:after="0" w:line="200"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The adjustment related to two items. The first adjustment reflects management’s estimates of net realizable value of the hardware product line at each interim balance sheet date in 2025. Subsequent to the commercial launch of the hardware product line in the fourth quarter of 2024, the Company accumulated inventory quantities in excess of anticipated sales demand, requiring recognition of additional cost of sales expense for reserves of excess inventory.</w:t>
      </w:r>
    </w:p>
    <w:p>
      <w:pPr>
        <w:spacing w:after="0" w:line="17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Second, the Company recorded an adjustment related to the amortization of leasehold improvements. Upon further evaluation of the applicable accounting guidance under ASC 842, Leases, management determined that certain leasehold improvements had been amortized over their estimated useful lives rather than over the shorter of their useful lives or the related lease terms, as required. Accordingly, the carrying value of Property and equipment, net-was overstated in prior interim periods.</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Company considered both the quantitative and qualitative factors in accordance with ASC 250-10-S99, Materiality, and evaluated the errors using both the rollover and iron curtain methods. Based on this evaluation, the Company concluded that the errors were not material to previously issued financial statements and recorded the aggregate correction as an out-of-period adjustment in the fourth quarter of fiscal 2025. The Company has not revised previously issued interim financial statements.</w:t>
      </w:r>
    </w:p>
    <w:p>
      <w:pPr>
        <w:spacing w:after="0" w:line="19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adjustment resulted in a decrease to Inventories of $1.0 million, a decrease to Property and equipment, net of $0.9 million, an increase to General and administrative expenses of $0.1 million and an increase to Cost of sales of $1.8 million in the fourth quarter of 2025.</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20" w:right="1440" w:bottom="175"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3"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19"/>
          <w:szCs w:val="19"/>
          <w:color w:val="auto"/>
        </w:rPr>
        <w:t>Our management, with the participation of our Chief Executive Officer and Chief Financial Officer, evaluated the effectiveness of our disclosure controls and procedures (as defined in Rule 13a-15(e) under the Exchange Act) as of December 31, 2025. Based upon that evaluation, and because of the material weakness in our control over financial reporting as described below, our Chief Executive Officer and Chief Financial Officer concluded that as of December 31, 2025, our disclosure controls and procedures were not effective. Additional information regarding the material weakness that existed as of December 31, 2025 is set forth below. Notwithstanding this material weakness, management has concluded that the consolidated financial statements included in this Annual Report on Form 10-K present fairly, in all material respects, our financial position, results of operations and cash flows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Effectiveness of Controls</w:t>
      </w:r>
    </w:p>
    <w:p>
      <w:pPr>
        <w:spacing w:after="0" w:line="23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Weakness in Internal Control over Financial Reporting</w:t>
      </w:r>
    </w:p>
    <w:p>
      <w:pPr>
        <w:spacing w:after="0" w:line="239" w:lineRule="exact"/>
        <w:rPr>
          <w:sz w:val="20"/>
          <w:szCs w:val="20"/>
          <w:color w:val="auto"/>
        </w:rPr>
      </w:pPr>
    </w:p>
    <w:p>
      <w:pPr>
        <w:jc w:val="both"/>
        <w:ind w:right="20" w:firstLine="720"/>
        <w:spacing w:after="0" w:line="249" w:lineRule="auto"/>
        <w:rPr>
          <w:sz w:val="20"/>
          <w:szCs w:val="20"/>
          <w:color w:val="auto"/>
        </w:rPr>
      </w:pPr>
      <w:r>
        <w:rPr>
          <w:rFonts w:ascii="Times New Roman" w:cs="Times New Roman" w:eastAsia="Times New Roman" w:hAnsi="Times New Roman"/>
          <w:sz w:val="20"/>
          <w:szCs w:val="20"/>
          <w:color w:val="auto"/>
        </w:rPr>
        <w:t>We identified certain control deficiencies in the design and implementation of our internal control over financial reporting, which constitutes a material weakness as of December 31, 2025.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8"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More specifically, our controls surrounding our evaluation of inventory net realizable value were insufficient and did not operate at an appropriate level of precision. Our review and evaluation of inventory failed to identify specific items not assessed for net realizable value under our existing control, which constitutes a material weakness as of December 31, 2025. This material weakness, if not remediated, could result in a material misstatement of one or more disclosures in our annual or interim consolidated financial statements that would not be prevented or detected in a timely manner.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Plan and Status</w:t>
      </w:r>
    </w:p>
    <w:p>
      <w:pPr>
        <w:spacing w:after="0" w:line="239" w:lineRule="exact"/>
        <w:rPr>
          <w:sz w:val="20"/>
          <w:szCs w:val="20"/>
          <w:color w:val="auto"/>
        </w:rPr>
      </w:pPr>
    </w:p>
    <w:p>
      <w:pPr>
        <w:jc w:val="both"/>
        <w:ind w:right="20" w:firstLine="720"/>
        <w:spacing w:after="0" w:line="263" w:lineRule="auto"/>
        <w:rPr>
          <w:sz w:val="20"/>
          <w:szCs w:val="20"/>
          <w:color w:val="auto"/>
        </w:rPr>
      </w:pPr>
      <w:r>
        <w:rPr>
          <w:rFonts w:ascii="Times New Roman" w:cs="Times New Roman" w:eastAsia="Times New Roman" w:hAnsi="Times New Roman"/>
          <w:sz w:val="19"/>
          <w:szCs w:val="19"/>
          <w:color w:val="auto"/>
        </w:rPr>
        <w:t>Our management, under the oversight of the Audit Committee of the Board of Directors, is implementing measures designed to improve our internal control over financial reporting to remediate the identified material weakness. Management has identified and corrected the inventory items that needed an estimate for net realizable value and believes that our consolidated balance sheet as of December 31, 2025 fairly presents in all material respects inventory recorded at net realizable value in conformity with accounting principles generally accepted in the United States of America. To prevent similar occurrences in the future, we plan to evaluate inventory balances outside of the</w:t>
      </w:r>
    </w:p>
    <w:p>
      <w:pPr>
        <w:sectPr>
          <w:pgSz w:w="12240" w:h="15840" w:orient="portrait"/>
          <w:cols w:equalWidth="0" w:num="1">
            <w:col w:w="9380"/>
          </w:cols>
          <w:pgMar w:left="1440" w:top="1416"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80"/>
          </w:cols>
          <w:pgMar w:left="1440" w:top="1416" w:right="1420" w:bottom="175" w:gutter="0" w:footer="0" w:header="0"/>
          <w:type w:val="continuous"/>
        </w:sectPr>
      </w:pPr>
    </w:p>
    <w:bookmarkStart w:id="96" w:name="page97"/>
    <w:bookmarkEnd w:id="96"/>
    <w:p>
      <w:pPr>
        <w:jc w:val="both"/>
        <w:spacing w:after="0" w:line="278" w:lineRule="auto"/>
        <w:rPr>
          <w:sz w:val="20"/>
          <w:szCs w:val="20"/>
          <w:color w:val="auto"/>
        </w:rPr>
      </w:pPr>
      <w:r>
        <w:rPr>
          <w:rFonts w:ascii="Times New Roman" w:cs="Times New Roman" w:eastAsia="Times New Roman" w:hAnsi="Times New Roman"/>
          <w:sz w:val="20"/>
          <w:szCs w:val="20"/>
          <w:color w:val="auto"/>
        </w:rPr>
        <w:t>scope of our current process to determine if there are other inventory items that need to be assessed for a specific reserve.</w:t>
      </w:r>
    </w:p>
    <w:p>
      <w:pPr>
        <w:spacing w:after="0" w:line="16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management continues to evaluate and work to remediate the material weakness, we may determine to take additional measures to address the material weakness. However, we cannot provide assurance that the measures we have taken to date, or that we may take in the future, will be sufficient to remediate the material weakness or avoid potential future material weaknesses.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3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Under the supervision and with the participation of senior and executive management, we conducted an evaluation of our internal control over financial reporting based upon the framework Internal Control - Integrated Framework (2013) as outlined by COSO, the Committee of Sponsoring Organizations of the Treadway Commission.</w:t>
      </w:r>
    </w:p>
    <w:p>
      <w:pPr>
        <w:spacing w:after="0" w:line="16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Based on that evaluation and the foregoing, management concluded that due to the material weakness described above, our internal control over financial reporting was not effective as of December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Attestation Report of Independent Registered Public Accounting Firm</w:t>
      </w:r>
    </w:p>
    <w:p>
      <w:pPr>
        <w:spacing w:after="0" w:line="2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This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 that permit us to provide only management’s report in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Other than the remediation steps taken as described above, there were no changes in the Company’s internal control over financial reporting during the fourth quarter ended December 31, 2025 that have materially affected, or are reasonably likely to materially affect, our internal control over financial reporting.</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On March 26, 2026, Xtant Medical Holdings, Inc., as guarantor, and its subsidiaries, Xtant Medical, Inc., Bacterin International, Inc., X-spine Systems, Inc. and Surgalign SPV, Inc., as borrowers (collectively, the “Borrowers”), entered into (i) Amendment No. 4 (the “Term Loan Amendment”) to Amended and Restated Credit, Security and Guaranty Agreement (Term Loan) (the “Term Credit Agreement”) with MidCap Financial Trust, in its capacity as agent (the “Agent”), and a lender and the additional lenders from time to time party thereto and</w:t>
      </w:r>
    </w:p>
    <w:p>
      <w:pPr>
        <w:spacing w:after="0" w:line="4" w:lineRule="exact"/>
        <w:rPr>
          <w:sz w:val="20"/>
          <w:szCs w:val="20"/>
          <w:color w:val="auto"/>
        </w:rPr>
      </w:pPr>
    </w:p>
    <w:p>
      <w:pPr>
        <w:jc w:val="both"/>
        <w:spacing w:after="0" w:line="243" w:lineRule="auto"/>
        <w:tabs>
          <w:tab w:leader="none" w:pos="2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No. 4 (the “Revolving Loan Amendment” and collectively, with the Term Loan Amendment, the “Amendments”) to Amended and Restated Credit, Security and Guaranty Agreement (Revolving Loan) (the “Revolving Credit Agreement” and, together with the Term Credit Agreement, the “Credit Agreements”), with MidCap Funding IV Trust, in its capacity as agent, and the lenders from time to time party thereto.</w:t>
      </w:r>
    </w:p>
    <w:p>
      <w:pPr>
        <w:spacing w:after="0" w:line="20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Amendments eliminate the requirement to comply with the minimum net revenue covenant for fourth quarter of 2025; adjust the amortization of the term loan to have amortization calculated off the amount of principal outstanding when amortization payments start instead of the original principal amount of the term loan; and revise the minimum net revenue covenant to align solely with revenue generated from the orthobiologics products and correspondingly adjust the minimum net revenue amounts.</w:t>
      </w:r>
    </w:p>
    <w:p>
      <w:pPr>
        <w:spacing w:after="0" w:line="19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foregoing description of the Amendments is only a summary of their material terms and do not purport to be complete and is qualified in their entirety by reference to the full text of the Term Loan Amendment and the Revolving Loan Amendment, which are filed as Exhibit 10.42 and 10.43, respectively, to this Annual Report on Form 10-K and incorporated herein by reference.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20" w:right="1440" w:bottom="175"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Rule 10b5-1 Plan and Non-Rule 10b5-1 Trading Arrangement Adoptions, Terminations, and Modifications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During the three months ended December 31, 2025, none of our directors or “officers” (as defined in Rule 16a-1(f) under the Exchange Act) adopted or terminated a “Rule 10b5-1 trading arrangement” or “non-Rule 10b5-1 trading arrangement,” as each term is defined in Item 408 of SEC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16" w:right="1440" w:bottom="17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and Executive Officers</w:t>
      </w:r>
    </w:p>
    <w:p>
      <w:pPr>
        <w:spacing w:after="0" w:line="24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table below sets forth certain information concerning our current directors and executive officers as of February 28, 2026. No family relationships exist among our directors or executive officers. We sometimes refer to the Board of Directors of Xtant as the “Board.”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Director/Officer</w:t>
            </w:r>
          </w:p>
        </w:tc>
      </w:tr>
      <w:tr>
        <w:trPr>
          <w:trHeight w:val="238"/>
        </w:trPr>
        <w:tc>
          <w:tcPr>
            <w:tcW w:w="23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Borders>
              <w:bottom w:val="single" w:sz="8" w:color="D9D9D9"/>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 w:type="dxa"/>
            <w:vAlign w:val="bottom"/>
            <w:tcBorders>
              <w:bottom w:val="single" w:sz="8" w:color="D9D9D9"/>
            </w:tcBorders>
          </w:tcPr>
          <w:p>
            <w:pPr>
              <w:spacing w:after="0"/>
              <w:rPr>
                <w:sz w:val="20"/>
                <w:szCs w:val="20"/>
                <w:color w:val="auto"/>
              </w:rPr>
            </w:pPr>
          </w:p>
        </w:tc>
        <w:tc>
          <w:tcPr>
            <w:tcW w:w="42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Borders>
              <w:bottom w:val="single" w:sz="8" w:color="D9D9D9"/>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30"/>
        </w:trPr>
        <w:tc>
          <w:tcPr>
            <w:tcW w:w="234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Stavros G. Vizirgianakis</w:t>
            </w:r>
            <w:r>
              <w:rPr>
                <w:rFonts w:ascii="Times New Roman" w:cs="Times New Roman" w:eastAsia="Times New Roman" w:hAnsi="Times New Roman"/>
                <w:sz w:val="25"/>
                <w:szCs w:val="25"/>
                <w:color w:val="auto"/>
                <w:vertAlign w:val="superscript"/>
              </w:rPr>
              <w:t>(3)</w:t>
            </w:r>
          </w:p>
        </w:tc>
        <w:tc>
          <w:tcPr>
            <w:tcW w:w="200" w:type="dxa"/>
            <w:vAlign w:val="bottom"/>
            <w:shd w:val="clear" w:color="auto" w:fill="D9D9D9"/>
          </w:tcPr>
          <w:p>
            <w:pPr>
              <w:spacing w:after="0"/>
              <w:rPr>
                <w:sz w:val="20"/>
                <w:szCs w:val="20"/>
                <w:color w:val="auto"/>
              </w:rPr>
            </w:pPr>
          </w:p>
        </w:tc>
        <w:tc>
          <w:tcPr>
            <w:tcW w:w="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180" w:type="dxa"/>
            <w:vAlign w:val="bottom"/>
            <w:shd w:val="clear" w:color="auto" w:fill="D9D9D9"/>
          </w:tcPr>
          <w:p>
            <w:pPr>
              <w:spacing w:after="0"/>
              <w:rPr>
                <w:sz w:val="20"/>
                <w:szCs w:val="20"/>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Chairman of the Board and Director</w:t>
            </w:r>
          </w:p>
        </w:tc>
        <w:tc>
          <w:tcPr>
            <w:tcW w:w="180" w:type="dxa"/>
            <w:vAlign w:val="bottom"/>
            <w:shd w:val="clear" w:color="auto" w:fill="D9D9D9"/>
          </w:tcPr>
          <w:p>
            <w:pPr>
              <w:spacing w:after="0"/>
              <w:rPr>
                <w:sz w:val="20"/>
                <w:szCs w:val="20"/>
                <w:color w:val="auto"/>
              </w:rPr>
            </w:pPr>
          </w:p>
        </w:tc>
        <w:tc>
          <w:tcPr>
            <w:tcW w:w="16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7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60</w:t>
            </w:r>
          </w:p>
        </w:tc>
        <w:tc>
          <w:tcPr>
            <w:tcW w:w="1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 and Director</w:t>
            </w:r>
          </w:p>
        </w:tc>
        <w:tc>
          <w:tcPr>
            <w:tcW w:w="1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2019</w:t>
            </w:r>
          </w:p>
        </w:tc>
      </w:tr>
      <w:tr>
        <w:trPr>
          <w:trHeight w:val="230"/>
        </w:trPr>
        <w:tc>
          <w:tcPr>
            <w:tcW w:w="234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John K. Bakewell</w:t>
            </w:r>
            <w:r>
              <w:rPr>
                <w:rFonts w:ascii="Times New Roman" w:cs="Times New Roman" w:eastAsia="Times New Roman" w:hAnsi="Times New Roman"/>
                <w:sz w:val="25"/>
                <w:szCs w:val="25"/>
                <w:color w:val="auto"/>
                <w:vertAlign w:val="superscript"/>
              </w:rPr>
              <w:t>(1)(3)</w:t>
            </w:r>
          </w:p>
        </w:tc>
        <w:tc>
          <w:tcPr>
            <w:tcW w:w="760" w:type="dxa"/>
            <w:vAlign w:val="bottom"/>
            <w:gridSpan w:val="2"/>
            <w:shd w:val="clear" w:color="auto" w:fill="D9D9D9"/>
          </w:tcPr>
          <w:p>
            <w:pPr>
              <w:jc w:val="center"/>
              <w:ind w:left="100"/>
              <w:spacing w:after="0"/>
              <w:rPr>
                <w:sz w:val="20"/>
                <w:szCs w:val="20"/>
                <w:color w:val="auto"/>
              </w:rPr>
            </w:pPr>
            <w:r>
              <w:rPr>
                <w:rFonts w:ascii="Times New Roman" w:cs="Times New Roman" w:eastAsia="Times New Roman" w:hAnsi="Times New Roman"/>
                <w:sz w:val="20"/>
                <w:szCs w:val="20"/>
                <w:color w:val="auto"/>
                <w:w w:val="99"/>
              </w:rPr>
              <w:t>64</w:t>
            </w:r>
          </w:p>
        </w:tc>
        <w:tc>
          <w:tcPr>
            <w:tcW w:w="180" w:type="dxa"/>
            <w:vAlign w:val="bottom"/>
            <w:shd w:val="clear" w:color="auto" w:fill="D9D9D9"/>
          </w:tcPr>
          <w:p>
            <w:pPr>
              <w:spacing w:after="0"/>
              <w:rPr>
                <w:sz w:val="20"/>
                <w:szCs w:val="20"/>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Director</w:t>
            </w:r>
          </w:p>
        </w:tc>
        <w:tc>
          <w:tcPr>
            <w:tcW w:w="1800" w:type="dxa"/>
            <w:vAlign w:val="bottom"/>
            <w:gridSpan w:val="2"/>
            <w:shd w:val="clear" w:color="auto" w:fill="D9D9D9"/>
          </w:tcPr>
          <w:p>
            <w:pPr>
              <w:jc w:val="center"/>
              <w:ind w:left="100"/>
              <w:spacing w:after="0"/>
              <w:rPr>
                <w:sz w:val="20"/>
                <w:szCs w:val="20"/>
                <w:color w:val="auto"/>
              </w:rPr>
            </w:pPr>
            <w:r>
              <w:rPr>
                <w:rFonts w:ascii="Times New Roman" w:cs="Times New Roman" w:eastAsia="Times New Roman" w:hAnsi="Times New Roman"/>
                <w:sz w:val="20"/>
                <w:szCs w:val="20"/>
                <w:color w:val="auto"/>
                <w:w w:val="99"/>
              </w:rPr>
              <w:t>2018</w:t>
            </w:r>
          </w:p>
        </w:tc>
      </w:tr>
      <w:tr>
        <w:trPr>
          <w:trHeight w:val="229"/>
        </w:trPr>
        <w:tc>
          <w:tcPr>
            <w:tcW w:w="23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Jonn R. Beeson</w:t>
            </w:r>
            <w:r>
              <w:rPr>
                <w:rFonts w:ascii="Times New Roman" w:cs="Times New Roman" w:eastAsia="Times New Roman" w:hAnsi="Times New Roman"/>
                <w:sz w:val="25"/>
                <w:szCs w:val="25"/>
                <w:color w:val="auto"/>
                <w:vertAlign w:val="superscript"/>
              </w:rPr>
              <w:t>(1)(2)</w:t>
            </w:r>
          </w:p>
        </w:tc>
        <w:tc>
          <w:tcPr>
            <w:tcW w:w="7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56</w:t>
            </w:r>
          </w:p>
        </w:tc>
        <w:tc>
          <w:tcPr>
            <w:tcW w:w="1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2023</w:t>
            </w:r>
          </w:p>
        </w:tc>
      </w:tr>
      <w:tr>
        <w:trPr>
          <w:trHeight w:val="230"/>
        </w:trPr>
        <w:tc>
          <w:tcPr>
            <w:tcW w:w="234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Abhinav Jain</w:t>
            </w:r>
            <w:r>
              <w:rPr>
                <w:rFonts w:ascii="Times New Roman" w:cs="Times New Roman" w:eastAsia="Times New Roman" w:hAnsi="Times New Roman"/>
                <w:sz w:val="25"/>
                <w:szCs w:val="25"/>
                <w:color w:val="auto"/>
                <w:vertAlign w:val="superscript"/>
              </w:rPr>
              <w:t>(2)(3)</w:t>
            </w:r>
          </w:p>
        </w:tc>
        <w:tc>
          <w:tcPr>
            <w:tcW w:w="760" w:type="dxa"/>
            <w:vAlign w:val="bottom"/>
            <w:gridSpan w:val="2"/>
            <w:shd w:val="clear" w:color="auto" w:fill="D9D9D9"/>
          </w:tcPr>
          <w:p>
            <w:pPr>
              <w:jc w:val="center"/>
              <w:ind w:left="100"/>
              <w:spacing w:after="0"/>
              <w:rPr>
                <w:sz w:val="20"/>
                <w:szCs w:val="20"/>
                <w:color w:val="auto"/>
              </w:rPr>
            </w:pPr>
            <w:r>
              <w:rPr>
                <w:rFonts w:ascii="Times New Roman" w:cs="Times New Roman" w:eastAsia="Times New Roman" w:hAnsi="Times New Roman"/>
                <w:sz w:val="20"/>
                <w:szCs w:val="20"/>
                <w:color w:val="auto"/>
                <w:w w:val="99"/>
              </w:rPr>
              <w:t>35</w:t>
            </w:r>
          </w:p>
        </w:tc>
        <w:tc>
          <w:tcPr>
            <w:tcW w:w="180" w:type="dxa"/>
            <w:vAlign w:val="bottom"/>
            <w:shd w:val="clear" w:color="auto" w:fill="D9D9D9"/>
          </w:tcPr>
          <w:p>
            <w:pPr>
              <w:spacing w:after="0"/>
              <w:rPr>
                <w:sz w:val="20"/>
                <w:szCs w:val="20"/>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Director</w:t>
            </w:r>
          </w:p>
        </w:tc>
        <w:tc>
          <w:tcPr>
            <w:tcW w:w="1800" w:type="dxa"/>
            <w:vAlign w:val="bottom"/>
            <w:gridSpan w:val="2"/>
            <w:shd w:val="clear" w:color="auto" w:fill="D9D9D9"/>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30"/>
        </w:trPr>
        <w:tc>
          <w:tcPr>
            <w:tcW w:w="23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Tyler P. Lipschultz</w:t>
            </w:r>
            <w:r>
              <w:rPr>
                <w:rFonts w:ascii="Times New Roman" w:cs="Times New Roman" w:eastAsia="Times New Roman" w:hAnsi="Times New Roman"/>
                <w:sz w:val="25"/>
                <w:szCs w:val="25"/>
                <w:color w:val="auto"/>
                <w:vertAlign w:val="superscript"/>
              </w:rPr>
              <w:t>(1)(2)</w:t>
            </w:r>
          </w:p>
        </w:tc>
        <w:tc>
          <w:tcPr>
            <w:tcW w:w="7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58</w:t>
            </w:r>
          </w:p>
        </w:tc>
        <w:tc>
          <w:tcPr>
            <w:tcW w:w="1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29"/>
        </w:trPr>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Scott C. Neils</w:t>
            </w:r>
          </w:p>
        </w:tc>
        <w:tc>
          <w:tcPr>
            <w:tcW w:w="760" w:type="dxa"/>
            <w:vAlign w:val="bottom"/>
            <w:gridSpan w:val="2"/>
            <w:shd w:val="clear" w:color="auto" w:fill="D9D9D9"/>
          </w:tcPr>
          <w:p>
            <w:pPr>
              <w:jc w:val="center"/>
              <w:ind w:left="100"/>
              <w:spacing w:after="0"/>
              <w:rPr>
                <w:sz w:val="20"/>
                <w:szCs w:val="20"/>
                <w:color w:val="auto"/>
              </w:rPr>
            </w:pPr>
            <w:r>
              <w:rPr>
                <w:rFonts w:ascii="Times New Roman" w:cs="Times New Roman" w:eastAsia="Times New Roman" w:hAnsi="Times New Roman"/>
                <w:sz w:val="20"/>
                <w:szCs w:val="20"/>
                <w:color w:val="auto"/>
                <w:w w:val="99"/>
              </w:rPr>
              <w:t>41</w:t>
            </w:r>
          </w:p>
        </w:tc>
        <w:tc>
          <w:tcPr>
            <w:tcW w:w="180" w:type="dxa"/>
            <w:vAlign w:val="bottom"/>
            <w:shd w:val="clear" w:color="auto" w:fill="D9D9D9"/>
          </w:tcPr>
          <w:p>
            <w:pPr>
              <w:spacing w:after="0"/>
              <w:rPr>
                <w:sz w:val="19"/>
                <w:szCs w:val="19"/>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Chief Financial Officer and Assistant Secretary</w:t>
            </w:r>
          </w:p>
        </w:tc>
        <w:tc>
          <w:tcPr>
            <w:tcW w:w="180" w:type="dxa"/>
            <w:vAlign w:val="bottom"/>
            <w:shd w:val="clear" w:color="auto" w:fill="D9D9D9"/>
          </w:tcPr>
          <w:p>
            <w:pPr>
              <w:spacing w:after="0"/>
              <w:rPr>
                <w:sz w:val="19"/>
                <w:szCs w:val="19"/>
                <w:color w:val="auto"/>
              </w:rPr>
            </w:pPr>
          </w:p>
        </w:tc>
        <w:tc>
          <w:tcPr>
            <w:tcW w:w="16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r>
      <w:tr>
        <w:trPr>
          <w:trHeight w:val="211"/>
        </w:trPr>
        <w:tc>
          <w:tcPr>
            <w:tcW w:w="23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Mark A. Schallenberger</w:t>
            </w:r>
          </w:p>
        </w:tc>
        <w:tc>
          <w:tcPr>
            <w:tcW w:w="760" w:type="dxa"/>
            <w:vAlign w:val="bottom"/>
            <w:gridSpan w:val="2"/>
          </w:tcPr>
          <w:p>
            <w:pPr>
              <w:jc w:val="center"/>
              <w:ind w:left="100"/>
              <w:spacing w:after="0" w:line="211" w:lineRule="exact"/>
              <w:rPr>
                <w:sz w:val="20"/>
                <w:szCs w:val="20"/>
                <w:color w:val="auto"/>
              </w:rPr>
            </w:pPr>
            <w:r>
              <w:rPr>
                <w:rFonts w:ascii="Times New Roman" w:cs="Times New Roman" w:eastAsia="Times New Roman" w:hAnsi="Times New Roman"/>
                <w:sz w:val="20"/>
                <w:szCs w:val="20"/>
                <w:color w:val="auto"/>
                <w:w w:val="99"/>
              </w:rPr>
              <w:t>40</w:t>
            </w:r>
          </w:p>
        </w:tc>
        <w:tc>
          <w:tcPr>
            <w:tcW w:w="180" w:type="dxa"/>
            <w:vAlign w:val="bottom"/>
          </w:tcPr>
          <w:p>
            <w:pPr>
              <w:spacing w:after="0"/>
              <w:rPr>
                <w:sz w:val="18"/>
                <w:szCs w:val="18"/>
                <w:color w:val="auto"/>
              </w:rPr>
            </w:pPr>
          </w:p>
        </w:tc>
        <w:tc>
          <w:tcPr>
            <w:tcW w:w="42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Chief Operating Officer</w:t>
            </w:r>
          </w:p>
        </w:tc>
        <w:tc>
          <w:tcPr>
            <w:tcW w:w="180" w:type="dxa"/>
            <w:vAlign w:val="bottom"/>
          </w:tcPr>
          <w:p>
            <w:pPr>
              <w:spacing w:after="0"/>
              <w:rPr>
                <w:sz w:val="18"/>
                <w:szCs w:val="18"/>
                <w:color w:val="auto"/>
              </w:rPr>
            </w:pPr>
          </w:p>
        </w:tc>
        <w:tc>
          <w:tcPr>
            <w:tcW w:w="16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2023</w:t>
            </w: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bl>
    <w:p>
      <w:pPr>
        <w:ind w:left="720" w:hanging="72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w:t>
      </w:r>
    </w:p>
    <w:p>
      <w:pPr>
        <w:ind w:left="720" w:hanging="72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w:t>
      </w:r>
    </w:p>
    <w:p>
      <w:pPr>
        <w:ind w:left="720" w:hanging="72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w:t>
      </w:r>
    </w:p>
    <w:p>
      <w:pPr>
        <w:spacing w:after="0" w:line="212"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experience of each director and executive officer is summarized below.</w:t>
      </w:r>
    </w:p>
    <w:p>
      <w:pPr>
        <w:spacing w:after="0" w:line="235"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Stavros G. Vizirgianakis </w:t>
      </w:r>
      <w:r>
        <w:rPr>
          <w:rFonts w:ascii="Times New Roman" w:cs="Times New Roman" w:eastAsia="Times New Roman" w:hAnsi="Times New Roman"/>
          <w:sz w:val="20"/>
          <w:szCs w:val="20"/>
          <w:color w:val="auto"/>
        </w:rPr>
        <w:t>has served as a member of and Chairman of the Board since August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Mr. Vizirgianakis was elected to the Board in connection with our private placement in August 2022. Mr. Vizirgianakis is the former Chief Executive Officer of Misonix, Inc., a medical device company that Bioventus Inc. acquired in 2021. Mr. Vizirgianakis has a distinguished career in the medical devices field having worked for United States Surgical Corporation as director of sales for sub-Saharan Africa and later Tyco Healthcare in the capacity of General Manager South Africa. In 2006, Mr. Vizirgianakis co-founded Surgical Innovations, which has become one of the largest privately owned medical device distributors in the African region, and now part of the Johannesburg Stock Exchange listed entity Ascendis Health. Mr. Vizirgianakis was Managing Director of Ascendis Medical from January 2014 through July 2016. Mr. Vizirgianakis served as the President and Chief Executive Officer of Misonix from September 2016 through October 2021. Mr. Vizirgianakis currently serves as Chair of the board of directors of Apyx Medical Corporation (NASDAQ: APYX), an advanced energy technology company, and as a member of the board of directors of Medinotec, Inc. (OTCQX: MDNC), a medical device company. He previously served on the board of directors of Bioventus Inc. and Tenaxis Medical, Inc. and is a strategic investor and advisor to numerous medical device startups and established companies in this field. Mr. Vizirgianakis has a Degree in Commerce from the University of South Africa. Mr. Vizirgianakis’s extensive experience as a senior executive of a publicly traded medical technology company, as well as his experience serving on the board of directors of other companies, contributes valuable experience to our Board.</w:t>
      </w:r>
    </w:p>
    <w:p>
      <w:pPr>
        <w:spacing w:after="0" w:line="20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Sean E. Browne </w:t>
      </w:r>
      <w:r>
        <w:rPr>
          <w:rFonts w:ascii="Times New Roman" w:cs="Times New Roman" w:eastAsia="Times New Roman" w:hAnsi="Times New Roman"/>
          <w:sz w:val="19"/>
          <w:szCs w:val="19"/>
          <w:color w:val="auto"/>
        </w:rPr>
        <w:t>has served as our President and Chief Executive Officer since October 2019 and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member of our Board since October 2019. Prior to this, Mr. Browne served as Chief Revenue Officer of CCS Medical, Inc., a provider of home delivery medical supplies, from September 2014 to June 2019. Prior to CCS Medical, Mr. Browne served as Chief Operating Officer of The Kini Group, an integrated cloud-based software analytics and advisory firm, from March 2013 to August 2014. From November 2007 to March 2016, Mr. Browne served as President and Chief Executive Officer and a director of Neuro Resource Group, a venture start-up medical device company that was sold to a strategic buyer. In other roles, Mr. Browne served as President, Miltex Surgical Instrument Division for Integra LifeSciences Holdings Corporation, a publicly held medical device company that acquired Miltex Holdings, Inc. Mr. Browne served as Vice President, Sales and Marketing of Esurg.com, an e commerce company serving physician and ambulatory surgery markets. Prior to Esurg.com, Mr. Browne served as Senior Vice President, Health Systems Division of McKesson Corporation, a drug company, and prior to McKesson, served in various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16" w:right="1440" w:bottom="175" w:gutter="0" w:footer="0" w:header="0"/>
          <w:type w:val="continuous"/>
        </w:sectPr>
      </w:pPr>
    </w:p>
    <w:bookmarkStart w:id="99" w:name="page100"/>
    <w:bookmarkEnd w:id="99"/>
    <w:p>
      <w:pPr>
        <w:jc w:val="both"/>
        <w:spacing w:after="0" w:line="245" w:lineRule="auto"/>
        <w:rPr>
          <w:sz w:val="20"/>
          <w:szCs w:val="20"/>
          <w:color w:val="auto"/>
        </w:rPr>
      </w:pPr>
      <w:r>
        <w:rPr>
          <w:rFonts w:ascii="Times New Roman" w:cs="Times New Roman" w:eastAsia="Times New Roman" w:hAnsi="Times New Roman"/>
          <w:sz w:val="20"/>
          <w:szCs w:val="20"/>
          <w:color w:val="auto"/>
        </w:rPr>
        <w:t>positions with increasing responsibility at Baxter Healthcare. Mr. Browne holds a Master of Business Administration from the Kellogg School of Management at Northwestern University and a Bachelor of Science degree, with a major in Finance and minor in Statistics, from Boston University. We believe that Mr. Browne’s day-to-day operations experience as a result of his role as our President and Chief Executive Officer enable him to make valuable contributions to our Board. In addition, in his role as President and Chief Executive Officer, Mr. Browne provides unique insight into our business strategies, opportunities and challenges, and serves as the unifying element between the leadership and strategic direction provided by our Board and the implementation of our business strategies by management.</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John K. Bakewell </w:t>
      </w:r>
      <w:r>
        <w:rPr>
          <w:rFonts w:ascii="Times New Roman" w:cs="Times New Roman" w:eastAsia="Times New Roman" w:hAnsi="Times New Roman"/>
          <w:sz w:val="19"/>
          <w:szCs w:val="19"/>
          <w:color w:val="auto"/>
        </w:rPr>
        <w:t>has served as a member of our Board since February 2018. He was initially elected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Board in connection with our restructuring in February 2018. Mr. Bakewell is a strategic executive with more than 30 years of experience in senior executive roles and as a board member of several medical technology companies. He currently serves on the board of directors of Treace Medical Concepts, Inc. (NASDAQ: TMCI), a medical device company. Mr. Bakewell most recently held the position of Chief Financial Officer of Exact Sciences Corporation, a molecular diagnostics company recently acquired by Abbott Laboratories, and previously Chief Financial Officer of Lantheus Holdings, Inc. (NASDAQ: LNTH), a diagnostic medical imaging company. Mr. Bakewell also previously served in Chief Financial Officer positions at Interline Brands, Inc., RegionalCare Hospital Partners, Wright Medical Group, Inc., which was acquired by Stryker Corporation (NYSE: SYK) in November 2020, Cyberonics, Inc., now part of LivaNova PLC (NASDAQ: LIVN), Altra Energy Technologies, Inc. and ZEOS International, Ltd. He began his career in the public accounting profession, serving seven years, collectively, with Ernst &amp; Young and KPMG Peat Marwick. Mr. Bakewell previously served on the board of directors of Neuronetics, Inc. (NASDAQ: STIM), a public medical device company; Entellus Medical, Inc., a public ENT-focused medical device company, until its acquisition by Stryker Corporation; ev3 Inc., a public endovascular medical device company, until its acquisition by Covidien plc; and Corindus Vascular Robotics, Inc., a public cardiovascular robotics medical technology company and now a Siemens Healthineers company. Mr. Bakewell holds a Bachelor of Arts in Accounting from the University of Northern Iowa and is a certified public accountant (current status inactive). Mr. Bakewell’s financial expertise and extensive managerial experience as a senior executive of several publicly traded medical technology companies, as well as his experience serving on the board of directors of other companies contributes valuable experience to our Board.</w:t>
      </w:r>
    </w:p>
    <w:p>
      <w:pPr>
        <w:spacing w:after="0" w:line="20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Jonn R. Beeson </w:t>
      </w:r>
      <w:r>
        <w:rPr>
          <w:rFonts w:ascii="Times New Roman" w:cs="Times New Roman" w:eastAsia="Times New Roman" w:hAnsi="Times New Roman"/>
          <w:sz w:val="19"/>
          <w:szCs w:val="19"/>
          <w:color w:val="auto"/>
        </w:rPr>
        <w:t>has served as a member of our Board since May 2023. Mr. Beeson is a partner with Jones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 a global law firm, and has been practicing corporate law since 1996. His practice focuses on mergers and acquisitions, divestitures, takeovers, capital raising, securities transactions, corporate governance, and stockholder activism matters. Mr. Beeson represents a variety of corporate clients and is most active in the life sciences, technology and software industries, with significant experience working with a wide range of medical device companies. Mr. Beeson holds a Bachelor of Science degree from the University of California, Irvine, and a Juris Doctor from the University of Pennsylvania. Mr. Beeson’s extensive experience in mergers and acquisitions, corporate governance matters and working with medical device companies contributes valuable experience to our Board.</w:t>
      </w:r>
    </w:p>
    <w:p>
      <w:pPr>
        <w:spacing w:after="0" w:line="18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Abhinav Jain </w:t>
      </w:r>
      <w:r>
        <w:rPr>
          <w:rFonts w:ascii="Times New Roman" w:cs="Times New Roman" w:eastAsia="Times New Roman" w:hAnsi="Times New Roman"/>
          <w:sz w:val="19"/>
          <w:szCs w:val="19"/>
          <w:color w:val="auto"/>
        </w:rPr>
        <w:t>has served as a member of our Board since August 1, 2025. Since July 2019, Mr. Jain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served as an Analyst at Nantahala Capital Management, LLC, an investment management company focused on investments in various sectors, including specialty and generic pharmaceuticals and medtech, and the beneficial owner of 48.8% of our outstanding common stock. Mr. Jain was appointed to the Board at the request of Nantahala and upon a determination by the Board that his appointment is in the best interests of the Company and our stockholders. From 2015 to 2017, Mr. Jain was an Associate at Angelo, Gordon &amp; Co., an alternative asset manager. At Angelo, Gordon</w:t>
      </w:r>
    </w:p>
    <w:p>
      <w:pPr>
        <w:spacing w:after="0" w:line="3" w:lineRule="exact"/>
        <w:rPr>
          <w:sz w:val="20"/>
          <w:szCs w:val="20"/>
          <w:color w:val="auto"/>
        </w:rPr>
      </w:pPr>
    </w:p>
    <w:p>
      <w:pPr>
        <w:jc w:val="both"/>
        <w:spacing w:after="0" w:line="241" w:lineRule="auto"/>
        <w:tabs>
          <w:tab w:leader="none" w:pos="2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Mr. Jain focused on private equity and structured credit investments. Mr. Jain currently serves as a member of the board of directors of Aytu Biopharma, Inc. (NASDAQ: AYTU), a specialty pharmaceutical company, Talphera, Inc. (NASDAQ: TLPH), a specialty pharmaceutical company, and Eagle Pharmaceuticals, Inc. (OTCMKTS: EGRX, a specialty pharmaceutical company. He holds a Bachelor of Science degree in Chemical-Biological Engineering from Massachusetts Institute of Technology and a Master of Business Administration with honors in Finance and Entrepreneurial Management from The Wharton School of the University of Pennsylvania. Mr. Jain’s financial expertise and experience contributes valuable experience to our Board.</w:t>
      </w:r>
    </w:p>
    <w:p>
      <w:pPr>
        <w:spacing w:after="0" w:line="20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Tyler P. Lipschultz </w:t>
      </w:r>
      <w:r>
        <w:rPr>
          <w:rFonts w:ascii="Times New Roman" w:cs="Times New Roman" w:eastAsia="Times New Roman" w:hAnsi="Times New Roman"/>
          <w:sz w:val="20"/>
          <w:szCs w:val="20"/>
          <w:color w:val="auto"/>
        </w:rPr>
        <w:t>has served as a member of our Board since August 1, 2025. Mr. Lipschultz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appointed to the Board at the request of Nantahala and upon a determination by the Board that his appointment is in the best interests of the Company and our stockholders. Mr. Lipschultz has over 35 years of leadership experience in orthopaedics, spine, and biologics. He currently serves as President of LocateBio, Inc., a U.S. subsidiary of 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20" w:right="1440" w:bottom="175" w:gutter="0" w:footer="0" w:header="0"/>
          <w:type w:val="continuous"/>
        </w:sectPr>
      </w:pPr>
    </w:p>
    <w:bookmarkStart w:id="100" w:name="page101"/>
    <w:bookmarkEnd w:id="100"/>
    <w:p>
      <w:pPr>
        <w:jc w:val="both"/>
        <w:spacing w:after="0" w:line="242" w:lineRule="auto"/>
        <w:rPr>
          <w:sz w:val="20"/>
          <w:szCs w:val="20"/>
          <w:color w:val="auto"/>
        </w:rPr>
      </w:pPr>
      <w:r>
        <w:rPr>
          <w:rFonts w:ascii="Times New Roman" w:cs="Times New Roman" w:eastAsia="Times New Roman" w:hAnsi="Times New Roman"/>
          <w:sz w:val="20"/>
          <w:szCs w:val="20"/>
          <w:color w:val="auto"/>
        </w:rPr>
        <w:t>biotechnology company in England, a position he has held since November 2024. Prior to LocateBio, Mr. Lipschultz served as President, Global Biologics at Orthofix Medical Inc., a global medical technology company, from January 2023 until July 2025. Prior to Orthofix, Mr. Lipschultz served as Senior Vice President, Orthobiologics and Business Development of SeaSpine Holdings Corporation, a global medical technology company focused on surgical solutions for the treatment of spinal disorders, from February 2018 until its acquisition by Orthofix in January 2023, and prior to that position, served as Vice President, Orthobiologics and Business Development of SeaSpine from July 2015 to February 2018. From June 2008 to March 2015, Mr. Lipschultz held positions of increasing responsibility at NuVasive, Inc., a publicly traded medical device company, most recently serving as its Executive Vice President, Global Operations, and, prior to that, Executive Vice President, Biologics. Prior to joining NuVasive, Mr. Lipschultz was a director at ProtoStar, a medical device incubator that formed Annulex, CVRx, and VERTx, which he co-founded. In 2002, VERTx merged with Spine Wave, where Mr. Lipschultz subsequently served in a variety of roles, including Executive Vice President and General Manager of the mechanical business. Prior to ProtoStar, Mr. Lipschultz held the position of Equity Research Analyst at Piper Jaffray and served in various marketing/product management roles at Stryker Corporation, Smith &amp; Nephew plc, and DePuy. Mr. Lipschultz received a Bachelor of Arts degree in Economics and Business Administration from Kalamazoo College and a Master of Business Administration from the executive program at Krannert School of Management at Purdue University. Mr. Lipschultz’s substantial experience in the biologics, orthopaedics, and spine industries contributes valuable experience to our Board.</w:t>
      </w:r>
    </w:p>
    <w:p>
      <w:pPr>
        <w:spacing w:after="0" w:line="202"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Scott C. Neils </w:t>
      </w:r>
      <w:r>
        <w:rPr>
          <w:rFonts w:ascii="Times New Roman" w:cs="Times New Roman" w:eastAsia="Times New Roman" w:hAnsi="Times New Roman"/>
          <w:sz w:val="20"/>
          <w:szCs w:val="20"/>
          <w:color w:val="auto"/>
        </w:rPr>
        <w:t>has served as our Chief Financial Officer since June 2022 and was appointed as our Assistant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Secretary in September 2025. Prior to that, served as our Interim Chief Financial Officer from January 2022 to June 2022 and as our Controller from August 2019 until January 2022. Mr. Neils has over 15 years of experience focused on public accounting and corporate finance. In this role, Mr. Neils gained extensive experience managing our finance and accounting functions. Prior to joining Xtant, Mr. Neils served as Audit Senior Manager at Baker Tilly US, LLP (formerly Baker Tilly Virchow Krause, LLP), an advisory, tax and assurance firm, from November 2015 to August 2019. Prior to that position, Mr. Neils was at Grant Thornton LLP, an accounting and advisory organization, from September 2007 to November 2015, most recently as Audit Manager. Mr. Neils is a Certified Public Accountant. He holds a Bachelor of Science in Business in Accounting and a Master of Accountancy from the Carlson School of Management at the University of Minnesota.</w:t>
      </w:r>
    </w:p>
    <w:p>
      <w:pPr>
        <w:spacing w:after="0" w:line="20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Mark A. Schallenberger </w:t>
      </w:r>
      <w:r>
        <w:rPr>
          <w:rFonts w:ascii="Times New Roman" w:cs="Times New Roman" w:eastAsia="Times New Roman" w:hAnsi="Times New Roman"/>
          <w:sz w:val="20"/>
          <w:szCs w:val="20"/>
          <w:color w:val="auto"/>
        </w:rPr>
        <w:t>was appointed our Chief Operating Officer in April 2025, and prior to that position,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served as Chief Operations Officer since January 2023. Prior to this, Mr. Schallenberger served as Chief Operations Officer of Surgenex LLC, a medical technology manufacturer, from June 2019 to January 2023. Prior to Surgenex, Mr. Schallenberger served as Senior Director of Marketing &amp; Product Development of DCI Donor Services Tissue Bank, a tissue bank, from February 2016 to June 2019. Prior to DCI Donor Services Tissue Bank, Mr. Schallenberger served various roles with increasing responsibility from September 2010 to February 2016 culminating with Director of Scientific Affairs with Xtant Medical Holdings, Inc. formerly Bacterin International Holdings, Inc. Mr. Schallenberger holds a Master of Science in Chemical Biology from The Scripps Research Institute and a Bachelor of Science degree in Chemistry from the University of Montana.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Understanding with Nantahala Regarding Board Composition</w:t>
      </w:r>
    </w:p>
    <w:p>
      <w:pPr>
        <w:spacing w:after="0" w:line="24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Abhinav Jain and Tyler Lipschultz were appointed to our Board effective as of August 1, 2025 at the request of Nantahala and upon a determination by our Board that their appointment and the resulting Board composition is in the best interests of the Company and our stockholders. There is no investor rights agreement or other arrangements between us and Nantahala regarding board composition or other governance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OrbiMed Investor Rights Agreement</w:t>
      </w:r>
    </w:p>
    <w:p>
      <w:pPr>
        <w:spacing w:after="0" w:line="24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Until April 15, 2025, we were party to an Investor Rights Agreement with OrbiMed Royalty Opportunities II, LP (“Royalty Opportunities”) and ROS Acquisition Offshore LP (“ROS”), which are funds affiliated with OrbiMed Advisors LLC. Under the Investor Rights Agreement, we had granted Royalty Opportunities and ROS certain governance and other rights, including director nomination rights, special approval rights, and rights of first refusal, so long as certain common stock ownership thresholds were maintained by Royalty Opportunities and ROS. As described above, effective April 15, 2025, Royalty Opportunities and ROS sold their shares of our common stock to funds affiliated with Nantahala Capital Management, LLC and certain other investors pursuant to a stock purchase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20" w:right="1440" w:bottom="175" w:gutter="0" w:footer="0" w:header="0"/>
          <w:type w:val="continuous"/>
        </w:sectPr>
      </w:pPr>
    </w:p>
    <w:bookmarkStart w:id="101" w:name="page102"/>
    <w:bookmarkEnd w:id="101"/>
    <w:p>
      <w:pPr>
        <w:jc w:val="both"/>
        <w:spacing w:after="0" w:line="247" w:lineRule="auto"/>
        <w:rPr>
          <w:sz w:val="20"/>
          <w:szCs w:val="20"/>
          <w:color w:val="auto"/>
        </w:rPr>
      </w:pPr>
      <w:r>
        <w:rPr>
          <w:rFonts w:ascii="Times New Roman" w:cs="Times New Roman" w:eastAsia="Times New Roman" w:hAnsi="Times New Roman"/>
          <w:sz w:val="20"/>
          <w:szCs w:val="20"/>
          <w:color w:val="auto"/>
        </w:rPr>
        <w:t>agreement, resulting in OrbiMed Advisors LLC and its affiliates no longer being stockholders of the Company, based on beneficial ownership filings made with the SEC and other information available to us. After the closing of such transaction, on April 15, 2025, we provided Royalty Opportunities and ROS written notice of termination of the Investor Rights Agreement in accordance with Article IV thereof, which provided that the Investor Rights Agreement would terminate upon written notice of either the Company or Royalty Opportunities and ROS at such time as their ownership of our common stock, as a percentage of our outstanding common stock, is less than 10%.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Board has affirmatively determined that John K. Bakewell, Jonn R. Beeson, Abhinav Jain, Tyler P. Lipschultz and Stavros G. Vizirgianakis are “independent directors,” as defined under the independence standards of the NYSE American, and that former directors, Robert McNamara and Lori Mitchell-Keller, were “independent directors,” as defined under the independence standards of the NYSE American, prior to their resignation from the Board.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Stavros G. Vizirgianakis serves as Chairman of the Board and has served in this position since August 2022 when he joined our Board in connection with our private placement. Sean E. Browne serves as our President and Chief Executive Officer. We believe this leadership structure is in the best interests of the Company and our stockholders and strikes the appropriate balance between the Chief Executive Officer’s responsibility for the strategic direction, day-to-day leadership, and performance of the Company and the Chairman of the Board’s responsibility to guide the overall strategic direction of the Company, provide oversight of our corporate governance and guidance to our Chief Executive Officer, and to set the agenda for and preside over Board meetings. We recognize that different leadership structures may be appropriate for companies in different situations and believe that no one structure is suitable for all companies. We believe that we are currently well-served by this leadership structure.</w:t>
      </w:r>
    </w:p>
    <w:p>
      <w:pPr>
        <w:spacing w:after="0" w:line="18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connection with our August 2022 private placement, we entered into an agreement with Stavros G. Vizirgianakis, as the lead investor of the private placement, pursuant to which we agreed to provide Mr. Vizirgianakis certain director nomination rights. Pursuant to the terms of the agreement, we agreed to and expanded the size of the Board by one position and elected Mr. Vizirgianakis as a director to fill the vacancy created as a result of the increase, effective upon completion of the closing of the first tranche of securities in the private placement. In addition, we agreed to and elected Mr. Vizirgianakis as Chairman of the Board, effective upon completion of the first closing. The director nomination rights set forth in the agreement terminated on October 7,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currently maintain three Board committees, an Audit Committee, a Compensation Committee and a Nominating and Corporate Governance Committee. The table below summarizes the current membership of each of our three standing board committees as of February 28, 2026.</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860" w:type="dxa"/>
            <w:vAlign w:val="bottom"/>
          </w:tcPr>
          <w:p>
            <w:pPr>
              <w:jc w:val="center"/>
              <w:ind w:left="144"/>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320" w:type="dxa"/>
            <w:vAlign w:val="bottom"/>
          </w:tcPr>
          <w:p>
            <w:pPr>
              <w:jc w:val="center"/>
              <w:ind w:left="144"/>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r>
      <w:tr>
        <w:trPr>
          <w:trHeight w:val="247"/>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860" w:type="dxa"/>
            <w:vAlign w:val="bottom"/>
          </w:tcPr>
          <w:p>
            <w:pPr>
              <w:jc w:val="center"/>
              <w:ind w:left="144"/>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320" w:type="dxa"/>
            <w:vAlign w:val="bottom"/>
          </w:tcPr>
          <w:p>
            <w:pPr>
              <w:jc w:val="center"/>
              <w:ind w:left="144"/>
              <w:spacing w:after="0"/>
              <w:rPr>
                <w:sz w:val="20"/>
                <w:szCs w:val="20"/>
                <w:color w:val="auto"/>
              </w:rPr>
            </w:pPr>
            <w:r>
              <w:rPr>
                <w:rFonts w:ascii="Times New Roman" w:cs="Times New Roman" w:eastAsia="Times New Roman" w:hAnsi="Times New Roman"/>
                <w:sz w:val="18"/>
                <w:szCs w:val="18"/>
                <w:b w:val="1"/>
                <w:bCs w:val="1"/>
                <w:color w:val="auto"/>
              </w:rPr>
              <w:t>Governance Committee</w:t>
            </w:r>
          </w:p>
        </w:tc>
      </w:tr>
      <w:tr>
        <w:trPr>
          <w:trHeight w:val="230"/>
        </w:trPr>
        <w:tc>
          <w:tcPr>
            <w:tcW w:w="2440" w:type="dxa"/>
            <w:vAlign w:val="bottom"/>
            <w:tcBorders>
              <w:top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Stavros G. Vizirgianakis</w:t>
            </w:r>
          </w:p>
        </w:tc>
        <w:tc>
          <w:tcPr>
            <w:tcW w:w="580" w:type="dxa"/>
            <w:vAlign w:val="bottom"/>
            <w:tcBorders>
              <w:top w:val="single" w:sz="8" w:color="D9D9D9"/>
            </w:tcBorders>
            <w:shd w:val="clear" w:color="auto" w:fill="D9D9D9"/>
          </w:tcPr>
          <w:p>
            <w:pPr>
              <w:spacing w:after="0"/>
              <w:rPr>
                <w:sz w:val="19"/>
                <w:szCs w:val="19"/>
                <w:color w:val="auto"/>
              </w:rPr>
            </w:pPr>
          </w:p>
        </w:tc>
        <w:tc>
          <w:tcPr>
            <w:tcW w:w="2080" w:type="dxa"/>
            <w:vAlign w:val="bottom"/>
            <w:tcBorders>
              <w:top w:val="single" w:sz="8" w:color="auto"/>
            </w:tcBorders>
            <w:shd w:val="clear" w:color="auto" w:fill="D9D9D9"/>
          </w:tcPr>
          <w:p>
            <w:pPr>
              <w:spacing w:after="0"/>
              <w:rPr>
                <w:sz w:val="19"/>
                <w:szCs w:val="19"/>
                <w:color w:val="auto"/>
              </w:rPr>
            </w:pPr>
          </w:p>
        </w:tc>
        <w:tc>
          <w:tcPr>
            <w:tcW w:w="1860" w:type="dxa"/>
            <w:vAlign w:val="bottom"/>
            <w:tcBorders>
              <w:top w:val="single" w:sz="8" w:color="auto"/>
            </w:tcBorders>
            <w:shd w:val="clear" w:color="auto" w:fill="D9D9D9"/>
          </w:tcPr>
          <w:p>
            <w:pPr>
              <w:spacing w:after="0"/>
              <w:rPr>
                <w:sz w:val="19"/>
                <w:szCs w:val="19"/>
                <w:color w:val="auto"/>
              </w:rPr>
            </w:pPr>
          </w:p>
        </w:tc>
        <w:tc>
          <w:tcPr>
            <w:tcW w:w="2320" w:type="dxa"/>
            <w:vAlign w:val="bottom"/>
            <w:tcBorders>
              <w:top w:val="single" w:sz="8" w:color="auto"/>
            </w:tcBorders>
            <w:shd w:val="clear" w:color="auto" w:fill="D9D9D9"/>
          </w:tcPr>
          <w:p>
            <w:pPr>
              <w:jc w:val="center"/>
              <w:ind w:left="144"/>
              <w:spacing w:after="0"/>
              <w:rPr>
                <w:sz w:val="20"/>
                <w:szCs w:val="20"/>
                <w:color w:val="auto"/>
              </w:rPr>
            </w:pPr>
            <w:r>
              <w:rPr>
                <w:rFonts w:ascii="Times New Roman" w:cs="Times New Roman" w:eastAsia="Times New Roman" w:hAnsi="Times New Roman"/>
                <w:sz w:val="20"/>
                <w:szCs w:val="20"/>
                <w:color w:val="auto"/>
                <w:w w:val="98"/>
              </w:rPr>
              <w:t>Chair</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30"/>
        </w:trPr>
        <w:tc>
          <w:tcPr>
            <w:tcW w:w="30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John K. Bakewell</w:t>
            </w:r>
          </w:p>
        </w:tc>
        <w:tc>
          <w:tcPr>
            <w:tcW w:w="2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Chair</w:t>
            </w:r>
          </w:p>
        </w:tc>
        <w:tc>
          <w:tcPr>
            <w:tcW w:w="1860" w:type="dxa"/>
            <w:vAlign w:val="bottom"/>
            <w:shd w:val="clear" w:color="auto" w:fill="D9D9D9"/>
          </w:tcPr>
          <w:p>
            <w:pPr>
              <w:spacing w:after="0"/>
              <w:rPr>
                <w:sz w:val="20"/>
                <w:szCs w:val="20"/>
                <w:color w:val="auto"/>
              </w:rPr>
            </w:pPr>
          </w:p>
        </w:tc>
        <w:tc>
          <w:tcPr>
            <w:tcW w:w="2320" w:type="dxa"/>
            <w:vAlign w:val="bottom"/>
            <w:shd w:val="clear" w:color="auto" w:fill="D9D9D9"/>
          </w:tcPr>
          <w:p>
            <w:pPr>
              <w:jc w:val="center"/>
              <w:ind w:left="144"/>
              <w:spacing w:after="0"/>
              <w:rPr>
                <w:sz w:val="20"/>
                <w:szCs w:val="20"/>
                <w:color w:val="auto"/>
              </w:rPr>
            </w:pPr>
            <w:r>
              <w:rPr>
                <w:rFonts w:ascii="Times New Roman" w:cs="Times New Roman" w:eastAsia="Times New Roman" w:hAnsi="Times New Roman"/>
                <w:sz w:val="20"/>
                <w:szCs w:val="20"/>
                <w:color w:val="auto"/>
                <w:w w:val="82"/>
              </w:rPr>
              <w:t>Ɣ</w:t>
            </w:r>
          </w:p>
        </w:tc>
      </w:tr>
      <w:tr>
        <w:trPr>
          <w:trHeight w:val="229"/>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Jonn R. Beeson</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2"/>
              </w:rPr>
              <w:t>Ɣ</w:t>
            </w:r>
          </w:p>
        </w:tc>
        <w:tc>
          <w:tcPr>
            <w:tcW w:w="1860" w:type="dxa"/>
            <w:vAlign w:val="bottom"/>
          </w:tcPr>
          <w:p>
            <w:pPr>
              <w:jc w:val="center"/>
              <w:ind w:left="144"/>
              <w:spacing w:after="0"/>
              <w:rPr>
                <w:sz w:val="20"/>
                <w:szCs w:val="20"/>
                <w:color w:val="auto"/>
              </w:rPr>
            </w:pPr>
            <w:r>
              <w:rPr>
                <w:rFonts w:ascii="Times New Roman" w:cs="Times New Roman" w:eastAsia="Times New Roman" w:hAnsi="Times New Roman"/>
                <w:sz w:val="20"/>
                <w:szCs w:val="20"/>
                <w:color w:val="auto"/>
              </w:rPr>
              <w:t>Chair</w:t>
            </w:r>
          </w:p>
        </w:tc>
        <w:tc>
          <w:tcPr>
            <w:tcW w:w="2320" w:type="dxa"/>
            <w:vAlign w:val="bottom"/>
          </w:tcPr>
          <w:p>
            <w:pPr>
              <w:spacing w:after="0"/>
              <w:rPr>
                <w:sz w:val="19"/>
                <w:szCs w:val="19"/>
                <w:color w:val="auto"/>
              </w:rPr>
            </w:pPr>
          </w:p>
        </w:tc>
      </w:tr>
      <w:tr>
        <w:trPr>
          <w:trHeight w:val="230"/>
        </w:trPr>
        <w:tc>
          <w:tcPr>
            <w:tcW w:w="30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Abhinav Jain</w:t>
            </w:r>
          </w:p>
        </w:tc>
        <w:tc>
          <w:tcPr>
            <w:tcW w:w="2080" w:type="dxa"/>
            <w:vAlign w:val="bottom"/>
            <w:shd w:val="clear" w:color="auto" w:fill="D9D9D9"/>
          </w:tcPr>
          <w:p>
            <w:pPr>
              <w:spacing w:after="0"/>
              <w:rPr>
                <w:sz w:val="20"/>
                <w:szCs w:val="20"/>
                <w:color w:val="auto"/>
              </w:rPr>
            </w:pPr>
          </w:p>
        </w:tc>
        <w:tc>
          <w:tcPr>
            <w:tcW w:w="1860" w:type="dxa"/>
            <w:vAlign w:val="bottom"/>
            <w:shd w:val="clear" w:color="auto" w:fill="D9D9D9"/>
          </w:tcPr>
          <w:p>
            <w:pPr>
              <w:jc w:val="center"/>
              <w:ind w:left="164"/>
              <w:spacing w:after="0"/>
              <w:rPr>
                <w:sz w:val="20"/>
                <w:szCs w:val="20"/>
                <w:color w:val="auto"/>
              </w:rPr>
            </w:pPr>
            <w:r>
              <w:rPr>
                <w:rFonts w:ascii="Times New Roman" w:cs="Times New Roman" w:eastAsia="Times New Roman" w:hAnsi="Times New Roman"/>
                <w:sz w:val="20"/>
                <w:szCs w:val="20"/>
                <w:color w:val="auto"/>
                <w:w w:val="82"/>
              </w:rPr>
              <w:t>Ɣ</w:t>
            </w:r>
          </w:p>
        </w:tc>
        <w:tc>
          <w:tcPr>
            <w:tcW w:w="2320" w:type="dxa"/>
            <w:vAlign w:val="bottom"/>
            <w:shd w:val="clear" w:color="auto" w:fill="D9D9D9"/>
          </w:tcPr>
          <w:p>
            <w:pPr>
              <w:jc w:val="center"/>
              <w:ind w:left="144"/>
              <w:spacing w:after="0"/>
              <w:rPr>
                <w:sz w:val="20"/>
                <w:szCs w:val="20"/>
                <w:color w:val="auto"/>
              </w:rPr>
            </w:pPr>
            <w:r>
              <w:rPr>
                <w:rFonts w:ascii="Times New Roman" w:cs="Times New Roman" w:eastAsia="Times New Roman" w:hAnsi="Times New Roman"/>
                <w:sz w:val="20"/>
                <w:szCs w:val="20"/>
                <w:color w:val="auto"/>
                <w:w w:val="82"/>
              </w:rPr>
              <w:t>Ɣ</w:t>
            </w:r>
          </w:p>
        </w:tc>
      </w:tr>
      <w:tr>
        <w:trPr>
          <w:trHeight w:val="267"/>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Tyler P. Lipschultz</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2"/>
              </w:rPr>
              <w:t>Ɣ</w:t>
            </w:r>
          </w:p>
        </w:tc>
        <w:tc>
          <w:tcPr>
            <w:tcW w:w="1860" w:type="dxa"/>
            <w:vAlign w:val="bottom"/>
          </w:tcPr>
          <w:p>
            <w:pPr>
              <w:jc w:val="center"/>
              <w:ind w:left="164"/>
              <w:spacing w:after="0"/>
              <w:rPr>
                <w:sz w:val="20"/>
                <w:szCs w:val="20"/>
                <w:color w:val="auto"/>
              </w:rPr>
            </w:pPr>
            <w:r>
              <w:rPr>
                <w:rFonts w:ascii="Times New Roman" w:cs="Times New Roman" w:eastAsia="Times New Roman" w:hAnsi="Times New Roman"/>
                <w:sz w:val="20"/>
                <w:szCs w:val="20"/>
                <w:color w:val="auto"/>
                <w:w w:val="82"/>
              </w:rPr>
              <w:t>Ɣ</w:t>
            </w:r>
          </w:p>
        </w:tc>
        <w:tc>
          <w:tcPr>
            <w:tcW w:w="23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20" w:right="1440" w:bottom="175"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23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The organization and primary responsibilities of the Audit Committee are set forth in its charter, posted on our website at </w:t>
      </w:r>
      <w:r>
        <w:rPr>
          <w:rFonts w:ascii="Times New Roman" w:cs="Times New Roman" w:eastAsia="Times New Roman" w:hAnsi="Times New Roman"/>
          <w:sz w:val="20"/>
          <w:szCs w:val="20"/>
          <w:i w:val="1"/>
          <w:iCs w:val="1"/>
          <w:color w:val="auto"/>
        </w:rPr>
        <w:t>www.xtantmedical.com</w:t>
      </w:r>
      <w:r>
        <w:rPr>
          <w:rFonts w:ascii="Times New Roman" w:cs="Times New Roman" w:eastAsia="Times New Roman" w:hAnsi="Times New Roman"/>
          <w:sz w:val="20"/>
          <w:szCs w:val="20"/>
          <w:color w:val="auto"/>
        </w:rPr>
        <w:t xml:space="preserve"> (click “Investors” and “Corporate Governance”), and include various matters with respect to the oversight of our accounting and financial reporting process and audits of our financial statements. The primary purposes of the Audit Committee include:</w:t>
      </w:r>
    </w:p>
    <w:p>
      <w:pPr>
        <w:spacing w:after="0" w:line="205" w:lineRule="exact"/>
        <w:rPr>
          <w:sz w:val="20"/>
          <w:szCs w:val="20"/>
          <w:color w:val="auto"/>
        </w:rPr>
      </w:pPr>
    </w:p>
    <w:p>
      <w:pPr>
        <w:ind w:left="1080" w:right="20" w:hanging="360"/>
        <w:spacing w:after="0" w:line="277"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overseeing the accounting and financial reporting processes of the Company and audits of the financial statements of the Company;</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providing assistance to the Board with respect to its oversight of the following:</w:t>
      </w:r>
    </w:p>
    <w:p>
      <w:pPr>
        <w:spacing w:after="0" w:line="118" w:lineRule="exact"/>
        <w:rPr>
          <w:rFonts w:ascii="Arial" w:cs="Arial" w:eastAsia="Arial" w:hAnsi="Arial"/>
          <w:sz w:val="20"/>
          <w:szCs w:val="20"/>
          <w:color w:val="auto"/>
        </w:rPr>
      </w:pPr>
    </w:p>
    <w:p>
      <w:pPr>
        <w:ind w:left="1080" w:right="2380"/>
        <w:spacing w:after="0" w:line="340"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integrity of the Company’s financial statements and internal controls;</w:t>
      </w:r>
      <w:r>
        <w:rPr>
          <w:rFonts w:ascii="Courier New" w:cs="Courier New" w:eastAsia="Courier New" w:hAnsi="Courier New"/>
          <w:sz w:val="20"/>
          <w:szCs w:val="20"/>
          <w:color w:val="auto"/>
        </w:rPr>
        <w:t xml:space="preserve"> o </w:t>
      </w:r>
      <w:r>
        <w:rPr>
          <w:rFonts w:ascii="Times New Roman" w:cs="Times New Roman" w:eastAsia="Times New Roman" w:hAnsi="Times New Roman"/>
          <w:sz w:val="20"/>
          <w:szCs w:val="20"/>
          <w:color w:val="auto"/>
        </w:rPr>
        <w:t>the Company’s compliance with legal and regulatory requirements;</w:t>
      </w:r>
    </w:p>
    <w:p>
      <w:pPr>
        <w:ind w:left="1440" w:right="20" w:hanging="360"/>
        <w:spacing w:after="0" w:line="243"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the qualifications and independence of the Company’s independent registered public accounting</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firm; and</w:t>
      </w:r>
    </w:p>
    <w:p>
      <w:pPr>
        <w:spacing w:after="0" w:line="80" w:lineRule="exact"/>
        <w:rPr>
          <w:rFonts w:ascii="Arial" w:cs="Arial" w:eastAsia="Arial" w:hAnsi="Arial"/>
          <w:sz w:val="20"/>
          <w:szCs w:val="20"/>
          <w:color w:val="auto"/>
        </w:rPr>
      </w:pPr>
    </w:p>
    <w:p>
      <w:pPr>
        <w:ind w:left="1440" w:right="20" w:hanging="360"/>
        <w:spacing w:after="0" w:line="243"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the performance of the Company’s internal audit function, if any, and independent registered public</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accounting firm; and</w:t>
      </w:r>
    </w:p>
    <w:p>
      <w:pPr>
        <w:spacing w:after="0" w:line="95" w:lineRule="exact"/>
        <w:rPr>
          <w:rFonts w:ascii="Arial" w:cs="Arial" w:eastAsia="Arial" w:hAnsi="Arial"/>
          <w:sz w:val="20"/>
          <w:szCs w:val="20"/>
          <w:color w:val="auto"/>
        </w:rPr>
      </w:pPr>
    </w:p>
    <w:p>
      <w:pPr>
        <w:ind w:left="1080" w:right="20" w:hanging="359"/>
        <w:spacing w:after="0" w:line="277"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preparing the report required to be prepared by the Audit Committee pursuant to the rules of the Securities and Exchange Commission.</w:t>
      </w:r>
    </w:p>
    <w:p>
      <w:pPr>
        <w:spacing w:after="0" w:line="16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The Audit Committee currently consists of Mr. Bakewell (Chair), Mr. Beeson, and Mr. Lipschultz. From January 1, 2025 until August 1, 2025, the Audit Committee consisted of Mr. Bakewell (Chair), Mr. McNamara, a former director, and Ms. Mitchell-Keller, a former director. Under the NYSE American listing standards, all Audit Committee members must be independent directors and meet heightened independence requirements under the federal securities laws. In addition, all Audit Committee members must be financially literate, and at least one member must be financially sophisticated. Further, under SEC rules, the Board must determine whether at least one member of the Audit Committee is an “audit committee financial expert,” as defined by the SEC’s rules. The Board has determined that each of Mr. Bakewell, Mr. Beeson, and Mr. Lipschultz is independent and financially literate and each of the former Audit Committee members, Mr. McNamara and Ms. Mitchell Keller, was independent and financially literate prior to their resignation from the Board. The Board also has determined that Mr. Bakewell is financially sophisticated and qualifies as an “audit committee financial expert” in accordance with the applicable rules and regulations of the SEC and former director, Mr. McNamara, was financially sophisticated and qualified as an “audit committee financial expert” in accordance with the applicable rules and regulations of the SEC prior to his resignation from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239"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color w:val="auto"/>
        </w:rPr>
        <w:t xml:space="preserve">The organization and responsibilities of the Compensation Committee are set forth in its charter, which is posted on our website at </w:t>
      </w:r>
      <w:r>
        <w:rPr>
          <w:rFonts w:ascii="Times New Roman" w:cs="Times New Roman" w:eastAsia="Times New Roman" w:hAnsi="Times New Roman"/>
          <w:sz w:val="20"/>
          <w:szCs w:val="20"/>
          <w:i w:val="1"/>
          <w:iCs w:val="1"/>
          <w:color w:val="auto"/>
        </w:rPr>
        <w:t>www.xtantmedical.com</w:t>
      </w:r>
      <w:r>
        <w:rPr>
          <w:rFonts w:ascii="Times New Roman" w:cs="Times New Roman" w:eastAsia="Times New Roman" w:hAnsi="Times New Roman"/>
          <w:sz w:val="20"/>
          <w:szCs w:val="20"/>
          <w:color w:val="auto"/>
        </w:rPr>
        <w:t xml:space="preserve"> (click “Investors” and “Corporate Governance”). The primary purposes of the Compensation Committee include:</w:t>
      </w:r>
    </w:p>
    <w:p>
      <w:pPr>
        <w:spacing w:after="0" w:line="80" w:lineRule="exact"/>
        <w:rPr>
          <w:sz w:val="20"/>
          <w:szCs w:val="20"/>
          <w:color w:val="auto"/>
        </w:rPr>
      </w:pPr>
    </w:p>
    <w:p>
      <w:pPr>
        <w:ind w:left="1080" w:right="20" w:hanging="359"/>
        <w:spacing w:after="0" w:line="277" w:lineRule="auto"/>
        <w:tabs>
          <w:tab w:leader="none" w:pos="10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recommending to the Board all compensation for our Chief Executive Officer and approving all compensation for our other executive officers;</w:t>
      </w:r>
    </w:p>
    <w:p>
      <w:pPr>
        <w:spacing w:after="0" w:line="22" w:lineRule="exact"/>
        <w:rPr>
          <w:rFonts w:ascii="Arial" w:cs="Arial" w:eastAsia="Arial" w:hAnsi="Arial"/>
          <w:sz w:val="20"/>
          <w:szCs w:val="20"/>
          <w:color w:val="auto"/>
        </w:rPr>
      </w:pPr>
    </w:p>
    <w:p>
      <w:pPr>
        <w:ind w:left="1080" w:hanging="359"/>
        <w:spacing w:after="0"/>
        <w:tabs>
          <w:tab w:leader="none" w:pos="10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administering our equity-based compensation plans;</w:t>
      </w:r>
    </w:p>
    <w:p>
      <w:pPr>
        <w:spacing w:after="0" w:line="93" w:lineRule="exact"/>
        <w:rPr>
          <w:rFonts w:ascii="Arial" w:cs="Arial" w:eastAsia="Arial" w:hAnsi="Arial"/>
          <w:sz w:val="20"/>
          <w:szCs w:val="20"/>
          <w:color w:val="auto"/>
        </w:rPr>
      </w:pPr>
    </w:p>
    <w:p>
      <w:pPr>
        <w:ind w:left="1080" w:right="20" w:hanging="359"/>
        <w:spacing w:after="0" w:line="277" w:lineRule="auto"/>
        <w:tabs>
          <w:tab w:leader="none" w:pos="10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assessing, and approving overall strategies for attracting, developing, retaining, and motivating Company management and employees;</w:t>
      </w:r>
    </w:p>
    <w:p>
      <w:pPr>
        <w:spacing w:after="0" w:line="22" w:lineRule="exact"/>
        <w:rPr>
          <w:rFonts w:ascii="Arial" w:cs="Arial" w:eastAsia="Arial" w:hAnsi="Arial"/>
          <w:sz w:val="20"/>
          <w:szCs w:val="20"/>
          <w:color w:val="auto"/>
        </w:rPr>
      </w:pPr>
    </w:p>
    <w:p>
      <w:pPr>
        <w:ind w:left="1080" w:right="20" w:hanging="359"/>
        <w:spacing w:after="0" w:line="277" w:lineRule="auto"/>
        <w:tabs>
          <w:tab w:leader="none" w:pos="10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overseeing the development and implementation of succession plans for the Chief Executive Officer and other key executive officers and employees;</w:t>
      </w:r>
    </w:p>
    <w:p>
      <w:pPr>
        <w:spacing w:after="0" w:line="22" w:lineRule="exact"/>
        <w:rPr>
          <w:rFonts w:ascii="Arial" w:cs="Arial" w:eastAsia="Arial" w:hAnsi="Arial"/>
          <w:sz w:val="20"/>
          <w:szCs w:val="20"/>
          <w:color w:val="auto"/>
        </w:rPr>
      </w:pPr>
    </w:p>
    <w:p>
      <w:pPr>
        <w:ind w:left="1080" w:hanging="359"/>
        <w:spacing w:after="0"/>
        <w:tabs>
          <w:tab w:leader="none" w:pos="10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assessing, and approving overall compensation structure on an annual basis; and</w:t>
      </w:r>
    </w:p>
    <w:p>
      <w:pPr>
        <w:spacing w:after="0" w:line="94" w:lineRule="exact"/>
        <w:rPr>
          <w:rFonts w:ascii="Arial" w:cs="Arial" w:eastAsia="Arial" w:hAnsi="Arial"/>
          <w:sz w:val="20"/>
          <w:szCs w:val="20"/>
          <w:color w:val="auto"/>
        </w:rPr>
      </w:pPr>
    </w:p>
    <w:p>
      <w:pPr>
        <w:ind w:left="1080" w:hanging="359"/>
        <w:spacing w:after="0"/>
        <w:tabs>
          <w:tab w:leader="none" w:pos="10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recommending and leading a process for the determination of non-employee director compensation.</w:t>
      </w:r>
    </w:p>
    <w:p>
      <w:pPr>
        <w:spacing w:after="0" w:line="238"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20"/>
          <w:szCs w:val="20"/>
          <w:color w:val="auto"/>
        </w:rPr>
        <w:t>Although the Compensation Committee may delegate any or all of its responsibilities to a subcommittee of the Compensation Committee, it has not done so. Our Chief Executive Officer provides his recommendations to the</w:t>
      </w:r>
    </w:p>
    <w:p>
      <w:pPr>
        <w:sectPr>
          <w:pgSz w:w="12240" w:h="15840" w:orient="portrait"/>
          <w:cols w:equalWidth="0" w:num="1">
            <w:col w:w="9380"/>
          </w:cols>
          <w:pgMar w:left="1440" w:top="1420" w:right="1420" w:bottom="175"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80"/>
          </w:cols>
          <w:pgMar w:left="1440" w:top="1420" w:right="1420" w:bottom="175" w:gutter="0" w:footer="0" w:header="0"/>
          <w:type w:val="continuous"/>
        </w:sectPr>
      </w:pPr>
    </w:p>
    <w:bookmarkStart w:id="103" w:name="page104"/>
    <w:bookmarkEnd w:id="103"/>
    <w:p>
      <w:pPr>
        <w:jc w:val="both"/>
        <w:spacing w:after="0" w:line="247" w:lineRule="auto"/>
        <w:rPr>
          <w:sz w:val="20"/>
          <w:szCs w:val="20"/>
          <w:color w:val="auto"/>
        </w:rPr>
      </w:pPr>
      <w:r>
        <w:rPr>
          <w:rFonts w:ascii="Times New Roman" w:cs="Times New Roman" w:eastAsia="Times New Roman" w:hAnsi="Times New Roman"/>
          <w:sz w:val="20"/>
          <w:szCs w:val="20"/>
          <w:color w:val="auto"/>
        </w:rPr>
        <w:t>Compensation Committee regarding compensation to be paid to the executive officers and bonus plan performance objectives and goals. The Compensation Committee may engage and obtain advice and assistance from outside advisors as it deems necessary to carry out its duties. In August 2023, the Compensation Committee engaged Mercer (US) Inc. to serve as its independent compensation consultant and to assist with the assessment of our executive and non-employee director compensation programs. Mercer (US) Inc. did not provide any services to the Company unrelated to executive or director compensation.</w:t>
      </w:r>
    </w:p>
    <w:p>
      <w:pPr>
        <w:spacing w:after="0" w:line="200"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The Compensation Committee currently consists of Mr. Beeson (Chair), Mr. Jain, and Mr. Lipschultz. From January 1, 2025 until August 1, 2025, the Compensation Committee consisted of Mr. McNamara (Chair), a former director, Mr. Beeson and Ms. Mitchell-Keller, a former director. The Board has determined that each of Mr. Beeson, Mr. Jain and Mr. Lipschultz satisfies the heightened independence criteria for compensation committee members under the NYSE American listing standards and is a “non-employee director” within the meaning of Rule 16b-3 under the Securities Exchange Act of 1934, as amended. The Board also determined that each of the former Compensation Committee members, Mr. McNamara and Ms. Mitchell-Keller, satisfied the heightened independence criteria for compensation committee members under the NYSE American listing standards and was a “non-employee director” within the meaning of Rule 16b-3 under the Exchange Act prior to their resignation.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The organization and responsibilities of the Nominating and Corporate Governance Committee are set forth in its charter, which is posted on our website at </w:t>
      </w:r>
      <w:r>
        <w:rPr>
          <w:rFonts w:ascii="Times New Roman" w:cs="Times New Roman" w:eastAsia="Times New Roman" w:hAnsi="Times New Roman"/>
          <w:sz w:val="20"/>
          <w:szCs w:val="20"/>
          <w:i w:val="1"/>
          <w:iCs w:val="1"/>
          <w:color w:val="auto"/>
        </w:rPr>
        <w:t>www.xtantmedical.com</w:t>
      </w:r>
      <w:r>
        <w:rPr>
          <w:rFonts w:ascii="Times New Roman" w:cs="Times New Roman" w:eastAsia="Times New Roman" w:hAnsi="Times New Roman"/>
          <w:sz w:val="20"/>
          <w:szCs w:val="20"/>
          <w:color w:val="auto"/>
        </w:rPr>
        <w:t xml:space="preserve"> (click “Investors” and “Corporate Governance”). The primary purposes of the Nominating and Corporate Governance Committee include:</w:t>
      </w:r>
    </w:p>
    <w:p>
      <w:pPr>
        <w:spacing w:after="0" w:line="200" w:lineRule="exact"/>
        <w:rPr>
          <w:sz w:val="20"/>
          <w:szCs w:val="20"/>
          <w:color w:val="auto"/>
        </w:rPr>
      </w:pPr>
    </w:p>
    <w:p>
      <w:pPr>
        <w:jc w:val="both"/>
        <w:ind w:left="1080" w:hanging="360"/>
        <w:spacing w:after="0" w:line="259" w:lineRule="auto"/>
        <w:tabs>
          <w:tab w:leader="none" w:pos="108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individuals qualified to become Board members consistent with criteria approved by the Board and recommending to the Board director nominees for election at each annual meeting of stockholders and the persons to be elected by the Board to fill any vacancies on the Board;</w:t>
      </w:r>
    </w:p>
    <w:p>
      <w:pPr>
        <w:spacing w:after="0" w:line="78"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making recommendations to the Board regarding director retirement age, tenure and refreshment policies;</w:t>
      </w:r>
    </w:p>
    <w:p>
      <w:pPr>
        <w:spacing w:after="0" w:line="62"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and making recommendations to the Board regarding Board committee structure and composition;</w:t>
      </w:r>
    </w:p>
    <w:p>
      <w:pPr>
        <w:spacing w:after="0" w:line="62"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and recommending to the Board a set of corporate governance guidelines and overseeing corporate governance issues; and</w:t>
      </w:r>
    </w:p>
    <w:p>
      <w:pPr>
        <w:spacing w:after="0" w:line="63" w:lineRule="exact"/>
        <w:rPr>
          <w:rFonts w:ascii="Arial" w:cs="Arial" w:eastAsia="Arial" w:hAnsi="Arial"/>
          <w:sz w:val="20"/>
          <w:szCs w:val="20"/>
          <w:color w:val="auto"/>
        </w:rPr>
      </w:pPr>
    </w:p>
    <w:p>
      <w:pPr>
        <w:ind w:left="1080" w:hanging="361"/>
        <w:spacing w:after="0" w:line="277" w:lineRule="auto"/>
        <w:tabs>
          <w:tab w:leader="none" w:pos="108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and overseeing an orientation process for new directors and reviewing our policies and programs with respect to the continuing education of directors.</w:t>
      </w:r>
    </w:p>
    <w:p>
      <w:pPr>
        <w:spacing w:after="0" w:line="16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Nominating and Corporate Governance Committee consists of Mr. Vizirgianakis (Chair), Mr. Bakewell and Mr. Jain. From January 1, 2025 until August 1, 2025, the Nominating and Corporate Governance Committee consisted of Mr. Beeson (Chair), Mr. Bakewell and Mr. Vizirgianakis.</w:t>
      </w:r>
    </w:p>
    <w:p>
      <w:pPr>
        <w:spacing w:after="0" w:line="18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connection with its primary responsibilities set forth above, the Nominating and Corporate Governance Committee is responsible for developing and overseeing an orientation process for new directors and to review our policies and programs with respect to the continuing education of directors. Accordingly, the Nominating and Corporate Governance Committee has adopted a new director orientation process, pursuant to which new directors will be provided with access to information about the Company to assist the director in better understanding the business as well as the responsibilities and culture of the Board and its committees. New directors will be provided with suggested reading materials, an initial orientation session, follow-up one-on-one meetings, and sponsorship by an existing director. The Nominating and Corporate Governance Committee has additionally adopted a director education reimbursement policy to encourage existing directors to seek additional education opportunities regarding corporate governance and other subject matters relevant to their service.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20" w:right="1440" w:bottom="175"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Director Nomination Process</w:t>
      </w:r>
    </w:p>
    <w:p>
      <w:pPr>
        <w:spacing w:after="0" w:line="24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Pursuant to its charter, the Nominating and Corporate Governance Committee, in evaluating candidates for nomination to the Board, takes into account the independence and other requirements applicable pursuant to law, SEC rules, the requirements of any stock exchange on which securities of the Company are listed, or otherwise. At a minimum, the Nominating and Corporate Governance Committee considers (i) whether each such nominee has demonstrated, by significant accomplishment in such nominee’s field, an ability to make a meaningful contribution to the Board’s oversight of the business and affairs of the Company and (ii) the nominee’s reputation for honesty and ethical conduct in such nominee’s personal and professional activities. Additional factors which the Nominating and Corporate Governance Committee may consider include a candidate’s judgment, skill, objectivity, independence, leadership, integrity, diversity, business or other experience, financial or other expertise, time availability in light of other commitments and conflicts of interest. The Nominating and Corporate Governance Committee will consider candidates recommended by stockholders and others, as it deems appropriate. In considering candidates submitted by stockholders, the Nominating and Corporate Governance Committee will take into consideration the needs of the Board and the qualifications of the candidate. We do not have a formal diversity policy for directors.</w:t>
      </w:r>
    </w:p>
    <w:p>
      <w:pPr>
        <w:spacing w:after="0" w:line="19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Nominating and Corporate Governance Committee identifies director candidates based on input provided by a number of sources, including Board members, stockholders, management, and third parties. The Nominating and Corporate Governance Committee does not distinguish between nominees recommended by our stockholders and those recommended by other parties. Any stockholder recommendation must be sent to our Corporate Secretary at Xtant Medical Holdings, Inc., 664 Cruiser Lane, Belgrade, Montana 59714, and must include certain information concerning the nominee as specified in our Bylaws.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43"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We have adopted an insider trading policy governing the purchase, sale, and/or other dispositions of our securities by directors, officers and employees, among other insiders. We believe our insider trading policy is reasonably designed to promote compliance with insider trading laws, rules and regulations, and the NYSE American listing standards. Our insider trading policy is filed with the SEC as an exhibit to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 and Code of Conduct</w:t>
      </w:r>
    </w:p>
    <w:p>
      <w:pPr>
        <w:spacing w:after="0" w:line="24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 xml:space="preserve">We have adopted a Code of Ethics for the CEO and Senior Financial Officers as well as a Code of Conduct that applies to all directors, officers, and employees. Our corporate governance materials, including our Code of Ethics for the CEO and Senior Financial Officers and Code of Conduct, are available on our website at </w:t>
      </w:r>
      <w:r>
        <w:rPr>
          <w:rFonts w:ascii="Times New Roman" w:cs="Times New Roman" w:eastAsia="Times New Roman" w:hAnsi="Times New Roman"/>
          <w:sz w:val="20"/>
          <w:szCs w:val="20"/>
          <w:i w:val="1"/>
          <w:iCs w:val="1"/>
          <w:color w:val="auto"/>
        </w:rPr>
        <w:t xml:space="preserve">www.xtantmedical.com </w:t>
      </w:r>
      <w:r>
        <w:rPr>
          <w:rFonts w:ascii="Times New Roman" w:cs="Times New Roman" w:eastAsia="Times New Roman" w:hAnsi="Times New Roman"/>
          <w:sz w:val="20"/>
          <w:szCs w:val="20"/>
          <w:color w:val="auto"/>
        </w:rPr>
        <w:t>(click “Investors” and “Corporate Governance”) . We intend to disclose on our corporate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website any amendment to, or waiver from, a provision of our Code of Ethics for the CEO and Senior Financial Officers that applies to directors and executive officers and that is required to be disclosed pursuant to the rules of the SEC and the NYSE American.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16" w:right="1440" w:bottom="175"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4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This section describes the compensation of the executive officers named in the Summary Compensation Table below, which individuals consist of our President and Chief Executive Officer and the two most highly compensated executive officers (other than our President and Chief Executive Officer) serving as executive officers as of December 31, 2025:</w:t>
      </w:r>
    </w:p>
    <w:p>
      <w:pPr>
        <w:spacing w:after="0" w:line="208" w:lineRule="exact"/>
        <w:rPr>
          <w:sz w:val="20"/>
          <w:szCs w:val="20"/>
          <w:color w:val="auto"/>
        </w:rPr>
      </w:pPr>
    </w:p>
    <w:p>
      <w:pPr>
        <w:ind w:left="1080" w:hanging="360"/>
        <w:spacing w:after="0" w:line="258" w:lineRule="auto"/>
        <w:tabs>
          <w:tab w:leader="none" w:pos="10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Sean E. Browne, our President and Chief Executive Officer and principal executive officer (“CEO” or “PEO”);</w:t>
      </w:r>
    </w:p>
    <w:p>
      <w:pPr>
        <w:spacing w:after="0" w:line="1" w:lineRule="exact"/>
        <w:rPr>
          <w:rFonts w:ascii="Arial" w:cs="Arial" w:eastAsia="Arial" w:hAnsi="Arial"/>
          <w:sz w:val="20"/>
          <w:szCs w:val="20"/>
          <w:color w:val="auto"/>
        </w:rPr>
      </w:pPr>
    </w:p>
    <w:p>
      <w:pPr>
        <w:ind w:left="1080" w:hanging="360"/>
        <w:spacing w:after="0"/>
        <w:tabs>
          <w:tab w:leader="none" w:pos="10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Scott C. Neils, our Chief Financial Officer and Assistant Secretary (“CFO”); and</w:t>
      </w:r>
    </w:p>
    <w:p>
      <w:pPr>
        <w:spacing w:after="0" w:line="12" w:lineRule="exact"/>
        <w:rPr>
          <w:rFonts w:ascii="Arial" w:cs="Arial" w:eastAsia="Arial" w:hAnsi="Arial"/>
          <w:sz w:val="20"/>
          <w:szCs w:val="20"/>
          <w:color w:val="auto"/>
        </w:rPr>
      </w:pPr>
    </w:p>
    <w:p>
      <w:pPr>
        <w:ind w:left="1080" w:hanging="360"/>
        <w:spacing w:after="0"/>
        <w:tabs>
          <w:tab w:leader="none" w:pos="10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Mark A. Schallenberger, our Chief Operating Officer (“COO”).</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executive officers are collectively referred to as our named executive officers.</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When reading this Executive Compensation Overview, please note we are a small reporting company and are not required to provide a “Compensation Discussion and Analysis” of the type required by Item 402 of SEC Regulation S-K. This Overview is intended to supplement the SEC-required disclosure, which is included in this section, and it is not a Compensation Discussion and Analysis.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Elements of Our Executive Compensation Program</w:t>
      </w:r>
    </w:p>
    <w:p>
      <w:pPr>
        <w:spacing w:after="0" w:line="24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During 2025, our executive compensation program consisted of several key elements, which are described in the table below, along with the key characteristics of, and the purpose for, each element and key 2025 changes.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00" w:type="dxa"/>
            <w:vAlign w:val="bottom"/>
            <w:tcBorders>
              <w:bottom w:val="single" w:sz="8" w:color="D9D9D9"/>
            </w:tcBorders>
          </w:tcPr>
          <w:p>
            <w:pPr>
              <w:spacing w:after="0"/>
              <w:rPr>
                <w:sz w:val="21"/>
                <w:szCs w:val="21"/>
                <w:color w:val="auto"/>
              </w:rPr>
            </w:pPr>
          </w:p>
        </w:tc>
        <w:tc>
          <w:tcPr>
            <w:tcW w:w="2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180" w:type="dxa"/>
            <w:vAlign w:val="bottom"/>
            <w:tcBorders>
              <w:bottom w:val="single" w:sz="8" w:color="D9D9D9"/>
            </w:tcBorders>
          </w:tcPr>
          <w:p>
            <w:pPr>
              <w:spacing w:after="0"/>
              <w:rPr>
                <w:sz w:val="21"/>
                <w:szCs w:val="21"/>
                <w:color w:val="auto"/>
              </w:rPr>
            </w:pPr>
          </w:p>
        </w:tc>
        <w:tc>
          <w:tcPr>
            <w:tcW w:w="1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0" w:type="dxa"/>
            <w:vAlign w:val="bottom"/>
            <w:tcBorders>
              <w:bottom w:val="single" w:sz="8" w:color="D9D9D9"/>
            </w:tcBorders>
          </w:tcPr>
          <w:p>
            <w:pPr>
              <w:spacing w:after="0"/>
              <w:rPr>
                <w:sz w:val="21"/>
                <w:szCs w:val="21"/>
                <w:color w:val="auto"/>
              </w:rPr>
            </w:pPr>
          </w:p>
        </w:tc>
        <w:tc>
          <w:tcPr>
            <w:tcW w:w="2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Key 2025 Changes</w:t>
            </w:r>
          </w:p>
        </w:tc>
        <w:tc>
          <w:tcPr>
            <w:tcW w:w="0" w:type="dxa"/>
            <w:vAlign w:val="bottom"/>
          </w:tcPr>
          <w:p>
            <w:pPr>
              <w:spacing w:after="0"/>
              <w:rPr>
                <w:sz w:val="1"/>
                <w:szCs w:val="1"/>
                <w:color w:val="auto"/>
              </w:rPr>
            </w:pPr>
          </w:p>
        </w:tc>
      </w:tr>
      <w:tr>
        <w:trPr>
          <w:trHeight w:val="220"/>
        </w:trPr>
        <w:tc>
          <w:tcPr>
            <w:tcW w:w="168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i w:val="1"/>
                <w:iCs w:val="1"/>
                <w:color w:val="auto"/>
              </w:rPr>
              <w:t>Base Salary</w:t>
            </w: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color w:val="auto"/>
              </w:rPr>
              <w:t>A fixed amount, paid in cash</w:t>
            </w: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color w:val="auto"/>
              </w:rPr>
              <w:t>Provides a source of</w:t>
            </w: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color w:val="auto"/>
              </w:rPr>
              <w:t>No changes, other than our COO</w:t>
            </w:r>
          </w:p>
        </w:tc>
        <w:tc>
          <w:tcPr>
            <w:tcW w:w="0" w:type="dxa"/>
            <w:vAlign w:val="bottom"/>
          </w:tcPr>
          <w:p>
            <w:pPr>
              <w:spacing w:after="0"/>
              <w:rPr>
                <w:sz w:val="1"/>
                <w:szCs w:val="1"/>
                <w:color w:val="auto"/>
              </w:rPr>
            </w:pP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periodically throughout the</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fixed income that is</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received an 11% increase in</w:t>
            </w:r>
          </w:p>
        </w:tc>
        <w:tc>
          <w:tcPr>
            <w:tcW w:w="0" w:type="dxa"/>
            <w:vAlign w:val="bottom"/>
          </w:tcPr>
          <w:p>
            <w:pPr>
              <w:spacing w:after="0"/>
              <w:rPr>
                <w:sz w:val="1"/>
                <w:szCs w:val="1"/>
                <w:color w:val="auto"/>
              </w:rPr>
            </w:pPr>
          </w:p>
        </w:tc>
      </w:tr>
      <w:tr>
        <w:trPr>
          <w:trHeight w:val="230"/>
        </w:trPr>
        <w:tc>
          <w:tcPr>
            <w:tcW w:w="16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i w:val="1"/>
                <w:iCs w:val="1"/>
                <w:color w:val="auto"/>
              </w:rPr>
              <w:t>(Fixed, Cash)</w:t>
            </w: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year and reviewed at least</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market competitive and</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connection with his promotion to</w:t>
            </w:r>
          </w:p>
        </w:tc>
        <w:tc>
          <w:tcPr>
            <w:tcW w:w="0" w:type="dxa"/>
            <w:vAlign w:val="bottom"/>
          </w:tcPr>
          <w:p>
            <w:pPr>
              <w:spacing w:after="0"/>
              <w:rPr>
                <w:sz w:val="1"/>
                <w:szCs w:val="1"/>
                <w:color w:val="auto"/>
              </w:rPr>
            </w:pP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annually and, if appropriate,</w:t>
            </w: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reflects scope and</w:t>
            </w: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COO.</w:t>
            </w:r>
          </w:p>
        </w:tc>
        <w:tc>
          <w:tcPr>
            <w:tcW w:w="0" w:type="dxa"/>
            <w:vAlign w:val="bottom"/>
          </w:tcPr>
          <w:p>
            <w:pPr>
              <w:spacing w:after="0"/>
              <w:rPr>
                <w:sz w:val="1"/>
                <w:szCs w:val="1"/>
                <w:color w:val="auto"/>
              </w:rPr>
            </w:pP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adjusted.</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responsibility of the</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position held.</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line="209" w:lineRule="exact"/>
              <w:rPr>
                <w:sz w:val="20"/>
                <w:szCs w:val="20"/>
                <w:color w:val="auto"/>
              </w:rPr>
            </w:pPr>
            <w:r>
              <w:rPr>
                <w:rFonts w:ascii="Times New Roman" w:cs="Times New Roman" w:eastAsia="Times New Roman" w:hAnsi="Times New Roman"/>
                <w:sz w:val="20"/>
                <w:szCs w:val="20"/>
                <w:i w:val="1"/>
                <w:iCs w:val="1"/>
                <w:color w:val="auto"/>
              </w:rPr>
              <w:t>Short-Term</w:t>
            </w:r>
          </w:p>
        </w:tc>
        <w:tc>
          <w:tcPr>
            <w:tcW w:w="200" w:type="dxa"/>
            <w:vAlign w:val="bottom"/>
          </w:tcPr>
          <w:p>
            <w:pPr>
              <w:spacing w:after="0"/>
              <w:rPr>
                <w:sz w:val="18"/>
                <w:szCs w:val="18"/>
                <w:color w:val="auto"/>
              </w:rPr>
            </w:pPr>
          </w:p>
        </w:tc>
        <w:tc>
          <w:tcPr>
            <w:tcW w:w="2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A variable, short-term,</w:t>
            </w:r>
          </w:p>
        </w:tc>
        <w:tc>
          <w:tcPr>
            <w:tcW w:w="2140" w:type="dxa"/>
            <w:vAlign w:val="bottom"/>
            <w:gridSpan w:val="2"/>
          </w:tcPr>
          <w:p>
            <w:pPr>
              <w:ind w:left="180"/>
              <w:spacing w:after="0" w:line="209" w:lineRule="exact"/>
              <w:rPr>
                <w:sz w:val="20"/>
                <w:szCs w:val="20"/>
                <w:color w:val="auto"/>
              </w:rPr>
            </w:pPr>
            <w:r>
              <w:rPr>
                <w:rFonts w:ascii="Times New Roman" w:cs="Times New Roman" w:eastAsia="Times New Roman" w:hAnsi="Times New Roman"/>
                <w:sz w:val="20"/>
                <w:szCs w:val="20"/>
                <w:color w:val="auto"/>
              </w:rPr>
              <w:t>Motivates and rewards</w:t>
            </w:r>
          </w:p>
        </w:tc>
        <w:tc>
          <w:tcPr>
            <w:tcW w:w="3000" w:type="dxa"/>
            <w:vAlign w:val="bottom"/>
            <w:gridSpan w:val="2"/>
          </w:tcPr>
          <w:p>
            <w:pPr>
              <w:ind w:left="200"/>
              <w:spacing w:after="0" w:line="209" w:lineRule="exact"/>
              <w:rPr>
                <w:sz w:val="20"/>
                <w:szCs w:val="20"/>
                <w:color w:val="auto"/>
              </w:rPr>
            </w:pPr>
            <w:r>
              <w:rPr>
                <w:rFonts w:ascii="Times New Roman" w:cs="Times New Roman" w:eastAsia="Times New Roman" w:hAnsi="Times New Roman"/>
                <w:sz w:val="20"/>
                <w:szCs w:val="20"/>
                <w:color w:val="auto"/>
              </w:rPr>
              <w:t>No changes to target bonus</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Incentive (STI)</w:t>
            </w: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discretionary element of</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our executives for</w:t>
            </w: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percentages, other than our COO</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that is payable</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achievement of annual</w:t>
            </w: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received an increase from 50% to</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(Variable, Cash)</w:t>
            </w: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in cash based on</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corporate and, in some</w:t>
            </w: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75% of his base salary.</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achievement of key pre-</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cases, individual</w:t>
            </w:r>
          </w:p>
        </w:tc>
        <w:tc>
          <w:tcPr>
            <w:tcW w:w="3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The pre-established corporate</w:t>
            </w: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established annual corporate</w:t>
            </w:r>
          </w:p>
        </w:tc>
        <w:tc>
          <w:tcPr>
            <w:tcW w:w="2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objectives.</w:t>
            </w:r>
          </w:p>
        </w:tc>
        <w:tc>
          <w:tcPr>
            <w:tcW w:w="3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3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objectives for the 2025 STI plan</w:t>
            </w: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and, in some cases,</w:t>
            </w: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02"/>
        </w:trPr>
        <w:tc>
          <w:tcPr>
            <w:tcW w:w="3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individual objectives.</w:t>
            </w:r>
          </w:p>
        </w:tc>
        <w:tc>
          <w:tcPr>
            <w:tcW w:w="4180" w:type="dxa"/>
            <w:vAlign w:val="bottom"/>
          </w:tcPr>
          <w:p>
            <w:pPr>
              <w:ind w:left="1480"/>
              <w:spacing w:after="0" w:line="203" w:lineRule="exact"/>
              <w:rPr>
                <w:sz w:val="20"/>
                <w:szCs w:val="20"/>
                <w:color w:val="auto"/>
              </w:rPr>
            </w:pPr>
            <w:r>
              <w:rPr>
                <w:rFonts w:ascii="Times New Roman" w:cs="Times New Roman" w:eastAsia="Times New Roman" w:hAnsi="Times New Roman"/>
                <w:sz w:val="20"/>
                <w:szCs w:val="20"/>
                <w:color w:val="auto"/>
              </w:rPr>
              <w:t>were total revenue (55%</w:t>
            </w:r>
          </w:p>
        </w:tc>
        <w:tc>
          <w:tcPr>
            <w:tcW w:w="0" w:type="dxa"/>
            <w:vAlign w:val="bottom"/>
          </w:tcPr>
          <w:p>
            <w:pPr>
              <w:spacing w:after="0"/>
              <w:rPr>
                <w:sz w:val="1"/>
                <w:szCs w:val="1"/>
                <w:color w:val="auto"/>
              </w:rPr>
            </w:pPr>
          </w:p>
        </w:tc>
      </w:tr>
      <w:tr>
        <w:trPr>
          <w:trHeight w:val="147"/>
        </w:trPr>
        <w:tc>
          <w:tcPr>
            <w:tcW w:w="3200" w:type="dxa"/>
            <w:vAlign w:val="bottom"/>
            <w:vMerge w:val="continue"/>
          </w:tcPr>
          <w:p>
            <w:pPr>
              <w:spacing w:after="0"/>
              <w:rPr>
                <w:sz w:val="12"/>
                <w:szCs w:val="12"/>
                <w:color w:val="auto"/>
              </w:rPr>
            </w:pPr>
          </w:p>
        </w:tc>
        <w:tc>
          <w:tcPr>
            <w:tcW w:w="4180" w:type="dxa"/>
            <w:vAlign w:val="bottom"/>
            <w:vMerge w:val="restart"/>
          </w:tcPr>
          <w:p>
            <w:pPr>
              <w:ind w:left="1480"/>
              <w:spacing w:after="0"/>
              <w:rPr>
                <w:sz w:val="20"/>
                <w:szCs w:val="20"/>
                <w:color w:val="auto"/>
              </w:rPr>
            </w:pPr>
            <w:r>
              <w:rPr>
                <w:rFonts w:ascii="Times New Roman" w:cs="Times New Roman" w:eastAsia="Times New Roman" w:hAnsi="Times New Roman"/>
                <w:sz w:val="20"/>
                <w:szCs w:val="20"/>
                <w:color w:val="auto"/>
              </w:rPr>
              <w:t>weighting), adjusted EBITDA</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(40% weighting), and gross</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margin (5% weighting).</w:t>
            </w: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4"/>
                <w:szCs w:val="24"/>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8"/>
              </w:rPr>
              <w:t>Our CEO had two pre-established</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individual objective which, if not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achieved, could reduce his 2025</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STI payout by up to 30%. One-</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third of our COO’s 2025 STI</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payout was based on pre-</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established individual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16" w:right="1440" w:bottom="175"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47"/>
        </w:trPr>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00" w:type="dxa"/>
            <w:vAlign w:val="bottom"/>
            <w:tcBorders>
              <w:bottom w:val="single" w:sz="8" w:color="D9D9D9"/>
            </w:tcBorders>
          </w:tcPr>
          <w:p>
            <w:pPr>
              <w:spacing w:after="0"/>
              <w:rPr>
                <w:sz w:val="21"/>
                <w:szCs w:val="21"/>
                <w:color w:val="auto"/>
              </w:rPr>
            </w:pPr>
          </w:p>
        </w:tc>
        <w:tc>
          <w:tcPr>
            <w:tcW w:w="2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180" w:type="dxa"/>
            <w:vAlign w:val="bottom"/>
            <w:tcBorders>
              <w:bottom w:val="single" w:sz="8" w:color="D9D9D9"/>
            </w:tcBorders>
          </w:tcPr>
          <w:p>
            <w:pPr>
              <w:spacing w:after="0"/>
              <w:rPr>
                <w:sz w:val="21"/>
                <w:szCs w:val="21"/>
                <w:color w:val="auto"/>
              </w:rPr>
            </w:pPr>
          </w:p>
        </w:tc>
        <w:tc>
          <w:tcPr>
            <w:tcW w:w="1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0" w:type="dxa"/>
            <w:vAlign w:val="bottom"/>
            <w:tcBorders>
              <w:bottom w:val="single" w:sz="8" w:color="D9D9D9"/>
            </w:tcBorders>
          </w:tcPr>
          <w:p>
            <w:pPr>
              <w:spacing w:after="0"/>
              <w:rPr>
                <w:sz w:val="21"/>
                <w:szCs w:val="21"/>
                <w:color w:val="auto"/>
              </w:rPr>
            </w:pPr>
          </w:p>
        </w:tc>
        <w:tc>
          <w:tcPr>
            <w:tcW w:w="2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Key 2025 Changes</w:t>
            </w:r>
          </w:p>
        </w:tc>
      </w:tr>
      <w:tr>
        <w:trPr>
          <w:trHeight w:val="220"/>
        </w:trPr>
        <w:tc>
          <w:tcPr>
            <w:tcW w:w="168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i w:val="1"/>
                <w:iCs w:val="1"/>
                <w:color w:val="auto"/>
              </w:rPr>
              <w:t>Long-Term</w:t>
            </w: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color w:val="auto"/>
              </w:rPr>
              <w:t>A variable, long-term</w:t>
            </w: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color w:val="auto"/>
              </w:rPr>
              <w:t>Aligns the interests of</w:t>
            </w: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line="221" w:lineRule="exact"/>
              <w:rPr>
                <w:sz w:val="20"/>
                <w:szCs w:val="20"/>
                <w:color w:val="auto"/>
              </w:rPr>
            </w:pPr>
            <w:r>
              <w:rPr>
                <w:rFonts w:ascii="Times New Roman" w:cs="Times New Roman" w:eastAsia="Times New Roman" w:hAnsi="Times New Roman"/>
                <w:sz w:val="20"/>
                <w:szCs w:val="20"/>
                <w:color w:val="auto"/>
              </w:rPr>
              <w:t>The number of DSUs and PSUs</w:t>
            </w:r>
          </w:p>
        </w:tc>
      </w:tr>
      <w:tr>
        <w:trPr>
          <w:trHeight w:val="230"/>
        </w:trPr>
        <w:tc>
          <w:tcPr>
            <w:tcW w:w="16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i w:val="1"/>
                <w:iCs w:val="1"/>
                <w:color w:val="auto"/>
              </w:rPr>
              <w:t>Incentives (LTI)</w:t>
            </w: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element of compensation</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our executives with our</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granted to each NEO was</w:t>
            </w:r>
          </w:p>
        </w:tc>
      </w:tr>
      <w:tr>
        <w:trPr>
          <w:trHeight w:val="210"/>
        </w:trPr>
        <w:tc>
          <w:tcPr>
            <w:tcW w:w="168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34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rPr>
              <w:t>that is provided in the form</w:t>
            </w:r>
          </w:p>
        </w:tc>
        <w:tc>
          <w:tcPr>
            <w:tcW w:w="18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rPr>
              <w:t>stockholders;</w:t>
            </w:r>
          </w:p>
        </w:tc>
        <w:tc>
          <w:tcPr>
            <w:tcW w:w="200" w:type="dxa"/>
            <w:vAlign w:val="bottom"/>
            <w:shd w:val="clear" w:color="auto" w:fill="D9D9D9"/>
          </w:tcPr>
          <w:p>
            <w:pPr>
              <w:spacing w:after="0"/>
              <w:rPr>
                <w:sz w:val="18"/>
                <w:szCs w:val="18"/>
                <w:color w:val="auto"/>
              </w:rPr>
            </w:pPr>
          </w:p>
        </w:tc>
        <w:tc>
          <w:tcPr>
            <w:tcW w:w="280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rPr>
              <w:t>determined based on a certain</w:t>
            </w:r>
          </w:p>
        </w:tc>
      </w:tr>
      <w:tr>
        <w:trPr>
          <w:trHeight w:val="250"/>
        </w:trPr>
        <w:tc>
          <w:tcPr>
            <w:tcW w:w="16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i w:val="1"/>
                <w:iCs w:val="1"/>
                <w:color w:val="auto"/>
              </w:rPr>
              <w:t>(Variable, Equity-</w:t>
            </w:r>
          </w:p>
        </w:tc>
        <w:tc>
          <w:tcPr>
            <w:tcW w:w="200" w:type="dxa"/>
            <w:vAlign w:val="bottom"/>
            <w:shd w:val="clear" w:color="auto" w:fill="D9D9D9"/>
          </w:tcPr>
          <w:p>
            <w:pPr>
              <w:spacing w:after="0"/>
              <w:rPr>
                <w:sz w:val="21"/>
                <w:szCs w:val="21"/>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of deferred stock units</w:t>
            </w:r>
          </w:p>
        </w:tc>
        <w:tc>
          <w:tcPr>
            <w:tcW w:w="180" w:type="dxa"/>
            <w:vAlign w:val="bottom"/>
            <w:shd w:val="clear" w:color="auto" w:fill="D9D9D9"/>
          </w:tcPr>
          <w:p>
            <w:pPr>
              <w:spacing w:after="0"/>
              <w:rPr>
                <w:sz w:val="21"/>
                <w:szCs w:val="21"/>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encourages our</w:t>
            </w:r>
          </w:p>
        </w:tc>
        <w:tc>
          <w:tcPr>
            <w:tcW w:w="200" w:type="dxa"/>
            <w:vAlign w:val="bottom"/>
            <w:shd w:val="clear" w:color="auto" w:fill="D9D9D9"/>
          </w:tcPr>
          <w:p>
            <w:pPr>
              <w:spacing w:after="0"/>
              <w:rPr>
                <w:sz w:val="21"/>
                <w:szCs w:val="21"/>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percentage of their annual base</w:t>
            </w:r>
          </w:p>
        </w:tc>
      </w:tr>
      <w:tr>
        <w:trPr>
          <w:trHeight w:val="230"/>
        </w:trPr>
        <w:tc>
          <w:tcPr>
            <w:tcW w:w="16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i w:val="1"/>
                <w:iCs w:val="1"/>
                <w:color w:val="auto"/>
              </w:rPr>
              <w:t>Based Awards)</w:t>
            </w: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(DSUs) and performance</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executives to focus on</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salary, consisting of 100% for our</w:t>
            </w: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units (PSUs).</w:t>
            </w: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our long-term</w:t>
            </w: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CEO and 50% for our other two</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performance; promotes</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NEOs.</w:t>
            </w:r>
          </w:p>
        </w:tc>
      </w:tr>
      <w:tr>
        <w:trPr>
          <w:trHeight w:val="210"/>
        </w:trPr>
        <w:tc>
          <w:tcPr>
            <w:tcW w:w="168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340" w:type="dxa"/>
            <w:vAlign w:val="bottom"/>
            <w:shd w:val="clear" w:color="auto" w:fill="D9D9D9"/>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retention; and</w:t>
            </w:r>
          </w:p>
        </w:tc>
        <w:tc>
          <w:tcPr>
            <w:tcW w:w="200" w:type="dxa"/>
            <w:vAlign w:val="bottom"/>
            <w:shd w:val="clear" w:color="auto" w:fill="D9D9D9"/>
          </w:tcPr>
          <w:p>
            <w:pPr>
              <w:spacing w:after="0"/>
              <w:rPr>
                <w:sz w:val="18"/>
                <w:szCs w:val="18"/>
                <w:color w:val="auto"/>
              </w:rPr>
            </w:pPr>
          </w:p>
        </w:tc>
        <w:tc>
          <w:tcPr>
            <w:tcW w:w="2800" w:type="dxa"/>
            <w:vAlign w:val="bottom"/>
            <w:shd w:val="clear" w:color="auto" w:fill="D9D9D9"/>
          </w:tcPr>
          <w:p>
            <w:pPr>
              <w:spacing w:after="0"/>
              <w:rPr>
                <w:sz w:val="18"/>
                <w:szCs w:val="18"/>
                <w:color w:val="auto"/>
              </w:rPr>
            </w:pP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encourages significant</w:t>
            </w: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While the mix of our LTI program</w:t>
            </w:r>
          </w:p>
        </w:tc>
      </w:tr>
      <w:tr>
        <w:trPr>
          <w:trHeight w:val="250"/>
        </w:trPr>
        <w:tc>
          <w:tcPr>
            <w:tcW w:w="168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340" w:type="dxa"/>
            <w:vAlign w:val="bottom"/>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19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ownership.</w:t>
            </w:r>
          </w:p>
        </w:tc>
        <w:tc>
          <w:tcPr>
            <w:tcW w:w="200" w:type="dxa"/>
            <w:vAlign w:val="bottom"/>
            <w:shd w:val="clear" w:color="auto" w:fill="D9D9D9"/>
          </w:tcPr>
          <w:p>
            <w:pPr>
              <w:spacing w:after="0"/>
              <w:rPr>
                <w:sz w:val="21"/>
                <w:szCs w:val="21"/>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consisted of 50% DSUs and 50%</w:t>
            </w:r>
          </w:p>
        </w:tc>
      </w:tr>
      <w:tr>
        <w:trPr>
          <w:trHeight w:val="210"/>
        </w:trPr>
        <w:tc>
          <w:tcPr>
            <w:tcW w:w="168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340" w:type="dxa"/>
            <w:vAlign w:val="bottom"/>
            <w:shd w:val="clear" w:color="auto" w:fill="D9D9D9"/>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80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w w:val="99"/>
              </w:rPr>
              <w:t>PSUs, the vesting of the PSUs was</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revised from achievement of</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relative total stockholder return</w:t>
            </w:r>
          </w:p>
        </w:tc>
      </w:tr>
      <w:tr>
        <w:trPr>
          <w:trHeight w:val="250"/>
        </w:trPr>
        <w:tc>
          <w:tcPr>
            <w:tcW w:w="168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340" w:type="dxa"/>
            <w:vAlign w:val="bottom"/>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196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performance goals to Xtant stock</w:t>
            </w: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price goals over a three-year</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performance period.</w:t>
            </w:r>
          </w:p>
        </w:tc>
      </w:tr>
      <w:tr>
        <w:trPr>
          <w:trHeight w:val="440"/>
        </w:trPr>
        <w:tc>
          <w:tcPr>
            <w:tcW w:w="16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234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96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We used a 30-day volume</w:t>
            </w: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weighted average price of our</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 to determine the</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number of DSUs and PSUs to</w:t>
            </w: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grant. Accordingly, the grant date</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fair value of these awards may be</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different than the value we used in</w:t>
            </w: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determining the number of RSUs</w:t>
            </w:r>
          </w:p>
        </w:tc>
      </w:tr>
      <w:tr>
        <w:trPr>
          <w:trHeight w:val="267"/>
        </w:trPr>
        <w:tc>
          <w:tcPr>
            <w:tcW w:w="168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2340" w:type="dxa"/>
            <w:vAlign w:val="bottom"/>
            <w:shd w:val="clear" w:color="auto" w:fill="D9D9D9"/>
          </w:tcPr>
          <w:p>
            <w:pPr>
              <w:spacing w:after="0"/>
              <w:rPr>
                <w:sz w:val="23"/>
                <w:szCs w:val="23"/>
                <w:color w:val="auto"/>
              </w:rPr>
            </w:pPr>
          </w:p>
        </w:tc>
        <w:tc>
          <w:tcPr>
            <w:tcW w:w="180" w:type="dxa"/>
            <w:vAlign w:val="bottom"/>
            <w:shd w:val="clear" w:color="auto" w:fill="D9D9D9"/>
          </w:tcPr>
          <w:p>
            <w:pPr>
              <w:spacing w:after="0"/>
              <w:rPr>
                <w:sz w:val="23"/>
                <w:szCs w:val="23"/>
                <w:color w:val="auto"/>
              </w:rPr>
            </w:pPr>
          </w:p>
        </w:tc>
        <w:tc>
          <w:tcPr>
            <w:tcW w:w="196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or DSUs.</w:t>
            </w:r>
          </w:p>
        </w:tc>
      </w:tr>
      <w:tr>
        <w:trPr>
          <w:trHeight w:val="423"/>
        </w:trPr>
        <w:tc>
          <w:tcPr>
            <w:tcW w:w="16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234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96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The grant timing changed to</w:t>
            </w:r>
          </w:p>
        </w:tc>
      </w:tr>
      <w:tr>
        <w:trPr>
          <w:trHeight w:val="250"/>
        </w:trPr>
        <w:tc>
          <w:tcPr>
            <w:tcW w:w="168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340" w:type="dxa"/>
            <w:vAlign w:val="bottom"/>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196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November 2025 after stockholder</w:t>
            </w:r>
          </w:p>
        </w:tc>
      </w:tr>
      <w:tr>
        <w:trPr>
          <w:trHeight w:val="211"/>
        </w:trPr>
        <w:tc>
          <w:tcPr>
            <w:tcW w:w="168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340" w:type="dxa"/>
            <w:vAlign w:val="bottom"/>
            <w:shd w:val="clear" w:color="auto" w:fill="D9D9D9"/>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800" w:type="dxa"/>
            <w:vAlign w:val="bottom"/>
            <w:shd w:val="clear" w:color="auto" w:fill="D9D9D9"/>
          </w:tcPr>
          <w:p>
            <w:pPr>
              <w:spacing w:after="0" w:line="211" w:lineRule="exact"/>
              <w:rPr>
                <w:sz w:val="20"/>
                <w:szCs w:val="20"/>
                <w:color w:val="auto"/>
              </w:rPr>
            </w:pPr>
            <w:r>
              <w:rPr>
                <w:rFonts w:ascii="Times New Roman" w:cs="Times New Roman" w:eastAsia="Times New Roman" w:hAnsi="Times New Roman"/>
                <w:sz w:val="20"/>
                <w:szCs w:val="20"/>
                <w:color w:val="auto"/>
              </w:rPr>
              <w:t>approval of an increase in the</w:t>
            </w:r>
          </w:p>
        </w:tc>
      </w:tr>
      <w:tr>
        <w:trPr>
          <w:trHeight w:val="229"/>
        </w:trPr>
        <w:tc>
          <w:tcPr>
            <w:tcW w:w="168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number of shares reserved under</w:t>
            </w:r>
          </w:p>
        </w:tc>
      </w:tr>
      <w:tr>
        <w:trPr>
          <w:trHeight w:val="230"/>
        </w:trPr>
        <w:tc>
          <w:tcPr>
            <w:tcW w:w="168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340" w:type="dxa"/>
            <w:vAlign w:val="bottom"/>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our stockholder-approved equity</w:t>
            </w:r>
          </w:p>
        </w:tc>
      </w:tr>
      <w:tr>
        <w:trPr>
          <w:trHeight w:val="250"/>
        </w:trPr>
        <w:tc>
          <w:tcPr>
            <w:tcW w:w="168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340" w:type="dxa"/>
            <w:vAlign w:val="bottom"/>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196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28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incentive plan.</w:t>
            </w:r>
          </w:p>
        </w:tc>
      </w:tr>
      <w:tr>
        <w:trPr>
          <w:trHeight w:val="440"/>
        </w:trPr>
        <w:tc>
          <w:tcPr>
            <w:tcW w:w="16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Retirement Benefits</w:t>
            </w:r>
          </w:p>
        </w:tc>
        <w:tc>
          <w:tcPr>
            <w:tcW w:w="2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A defined contribution</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Provides an opportunity</w:t>
            </w: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 changes.</w:t>
            </w:r>
          </w:p>
        </w:tc>
      </w:tr>
      <w:tr>
        <w:trPr>
          <w:trHeight w:val="230"/>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retirement plan with a</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 employees to save</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29"/>
        </w:trPr>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discretionary company</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 prepare financially</w:t>
            </w:r>
          </w:p>
        </w:tc>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67"/>
        </w:trPr>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match.</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 retirement.</w:t>
            </w:r>
          </w:p>
        </w:tc>
        <w:tc>
          <w:tcPr>
            <w:tcW w:w="20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1419" w:right="1440" w:bottom="175" w:gutter="0" w:footer="0" w:header="0"/>
        </w:sectPr>
      </w:pPr>
    </w:p>
    <w:bookmarkStart w:id="107" w:name="page108"/>
    <w:bookmarkEnd w:id="107"/>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Summary Compensation Table</w:t>
      </w:r>
    </w:p>
    <w:p>
      <w:pPr>
        <w:spacing w:after="0" w:line="239" w:lineRule="exact"/>
        <w:rPr>
          <w:sz w:val="20"/>
          <w:szCs w:val="20"/>
          <w:color w:val="auto"/>
        </w:rPr>
      </w:pPr>
    </w:p>
    <w:p>
      <w:pPr>
        <w:ind w:left="420" w:right="420" w:firstLine="720"/>
        <w:spacing w:after="0" w:line="278" w:lineRule="auto"/>
        <w:rPr>
          <w:sz w:val="20"/>
          <w:szCs w:val="20"/>
          <w:color w:val="auto"/>
        </w:rPr>
      </w:pPr>
      <w:r>
        <w:rPr>
          <w:rFonts w:ascii="Times New Roman" w:cs="Times New Roman" w:eastAsia="Times New Roman" w:hAnsi="Times New Roman"/>
          <w:sz w:val="20"/>
          <w:szCs w:val="20"/>
          <w:color w:val="auto"/>
        </w:rPr>
        <w:t>The table below provides summary information concerning all compensation awarded to, earned by, or paid to our named executive officers for the years ended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center"/>
              <w:ind w:right="20"/>
              <w:spacing w:after="0" w:line="247"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4"/>
                <w:szCs w:val="24"/>
                <w:b w:val="1"/>
                <w:bCs w:val="1"/>
                <w:color w:val="auto"/>
                <w:w w:val="94"/>
                <w:vertAlign w:val="superscript"/>
              </w:rPr>
              <w:t>(2)</w:t>
            </w:r>
          </w:p>
        </w:tc>
        <w:tc>
          <w:tcPr>
            <w:tcW w:w="1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center"/>
              <w:ind w:right="40"/>
              <w:spacing w:after="0" w:line="247"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4"/>
                <w:szCs w:val="24"/>
                <w:b w:val="1"/>
                <w:bCs w:val="1"/>
                <w:color w:val="auto"/>
                <w:w w:val="97"/>
                <w:vertAlign w:val="superscript"/>
              </w:rPr>
              <w:t>(3)</w:t>
            </w:r>
          </w:p>
        </w:tc>
        <w:tc>
          <w:tcPr>
            <w:tcW w:w="1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ind w:right="100"/>
              <w:spacing w:after="0" w:line="247"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4"/>
                <w:szCs w:val="24"/>
                <w:b w:val="1"/>
                <w:bCs w:val="1"/>
                <w:color w:val="auto"/>
                <w:vertAlign w:val="superscript"/>
              </w:rPr>
              <w:t>(4)</w:t>
            </w:r>
          </w:p>
        </w:tc>
        <w:tc>
          <w:tcPr>
            <w:tcW w:w="1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80" w:type="dxa"/>
            <w:vAlign w:val="bottom"/>
            <w:tcBorders>
              <w:top w:val="single" w:sz="8" w:color="D9D9D9"/>
            </w:tcBorders>
            <w:shd w:val="clear" w:color="auto" w:fill="D9D9D9"/>
          </w:tcPr>
          <w:p>
            <w:pPr>
              <w:spacing w:after="0"/>
              <w:rPr>
                <w:sz w:val="16"/>
                <w:szCs w:val="16"/>
                <w:color w:val="auto"/>
              </w:rPr>
            </w:pPr>
          </w:p>
        </w:tc>
        <w:tc>
          <w:tcPr>
            <w:tcW w:w="1160" w:type="dxa"/>
            <w:vAlign w:val="bottom"/>
            <w:tcBorders>
              <w:top w:val="single" w:sz="8" w:color="D9D9D9"/>
            </w:tcBorders>
            <w:shd w:val="clear" w:color="auto" w:fill="D9D9D9"/>
          </w:tcPr>
          <w:p>
            <w:pPr>
              <w:ind w:left="20"/>
              <w:spacing w:after="0" w:line="194" w:lineRule="exact"/>
              <w:rPr>
                <w:sz w:val="20"/>
                <w:szCs w:val="20"/>
                <w:color w:val="auto"/>
              </w:rPr>
            </w:pPr>
            <w:r>
              <w:rPr>
                <w:rFonts w:ascii="Times New Roman" w:cs="Times New Roman" w:eastAsia="Times New Roman" w:hAnsi="Times New Roman"/>
                <w:sz w:val="19"/>
                <w:szCs w:val="19"/>
                <w:color w:val="auto"/>
              </w:rPr>
              <w:t>Sean E.</w:t>
            </w:r>
          </w:p>
        </w:tc>
        <w:tc>
          <w:tcPr>
            <w:tcW w:w="4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20" w:type="dxa"/>
            <w:vAlign w:val="bottom"/>
            <w:tcBorders>
              <w:top w:val="single" w:sz="8" w:color="D9D9D9"/>
            </w:tcBorders>
            <w:shd w:val="clear" w:color="auto" w:fill="D9D9D9"/>
          </w:tcPr>
          <w:p>
            <w:pPr>
              <w:spacing w:after="0"/>
              <w:rPr>
                <w:sz w:val="16"/>
                <w:szCs w:val="16"/>
                <w:color w:val="auto"/>
              </w:rPr>
            </w:pPr>
          </w:p>
        </w:tc>
        <w:tc>
          <w:tcPr>
            <w:tcW w:w="420" w:type="dxa"/>
            <w:vAlign w:val="bottom"/>
            <w:tcBorders>
              <w:top w:val="single" w:sz="8" w:color="D9D9D9"/>
            </w:tcBorders>
            <w:shd w:val="clear" w:color="auto" w:fill="D9D9D9"/>
          </w:tcPr>
          <w:p>
            <w:pPr>
              <w:ind w:left="40"/>
              <w:spacing w:after="0" w:line="194" w:lineRule="exact"/>
              <w:rPr>
                <w:sz w:val="20"/>
                <w:szCs w:val="20"/>
                <w:color w:val="auto"/>
              </w:rPr>
            </w:pPr>
            <w:r>
              <w:rPr>
                <w:rFonts w:ascii="Times New Roman" w:cs="Times New Roman" w:eastAsia="Times New Roman" w:hAnsi="Times New Roman"/>
                <w:sz w:val="19"/>
                <w:szCs w:val="19"/>
                <w:color w:val="auto"/>
                <w:highlight w:val="lightGray"/>
                <w:w w:val="94"/>
              </w:rPr>
              <w:t>2025</w:t>
            </w: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72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highlight w:val="lightGray"/>
                <w:w w:val="95"/>
              </w:rPr>
              <w:t>$624,000</w:t>
            </w:r>
          </w:p>
        </w:tc>
        <w:tc>
          <w:tcPr>
            <w:tcW w:w="20" w:type="dxa"/>
            <w:vAlign w:val="bottom"/>
            <w:tcBorders>
              <w:top w:val="single" w:sz="8" w:color="D9D9D9"/>
            </w:tcBorders>
            <w:shd w:val="clear" w:color="auto" w:fill="D9D9D9"/>
          </w:tcPr>
          <w:p>
            <w:pPr>
              <w:spacing w:after="0"/>
              <w:rPr>
                <w:sz w:val="16"/>
                <w:szCs w:val="16"/>
                <w:color w:val="auto"/>
              </w:rPr>
            </w:pPr>
          </w:p>
        </w:tc>
        <w:tc>
          <w:tcPr>
            <w:tcW w:w="160" w:type="dxa"/>
            <w:vAlign w:val="bottom"/>
            <w:tcBorders>
              <w:top w:val="single" w:sz="8" w:color="D9D9D9"/>
            </w:tcBorders>
            <w:shd w:val="clear" w:color="auto" w:fill="D9D9D9"/>
          </w:tcPr>
          <w:p>
            <w:pPr>
              <w:spacing w:after="0"/>
              <w:rPr>
                <w:sz w:val="16"/>
                <w:szCs w:val="16"/>
                <w:color w:val="auto"/>
              </w:rPr>
            </w:pPr>
          </w:p>
        </w:tc>
        <w:tc>
          <w:tcPr>
            <w:tcW w:w="20" w:type="dxa"/>
            <w:vAlign w:val="bottom"/>
            <w:tcBorders>
              <w:top w:val="single" w:sz="8" w:color="D9D9D9"/>
            </w:tcBorders>
            <w:shd w:val="clear" w:color="auto" w:fill="D9D9D9"/>
          </w:tcPr>
          <w:p>
            <w:pPr>
              <w:spacing w:after="0"/>
              <w:rPr>
                <w:sz w:val="16"/>
                <w:szCs w:val="16"/>
                <w:color w:val="auto"/>
              </w:rPr>
            </w:pPr>
          </w:p>
        </w:tc>
        <w:tc>
          <w:tcPr>
            <w:tcW w:w="82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rPr>
              <w:t>$100,000</w:t>
            </w:r>
          </w:p>
        </w:tc>
        <w:tc>
          <w:tcPr>
            <w:tcW w:w="40" w:type="dxa"/>
            <w:vAlign w:val="bottom"/>
            <w:tcBorders>
              <w:top w:val="single" w:sz="8" w:color="D9D9D9"/>
            </w:tcBorders>
            <w:shd w:val="clear" w:color="auto" w:fill="D9D9D9"/>
          </w:tcPr>
          <w:p>
            <w:pPr>
              <w:spacing w:after="0"/>
              <w:rPr>
                <w:sz w:val="16"/>
                <w:szCs w:val="16"/>
                <w:color w:val="auto"/>
              </w:rPr>
            </w:pPr>
          </w:p>
        </w:tc>
        <w:tc>
          <w:tcPr>
            <w:tcW w:w="160" w:type="dxa"/>
            <w:vAlign w:val="bottom"/>
            <w:tcBorders>
              <w:top w:val="single" w:sz="8" w:color="D9D9D9"/>
            </w:tcBorders>
            <w:shd w:val="clear" w:color="auto" w:fill="D9D9D9"/>
          </w:tcPr>
          <w:p>
            <w:pPr>
              <w:spacing w:after="0"/>
              <w:rPr>
                <w:sz w:val="16"/>
                <w:szCs w:val="16"/>
                <w:color w:val="auto"/>
              </w:rPr>
            </w:pPr>
          </w:p>
        </w:tc>
        <w:tc>
          <w:tcPr>
            <w:tcW w:w="20" w:type="dxa"/>
            <w:vAlign w:val="bottom"/>
            <w:tcBorders>
              <w:top w:val="single" w:sz="8" w:color="D9D9D9"/>
            </w:tcBorders>
            <w:shd w:val="clear" w:color="auto" w:fill="D9D9D9"/>
          </w:tcPr>
          <w:p>
            <w:pPr>
              <w:spacing w:after="0"/>
              <w:rPr>
                <w:sz w:val="16"/>
                <w:szCs w:val="16"/>
                <w:color w:val="auto"/>
              </w:rPr>
            </w:pPr>
          </w:p>
        </w:tc>
        <w:tc>
          <w:tcPr>
            <w:tcW w:w="78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highlight w:val="lightGray"/>
              </w:rPr>
              <w:t>$588,812</w:t>
            </w:r>
          </w:p>
        </w:tc>
        <w:tc>
          <w:tcPr>
            <w:tcW w:w="20" w:type="dxa"/>
            <w:vAlign w:val="bottom"/>
            <w:tcBorders>
              <w:top w:val="single" w:sz="8" w:color="D9D9D9"/>
            </w:tcBorders>
            <w:shd w:val="clear" w:color="auto" w:fill="D9D9D9"/>
          </w:tcPr>
          <w:p>
            <w:pPr>
              <w:spacing w:after="0"/>
              <w:rPr>
                <w:sz w:val="16"/>
                <w:szCs w:val="16"/>
                <w:color w:val="auto"/>
              </w:rPr>
            </w:pPr>
          </w:p>
        </w:tc>
        <w:tc>
          <w:tcPr>
            <w:tcW w:w="16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400" w:type="dxa"/>
            <w:vAlign w:val="bottom"/>
            <w:tcBorders>
              <w:top w:val="single" w:sz="8" w:color="D9D9D9"/>
            </w:tcBorders>
            <w:shd w:val="clear" w:color="auto" w:fill="D9D9D9"/>
          </w:tcPr>
          <w:p>
            <w:pPr>
              <w:ind w:left="120"/>
              <w:spacing w:after="0" w:line="194" w:lineRule="exact"/>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top w:val="single" w:sz="8" w:color="D9D9D9"/>
            </w:tcBorders>
            <w:shd w:val="clear" w:color="auto" w:fill="D9D9D9"/>
          </w:tcPr>
          <w:p>
            <w:pPr>
              <w:ind w:left="180"/>
              <w:spacing w:after="0" w:line="194" w:lineRule="exact"/>
              <w:rPr>
                <w:sz w:val="20"/>
                <w:szCs w:val="20"/>
                <w:color w:val="auto"/>
              </w:rPr>
            </w:pPr>
            <w:r>
              <w:rPr>
                <w:rFonts w:ascii="Times New Roman" w:cs="Times New Roman" w:eastAsia="Times New Roman" w:hAnsi="Times New Roman"/>
                <w:sz w:val="19"/>
                <w:szCs w:val="19"/>
                <w:color w:val="auto"/>
                <w:w w:val="83"/>
              </w:rPr>
              <w:t>—</w:t>
            </w: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200" w:type="dxa"/>
            <w:vAlign w:val="bottom"/>
            <w:tcBorders>
              <w:top w:val="single" w:sz="8" w:color="D9D9D9"/>
            </w:tcBorders>
            <w:shd w:val="clear" w:color="auto" w:fill="D9D9D9"/>
          </w:tcPr>
          <w:p>
            <w:pPr>
              <w:jc w:val="right"/>
              <w:ind w:right="8"/>
              <w:spacing w:after="0" w:line="194"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rPr>
              <w:t>38,864</w:t>
            </w: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860" w:type="dxa"/>
            <w:vAlign w:val="bottom"/>
            <w:tcBorders>
              <w:top w:val="single" w:sz="8" w:color="D9D9D9"/>
            </w:tcBorders>
            <w:shd w:val="clear" w:color="auto" w:fill="D9D9D9"/>
          </w:tcPr>
          <w:p>
            <w:pPr>
              <w:jc w:val="right"/>
              <w:spacing w:after="0" w:line="194" w:lineRule="exact"/>
              <w:rPr>
                <w:sz w:val="20"/>
                <w:szCs w:val="20"/>
                <w:color w:val="auto"/>
              </w:rPr>
            </w:pPr>
            <w:r>
              <w:rPr>
                <w:rFonts w:ascii="Times New Roman" w:cs="Times New Roman" w:eastAsia="Times New Roman" w:hAnsi="Times New Roman"/>
                <w:sz w:val="19"/>
                <w:szCs w:val="19"/>
                <w:color w:val="auto"/>
                <w:highlight w:val="lightGray"/>
                <w:w w:val="98"/>
              </w:rPr>
              <w:t>$1,351,676</w:t>
            </w:r>
          </w:p>
        </w:tc>
        <w:tc>
          <w:tcPr>
            <w:tcW w:w="2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D9D9D9"/>
          </w:tcPr>
          <w:p>
            <w:pPr>
              <w:spacing w:after="0" w:line="20" w:lineRule="exact"/>
              <w:rPr>
                <w:sz w:val="1"/>
                <w:szCs w:val="1"/>
                <w:color w:val="auto"/>
              </w:rPr>
            </w:pPr>
          </w:p>
        </w:tc>
        <w:tc>
          <w:tcPr>
            <w:tcW w:w="1160" w:type="dxa"/>
            <w:vAlign w:val="bottom"/>
            <w:vMerge w:val="restart"/>
            <w:shd w:val="clear" w:color="auto" w:fill="D9D9D9"/>
          </w:tcPr>
          <w:p>
            <w:pPr>
              <w:ind w:left="20"/>
              <w:spacing w:after="0"/>
              <w:rPr>
                <w:sz w:val="20"/>
                <w:szCs w:val="20"/>
                <w:color w:val="auto"/>
              </w:rPr>
            </w:pPr>
            <w:r>
              <w:rPr>
                <w:rFonts w:ascii="Times New Roman" w:cs="Times New Roman" w:eastAsia="Times New Roman" w:hAnsi="Times New Roman"/>
                <w:sz w:val="19"/>
                <w:szCs w:val="19"/>
                <w:color w:val="auto"/>
              </w:rPr>
              <w:t>Browne</w:t>
            </w:r>
          </w:p>
        </w:tc>
        <w:tc>
          <w:tcPr>
            <w:tcW w:w="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420" w:type="dxa"/>
            <w:vAlign w:val="bottom"/>
            <w:vMerge w:val="restart"/>
            <w:shd w:val="clear" w:color="auto" w:fill="D9D9D9"/>
          </w:tcPr>
          <w:p>
            <w:pPr>
              <w:ind w:left="40"/>
              <w:spacing w:after="0"/>
              <w:rPr>
                <w:sz w:val="20"/>
                <w:szCs w:val="20"/>
                <w:color w:val="auto"/>
              </w:rPr>
            </w:pPr>
            <w:r>
              <w:rPr>
                <w:rFonts w:ascii="Times New Roman" w:cs="Times New Roman" w:eastAsia="Times New Roman" w:hAnsi="Times New Roman"/>
                <w:sz w:val="19"/>
                <w:szCs w:val="19"/>
                <w:color w:val="auto"/>
                <w:highlight w:val="lightGray"/>
                <w:w w:val="94"/>
              </w:rPr>
              <w:t>2024</w:t>
            </w:r>
          </w:p>
        </w:tc>
        <w:tc>
          <w:tcPr>
            <w:tcW w:w="4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720" w:type="dxa"/>
            <w:vAlign w:val="bottom"/>
            <w:vMerge w:val="restart"/>
            <w:shd w:val="clear" w:color="auto" w:fill="D9D9D9"/>
          </w:tcPr>
          <w:p>
            <w:pPr>
              <w:jc w:val="right"/>
              <w:spacing w:after="0"/>
              <w:rPr>
                <w:sz w:val="20"/>
                <w:szCs w:val="20"/>
                <w:color w:val="auto"/>
              </w:rPr>
            </w:pPr>
            <w:r>
              <w:rPr>
                <w:rFonts w:ascii="Times New Roman" w:cs="Times New Roman" w:eastAsia="Times New Roman" w:hAnsi="Times New Roman"/>
                <w:sz w:val="19"/>
                <w:szCs w:val="19"/>
                <w:color w:val="auto"/>
              </w:rPr>
              <w:t>617,539</w:t>
            </w:r>
          </w:p>
        </w:tc>
        <w:tc>
          <w:tcPr>
            <w:tcW w:w="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820" w:type="dxa"/>
            <w:vAlign w:val="bottom"/>
            <w:vMerge w:val="restart"/>
            <w:shd w:val="clear" w:color="auto" w:fill="D9D9D9"/>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780" w:type="dxa"/>
            <w:vAlign w:val="bottom"/>
            <w:vMerge w:val="restart"/>
            <w:shd w:val="clear" w:color="auto" w:fill="D9D9D9"/>
          </w:tcPr>
          <w:p>
            <w:pPr>
              <w:jc w:val="right"/>
              <w:spacing w:after="0"/>
              <w:rPr>
                <w:sz w:val="20"/>
                <w:szCs w:val="20"/>
                <w:color w:val="auto"/>
              </w:rPr>
            </w:pPr>
            <w:r>
              <w:rPr>
                <w:rFonts w:ascii="Times New Roman" w:cs="Times New Roman" w:eastAsia="Times New Roman" w:hAnsi="Times New Roman"/>
                <w:sz w:val="19"/>
                <w:szCs w:val="19"/>
                <w:color w:val="auto"/>
                <w:highlight w:val="lightGray"/>
                <w:w w:val="99"/>
              </w:rPr>
              <w:t>1,807,132</w:t>
            </w:r>
          </w:p>
        </w:tc>
        <w:tc>
          <w:tcPr>
            <w:tcW w:w="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360" w:type="dxa"/>
            <w:vAlign w:val="bottom"/>
            <w:vMerge w:val="restart"/>
            <w:shd w:val="clear" w:color="auto" w:fill="D9D9D9"/>
          </w:tcPr>
          <w:p>
            <w:pPr>
              <w:ind w:left="180"/>
              <w:spacing w:after="0"/>
              <w:rPr>
                <w:sz w:val="20"/>
                <w:szCs w:val="20"/>
                <w:color w:val="auto"/>
              </w:rPr>
            </w:pPr>
            <w:r>
              <w:rPr>
                <w:rFonts w:ascii="Times New Roman" w:cs="Times New Roman" w:eastAsia="Times New Roman" w:hAnsi="Times New Roman"/>
                <w:sz w:val="19"/>
                <w:szCs w:val="19"/>
                <w:color w:val="auto"/>
                <w:w w:val="83"/>
              </w:rPr>
              <w:t>—</w:t>
            </w:r>
          </w:p>
        </w:tc>
        <w:tc>
          <w:tcPr>
            <w:tcW w:w="4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260" w:type="dxa"/>
            <w:vAlign w:val="bottom"/>
            <w:vMerge w:val="restart"/>
            <w:shd w:val="clear" w:color="auto" w:fill="D9D9D9"/>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1180" w:type="dxa"/>
            <w:vAlign w:val="bottom"/>
            <w:vMerge w:val="restart"/>
            <w:shd w:val="clear" w:color="auto" w:fill="D9D9D9"/>
          </w:tcPr>
          <w:p>
            <w:pPr>
              <w:jc w:val="right"/>
              <w:spacing w:after="0"/>
              <w:rPr>
                <w:sz w:val="20"/>
                <w:szCs w:val="20"/>
                <w:color w:val="auto"/>
              </w:rPr>
            </w:pPr>
            <w:r>
              <w:rPr>
                <w:rFonts w:ascii="Times New Roman" w:cs="Times New Roman" w:eastAsia="Times New Roman" w:hAnsi="Times New Roman"/>
                <w:sz w:val="19"/>
                <w:szCs w:val="19"/>
                <w:color w:val="auto"/>
              </w:rPr>
              <w:t>37,065</w:t>
            </w:r>
          </w:p>
        </w:tc>
        <w:tc>
          <w:tcPr>
            <w:tcW w:w="4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860" w:type="dxa"/>
            <w:vAlign w:val="bottom"/>
            <w:vMerge w:val="restart"/>
            <w:shd w:val="clear" w:color="auto" w:fill="D9D9D9"/>
          </w:tcPr>
          <w:p>
            <w:pPr>
              <w:jc w:val="right"/>
              <w:spacing w:after="0"/>
              <w:rPr>
                <w:sz w:val="20"/>
                <w:szCs w:val="20"/>
                <w:color w:val="auto"/>
              </w:rPr>
            </w:pPr>
            <w:r>
              <w:rPr>
                <w:rFonts w:ascii="Times New Roman" w:cs="Times New Roman" w:eastAsia="Times New Roman" w:hAnsi="Times New Roman"/>
                <w:sz w:val="19"/>
                <w:szCs w:val="19"/>
                <w:color w:val="auto"/>
                <w:highlight w:val="lightGray"/>
              </w:rPr>
              <w:t>2,461,736</w:t>
            </w:r>
          </w:p>
        </w:tc>
        <w:tc>
          <w:tcPr>
            <w:tcW w:w="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 w:type="dxa"/>
            <w:vAlign w:val="bottom"/>
            <w:shd w:val="clear" w:color="auto" w:fill="D9D9D9"/>
          </w:tcPr>
          <w:p>
            <w:pPr>
              <w:spacing w:after="0"/>
              <w:rPr>
                <w:sz w:val="17"/>
                <w:szCs w:val="17"/>
                <w:color w:val="auto"/>
              </w:rPr>
            </w:pPr>
          </w:p>
        </w:tc>
        <w:tc>
          <w:tcPr>
            <w:tcW w:w="1160" w:type="dxa"/>
            <w:vAlign w:val="bottom"/>
            <w:vMerge w:val="continue"/>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420" w:type="dxa"/>
            <w:vAlign w:val="bottom"/>
            <w:vMerge w:val="continue"/>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720" w:type="dxa"/>
            <w:vAlign w:val="bottom"/>
            <w:vMerge w:val="continue"/>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820" w:type="dxa"/>
            <w:vAlign w:val="bottom"/>
            <w:vMerge w:val="continue"/>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780" w:type="dxa"/>
            <w:vAlign w:val="bottom"/>
            <w:vMerge w:val="continue"/>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360" w:type="dxa"/>
            <w:vAlign w:val="bottom"/>
            <w:vMerge w:val="continue"/>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260" w:type="dxa"/>
            <w:vAlign w:val="bottom"/>
            <w:vMerge w:val="continue"/>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vMerge w:val="continue"/>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860" w:type="dxa"/>
            <w:vAlign w:val="bottom"/>
            <w:vMerge w:val="continue"/>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D9D9D9"/>
          </w:tcPr>
          <w:p>
            <w:pPr>
              <w:spacing w:after="0"/>
              <w:rPr>
                <w:sz w:val="17"/>
                <w:szCs w:val="17"/>
                <w:color w:val="auto"/>
              </w:rPr>
            </w:pPr>
          </w:p>
        </w:tc>
        <w:tc>
          <w:tcPr>
            <w:tcW w:w="1160" w:type="dxa"/>
            <w:vAlign w:val="bottom"/>
            <w:shd w:val="clear" w:color="auto" w:fill="D9D9D9"/>
          </w:tcPr>
          <w:p>
            <w:pPr>
              <w:ind w:left="20"/>
              <w:spacing w:after="0" w:line="204" w:lineRule="exact"/>
              <w:rPr>
                <w:sz w:val="20"/>
                <w:szCs w:val="20"/>
                <w:color w:val="auto"/>
              </w:rPr>
            </w:pPr>
            <w:r>
              <w:rPr>
                <w:rFonts w:ascii="Times New Roman" w:cs="Times New Roman" w:eastAsia="Times New Roman" w:hAnsi="Times New Roman"/>
                <w:sz w:val="19"/>
                <w:szCs w:val="19"/>
                <w:i w:val="1"/>
                <w:iCs w:val="1"/>
                <w:color w:val="auto"/>
              </w:rPr>
              <w:t>President and</w:t>
            </w:r>
          </w:p>
        </w:tc>
        <w:tc>
          <w:tcPr>
            <w:tcW w:w="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72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2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 w:type="dxa"/>
            <w:vAlign w:val="bottom"/>
            <w:shd w:val="clear" w:color="auto" w:fill="D9D9D9"/>
          </w:tcPr>
          <w:p>
            <w:pPr>
              <w:spacing w:after="0"/>
              <w:rPr>
                <w:sz w:val="18"/>
                <w:szCs w:val="18"/>
                <w:color w:val="auto"/>
              </w:rPr>
            </w:pPr>
          </w:p>
        </w:tc>
        <w:tc>
          <w:tcPr>
            <w:tcW w:w="1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9"/>
                <w:szCs w:val="19"/>
                <w:i w:val="1"/>
                <w:iCs w:val="1"/>
                <w:color w:val="auto"/>
              </w:rPr>
              <w:t>Chief</w:t>
            </w:r>
          </w:p>
        </w:tc>
        <w:tc>
          <w:tcPr>
            <w:tcW w:w="4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72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4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12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shd w:val="clear" w:color="auto" w:fill="D9D9D9"/>
          </w:tcPr>
          <w:p>
            <w:pPr>
              <w:spacing w:after="0"/>
              <w:rPr>
                <w:sz w:val="18"/>
                <w:szCs w:val="18"/>
                <w:color w:val="auto"/>
              </w:rPr>
            </w:pPr>
          </w:p>
        </w:tc>
        <w:tc>
          <w:tcPr>
            <w:tcW w:w="1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9"/>
                <w:szCs w:val="19"/>
                <w:i w:val="1"/>
                <w:iCs w:val="1"/>
                <w:color w:val="auto"/>
              </w:rPr>
              <w:t>Executive</w:t>
            </w:r>
          </w:p>
        </w:tc>
        <w:tc>
          <w:tcPr>
            <w:tcW w:w="4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72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4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12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D9D9D9"/>
            </w:tcBorders>
            <w:shd w:val="clear" w:color="auto" w:fill="D9D9D9"/>
          </w:tcPr>
          <w:p>
            <w:pPr>
              <w:spacing w:after="0"/>
              <w:rPr>
                <w:sz w:val="20"/>
                <w:szCs w:val="20"/>
                <w:color w:val="auto"/>
              </w:rPr>
            </w:pPr>
          </w:p>
        </w:tc>
        <w:tc>
          <w:tcPr>
            <w:tcW w:w="116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9"/>
                <w:szCs w:val="19"/>
                <w:i w:val="1"/>
                <w:iCs w:val="1"/>
                <w:color w:val="auto"/>
              </w:rPr>
              <w:t>Officer</w:t>
            </w:r>
          </w:p>
        </w:tc>
        <w:tc>
          <w:tcPr>
            <w:tcW w:w="4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42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72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82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7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400" w:type="dxa"/>
            <w:vAlign w:val="bottom"/>
            <w:tcBorders>
              <w:bottom w:val="single" w:sz="8" w:color="D9D9D9"/>
            </w:tcBorders>
            <w:shd w:val="clear" w:color="auto" w:fill="D9D9D9"/>
          </w:tcPr>
          <w:p>
            <w:pPr>
              <w:spacing w:after="0"/>
              <w:rPr>
                <w:sz w:val="20"/>
                <w:szCs w:val="20"/>
                <w:color w:val="auto"/>
              </w:rPr>
            </w:pPr>
          </w:p>
        </w:tc>
        <w:tc>
          <w:tcPr>
            <w:tcW w:w="36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26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118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86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9"/>
                <w:szCs w:val="19"/>
                <w:color w:val="auto"/>
              </w:rPr>
              <w:t>Mark A.</w:t>
            </w:r>
          </w:p>
        </w:tc>
        <w:tc>
          <w:tcPr>
            <w:tcW w:w="600" w:type="dxa"/>
            <w:vAlign w:val="bottom"/>
            <w:gridSpan w:val="4"/>
          </w:tcPr>
          <w:p>
            <w:pPr>
              <w:ind w:left="180"/>
              <w:spacing w:after="0" w:line="185" w:lineRule="exact"/>
              <w:rPr>
                <w:sz w:val="20"/>
                <w:szCs w:val="20"/>
                <w:color w:val="auto"/>
              </w:rPr>
            </w:pPr>
            <w:r>
              <w:rPr>
                <w:rFonts w:ascii="Times New Roman" w:cs="Times New Roman" w:eastAsia="Times New Roman" w:hAnsi="Times New Roman"/>
                <w:sz w:val="19"/>
                <w:szCs w:val="19"/>
                <w:color w:val="auto"/>
              </w:rPr>
              <w:t>2025</w:t>
            </w:r>
          </w:p>
        </w:tc>
        <w:tc>
          <w:tcPr>
            <w:tcW w:w="40" w:type="dxa"/>
            <w:vAlign w:val="bottom"/>
          </w:tcPr>
          <w:p>
            <w:pPr>
              <w:spacing w:after="0"/>
              <w:rPr>
                <w:sz w:val="16"/>
                <w:szCs w:val="16"/>
                <w:color w:val="auto"/>
              </w:rPr>
            </w:pPr>
          </w:p>
        </w:tc>
        <w:tc>
          <w:tcPr>
            <w:tcW w:w="90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9"/>
                <w:szCs w:val="19"/>
                <w:color w:val="auto"/>
              </w:rPr>
              <w:t>447,680</w:t>
            </w:r>
          </w:p>
        </w:tc>
        <w:tc>
          <w:tcPr>
            <w:tcW w:w="20" w:type="dxa"/>
            <w:vAlign w:val="bottom"/>
          </w:tcPr>
          <w:p>
            <w:pPr>
              <w:spacing w:after="0"/>
              <w:rPr>
                <w:sz w:val="16"/>
                <w:szCs w:val="16"/>
                <w:color w:val="auto"/>
              </w:rPr>
            </w:pPr>
          </w:p>
        </w:tc>
        <w:tc>
          <w:tcPr>
            <w:tcW w:w="100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9"/>
                <w:szCs w:val="19"/>
                <w:color w:val="auto"/>
              </w:rPr>
              <w:t>$100,000</w:t>
            </w:r>
          </w:p>
        </w:tc>
        <w:tc>
          <w:tcPr>
            <w:tcW w:w="40" w:type="dxa"/>
            <w:vAlign w:val="bottom"/>
          </w:tcPr>
          <w:p>
            <w:pPr>
              <w:spacing w:after="0"/>
              <w:rPr>
                <w:sz w:val="16"/>
                <w:szCs w:val="16"/>
                <w:color w:val="auto"/>
              </w:rPr>
            </w:pPr>
          </w:p>
        </w:tc>
        <w:tc>
          <w:tcPr>
            <w:tcW w:w="96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9"/>
                <w:szCs w:val="19"/>
                <w:color w:val="auto"/>
              </w:rPr>
              <w:t>435,720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gridSpan w:val="2"/>
          </w:tcPr>
          <w:p>
            <w:pPr>
              <w:ind w:left="180"/>
              <w:spacing w:after="0" w:line="185"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Times New Roman" w:cs="Times New Roman" w:eastAsia="Times New Roman" w:hAnsi="Times New Roman"/>
                <w:sz w:val="19"/>
                <w:szCs w:val="19"/>
                <w:color w:val="auto"/>
              </w:rPr>
              <w:t>113,131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Times New Roman" w:cs="Times New Roman" w:eastAsia="Times New Roman" w:hAnsi="Times New Roman"/>
                <w:sz w:val="19"/>
                <w:szCs w:val="19"/>
                <w:color w:val="auto"/>
              </w:rPr>
              <w:t>14,000</w:t>
            </w:r>
          </w:p>
        </w:tc>
        <w:tc>
          <w:tcPr>
            <w:tcW w:w="40" w:type="dxa"/>
            <w:vAlign w:val="bottom"/>
          </w:tcPr>
          <w:p>
            <w:pPr>
              <w:spacing w:after="0"/>
              <w:rPr>
                <w:sz w:val="16"/>
                <w:szCs w:val="16"/>
                <w:color w:val="auto"/>
              </w:rPr>
            </w:pPr>
          </w:p>
        </w:tc>
        <w:tc>
          <w:tcPr>
            <w:tcW w:w="104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9"/>
                <w:szCs w:val="19"/>
                <w:color w:val="auto"/>
              </w:rPr>
              <w:t>1,110,531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Schallenberger</w:t>
            </w:r>
          </w:p>
        </w:tc>
        <w:tc>
          <w:tcPr>
            <w:tcW w:w="60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2024</w:t>
            </w:r>
          </w:p>
        </w:tc>
        <w:tc>
          <w:tcPr>
            <w:tcW w:w="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411,692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428,469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38,800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878,961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9"/>
                <w:szCs w:val="19"/>
                <w:i w:val="1"/>
                <w:iCs w:val="1"/>
                <w:color w:val="auto"/>
              </w:rPr>
              <w:t>Chief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9"/>
                <w:szCs w:val="19"/>
                <w:i w:val="1"/>
                <w:iCs w:val="1"/>
                <w:color w:val="auto"/>
              </w:rPr>
              <w:t>Operating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 w:type="dxa"/>
            <w:vAlign w:val="bottom"/>
            <w:tcBorders>
              <w:bottom w:val="single" w:sz="8" w:color="D9D9D9"/>
            </w:tcBorders>
          </w:tcPr>
          <w:p>
            <w:pPr>
              <w:spacing w:after="0"/>
              <w:rPr>
                <w:sz w:val="20"/>
                <w:szCs w:val="20"/>
                <w:color w:val="auto"/>
              </w:rPr>
            </w:pPr>
          </w:p>
        </w:tc>
        <w:tc>
          <w:tcPr>
            <w:tcW w:w="1200" w:type="dxa"/>
            <w:vAlign w:val="bottom"/>
            <w:tcBorders>
              <w:bottom w:val="single" w:sz="8" w:color="D9D9D9"/>
            </w:tcBorders>
            <w:gridSpan w:val="2"/>
          </w:tcPr>
          <w:p>
            <w:pPr>
              <w:ind w:left="20"/>
              <w:spacing w:after="0"/>
              <w:rPr>
                <w:sz w:val="20"/>
                <w:szCs w:val="20"/>
                <w:color w:val="auto"/>
              </w:rPr>
            </w:pPr>
            <w:r>
              <w:rPr>
                <w:rFonts w:ascii="Times New Roman" w:cs="Times New Roman" w:eastAsia="Times New Roman" w:hAnsi="Times New Roman"/>
                <w:sz w:val="19"/>
                <w:szCs w:val="19"/>
                <w:i w:val="1"/>
                <w:iCs w:val="1"/>
                <w:color w:val="auto"/>
              </w:rPr>
              <w:t>Officer</w:t>
            </w:r>
          </w:p>
        </w:tc>
        <w:tc>
          <w:tcPr>
            <w:tcW w:w="8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42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72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82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78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400" w:type="dxa"/>
            <w:vAlign w:val="bottom"/>
            <w:tcBorders>
              <w:bottom w:val="single" w:sz="8" w:color="D9D9D9"/>
            </w:tcBorders>
          </w:tcPr>
          <w:p>
            <w:pPr>
              <w:spacing w:after="0"/>
              <w:rPr>
                <w:sz w:val="20"/>
                <w:szCs w:val="20"/>
                <w:color w:val="auto"/>
              </w:rPr>
            </w:pPr>
          </w:p>
        </w:tc>
        <w:tc>
          <w:tcPr>
            <w:tcW w:w="36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120" w:type="dxa"/>
            <w:vAlign w:val="bottom"/>
            <w:tcBorders>
              <w:bottom w:val="single" w:sz="8" w:color="D9D9D9"/>
            </w:tcBorders>
          </w:tcPr>
          <w:p>
            <w:pPr>
              <w:spacing w:after="0"/>
              <w:rPr>
                <w:sz w:val="20"/>
                <w:szCs w:val="20"/>
                <w:color w:val="auto"/>
              </w:rPr>
            </w:pPr>
          </w:p>
        </w:tc>
        <w:tc>
          <w:tcPr>
            <w:tcW w:w="126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118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140" w:type="dxa"/>
            <w:vAlign w:val="bottom"/>
            <w:tcBorders>
              <w:bottom w:val="single" w:sz="8" w:color="D9D9D9"/>
            </w:tcBorders>
          </w:tcPr>
          <w:p>
            <w:pPr>
              <w:spacing w:after="0"/>
              <w:rPr>
                <w:sz w:val="20"/>
                <w:szCs w:val="20"/>
                <w:color w:val="auto"/>
              </w:rPr>
            </w:pPr>
          </w:p>
        </w:tc>
        <w:tc>
          <w:tcPr>
            <w:tcW w:w="40" w:type="dxa"/>
            <w:vAlign w:val="bottom"/>
            <w:tcBorders>
              <w:bottom w:val="single" w:sz="8" w:color="D9D9D9"/>
            </w:tcBorders>
          </w:tcPr>
          <w:p>
            <w:pPr>
              <w:spacing w:after="0"/>
              <w:rPr>
                <w:sz w:val="20"/>
                <w:szCs w:val="20"/>
                <w:color w:val="auto"/>
              </w:rPr>
            </w:pPr>
          </w:p>
        </w:tc>
        <w:tc>
          <w:tcPr>
            <w:tcW w:w="8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9"/>
                <w:szCs w:val="19"/>
                <w:color w:val="auto"/>
              </w:rPr>
              <w:t>Scott C. Neils</w:t>
            </w:r>
          </w:p>
        </w:tc>
        <w:tc>
          <w:tcPr>
            <w:tcW w:w="80" w:type="dxa"/>
            <w:vAlign w:val="bottom"/>
          </w:tcPr>
          <w:p>
            <w:pPr>
              <w:spacing w:after="0"/>
              <w:rPr>
                <w:sz w:val="17"/>
                <w:szCs w:val="17"/>
                <w:color w:val="auto"/>
              </w:rPr>
            </w:pPr>
          </w:p>
        </w:tc>
        <w:tc>
          <w:tcPr>
            <w:tcW w:w="100" w:type="dxa"/>
            <w:vAlign w:val="bottom"/>
            <w:tcBorders>
              <w:bottom w:val="single" w:sz="8" w:color="D9D9D9"/>
            </w:tcBorders>
            <w:gridSpan w:val="2"/>
          </w:tcPr>
          <w:p>
            <w:pPr>
              <w:spacing w:after="0"/>
              <w:rPr>
                <w:sz w:val="17"/>
                <w:szCs w:val="17"/>
                <w:color w:val="auto"/>
              </w:rPr>
            </w:pPr>
          </w:p>
        </w:tc>
        <w:tc>
          <w:tcPr>
            <w:tcW w:w="420" w:type="dxa"/>
            <w:vAlign w:val="bottom"/>
            <w:tcBorders>
              <w:bottom w:val="single" w:sz="8" w:color="D9D9D9"/>
            </w:tcBorders>
            <w:shd w:val="clear" w:color="auto" w:fill="D9D9D9"/>
          </w:tcPr>
          <w:p>
            <w:pPr>
              <w:spacing w:after="0" w:line="201" w:lineRule="exact"/>
              <w:rPr>
                <w:sz w:val="20"/>
                <w:szCs w:val="20"/>
                <w:color w:val="auto"/>
              </w:rPr>
            </w:pPr>
            <w:r>
              <w:rPr>
                <w:rFonts w:ascii="Times New Roman" w:cs="Times New Roman" w:eastAsia="Times New Roman" w:hAnsi="Times New Roman"/>
                <w:sz w:val="19"/>
                <w:szCs w:val="19"/>
                <w:color w:val="auto"/>
                <w:highlight w:val="lightGray"/>
              </w:rPr>
              <w:t>2025</w:t>
            </w:r>
          </w:p>
        </w:tc>
        <w:tc>
          <w:tcPr>
            <w:tcW w:w="40" w:type="dxa"/>
            <w:vAlign w:val="bottom"/>
            <w:tcBorders>
              <w:bottom w:val="single" w:sz="8" w:color="D9D9D9"/>
            </w:tcBorders>
          </w:tcPr>
          <w:p>
            <w:pPr>
              <w:spacing w:after="0"/>
              <w:rPr>
                <w:sz w:val="17"/>
                <w:szCs w:val="17"/>
                <w:color w:val="auto"/>
              </w:rPr>
            </w:pPr>
          </w:p>
        </w:tc>
        <w:tc>
          <w:tcPr>
            <w:tcW w:w="180" w:type="dxa"/>
            <w:vAlign w:val="bottom"/>
            <w:tcBorders>
              <w:bottom w:val="single" w:sz="8" w:color="D9D9D9"/>
            </w:tcBorders>
            <w:gridSpan w:val="2"/>
          </w:tcPr>
          <w:p>
            <w:pPr>
              <w:spacing w:after="0"/>
              <w:rPr>
                <w:sz w:val="17"/>
                <w:szCs w:val="17"/>
                <w:color w:val="auto"/>
              </w:rPr>
            </w:pPr>
          </w:p>
        </w:tc>
        <w:tc>
          <w:tcPr>
            <w:tcW w:w="720" w:type="dxa"/>
            <w:vAlign w:val="bottom"/>
            <w:tcBorders>
              <w:bottom w:val="single" w:sz="8" w:color="D9D9D9"/>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19"/>
                <w:szCs w:val="19"/>
                <w:color w:val="auto"/>
              </w:rPr>
              <w:t>416,000</w:t>
            </w:r>
          </w:p>
        </w:tc>
        <w:tc>
          <w:tcPr>
            <w:tcW w:w="20" w:type="dxa"/>
            <w:vAlign w:val="bottom"/>
            <w:tcBorders>
              <w:bottom w:val="single" w:sz="8" w:color="D9D9D9"/>
            </w:tcBorders>
          </w:tcPr>
          <w:p>
            <w:pPr>
              <w:spacing w:after="0"/>
              <w:rPr>
                <w:sz w:val="17"/>
                <w:szCs w:val="17"/>
                <w:color w:val="auto"/>
              </w:rPr>
            </w:pPr>
          </w:p>
        </w:tc>
        <w:tc>
          <w:tcPr>
            <w:tcW w:w="180" w:type="dxa"/>
            <w:vAlign w:val="bottom"/>
            <w:tcBorders>
              <w:bottom w:val="single" w:sz="8" w:color="D9D9D9"/>
            </w:tcBorders>
            <w:gridSpan w:val="2"/>
          </w:tcPr>
          <w:p>
            <w:pPr>
              <w:spacing w:after="0"/>
              <w:rPr>
                <w:sz w:val="17"/>
                <w:szCs w:val="17"/>
                <w:color w:val="auto"/>
              </w:rPr>
            </w:pPr>
          </w:p>
        </w:tc>
        <w:tc>
          <w:tcPr>
            <w:tcW w:w="820" w:type="dxa"/>
            <w:vAlign w:val="bottom"/>
            <w:tcBorders>
              <w:bottom w:val="single" w:sz="8" w:color="D9D9D9"/>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19"/>
                <w:szCs w:val="19"/>
                <w:color w:val="auto"/>
              </w:rPr>
              <w:t>100,000</w:t>
            </w:r>
          </w:p>
        </w:tc>
        <w:tc>
          <w:tcPr>
            <w:tcW w:w="40" w:type="dxa"/>
            <w:vAlign w:val="bottom"/>
            <w:tcBorders>
              <w:bottom w:val="single" w:sz="8" w:color="D9D9D9"/>
            </w:tcBorders>
          </w:tcPr>
          <w:p>
            <w:pPr>
              <w:spacing w:after="0"/>
              <w:rPr>
                <w:sz w:val="17"/>
                <w:szCs w:val="17"/>
                <w:color w:val="auto"/>
              </w:rPr>
            </w:pPr>
          </w:p>
        </w:tc>
        <w:tc>
          <w:tcPr>
            <w:tcW w:w="180" w:type="dxa"/>
            <w:vAlign w:val="bottom"/>
            <w:tcBorders>
              <w:bottom w:val="single" w:sz="8" w:color="D9D9D9"/>
            </w:tcBorders>
            <w:gridSpan w:val="2"/>
          </w:tcPr>
          <w:p>
            <w:pPr>
              <w:spacing w:after="0"/>
              <w:rPr>
                <w:sz w:val="17"/>
                <w:szCs w:val="17"/>
                <w:color w:val="auto"/>
              </w:rPr>
            </w:pPr>
          </w:p>
        </w:tc>
        <w:tc>
          <w:tcPr>
            <w:tcW w:w="780" w:type="dxa"/>
            <w:vAlign w:val="bottom"/>
            <w:tcBorders>
              <w:bottom w:val="single" w:sz="8" w:color="D9D9D9"/>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19"/>
                <w:szCs w:val="19"/>
                <w:color w:val="auto"/>
              </w:rPr>
              <w:t>392,541</w:t>
            </w:r>
          </w:p>
        </w:tc>
        <w:tc>
          <w:tcPr>
            <w:tcW w:w="20" w:type="dxa"/>
            <w:vAlign w:val="bottom"/>
            <w:tcBorders>
              <w:bottom w:val="single" w:sz="8" w:color="D9D9D9"/>
            </w:tcBorders>
          </w:tcPr>
          <w:p>
            <w:pPr>
              <w:spacing w:after="0"/>
              <w:rPr>
                <w:sz w:val="17"/>
                <w:szCs w:val="17"/>
                <w:color w:val="auto"/>
              </w:rPr>
            </w:pPr>
          </w:p>
        </w:tc>
        <w:tc>
          <w:tcPr>
            <w:tcW w:w="160" w:type="dxa"/>
            <w:vAlign w:val="bottom"/>
            <w:tcBorders>
              <w:bottom w:val="single" w:sz="8" w:color="D9D9D9"/>
            </w:tcBorders>
          </w:tcPr>
          <w:p>
            <w:pPr>
              <w:spacing w:after="0"/>
              <w:rPr>
                <w:sz w:val="17"/>
                <w:szCs w:val="17"/>
                <w:color w:val="auto"/>
              </w:rPr>
            </w:pPr>
          </w:p>
        </w:tc>
        <w:tc>
          <w:tcPr>
            <w:tcW w:w="40" w:type="dxa"/>
            <w:vAlign w:val="bottom"/>
            <w:tcBorders>
              <w:bottom w:val="single" w:sz="8" w:color="D9D9D9"/>
            </w:tcBorders>
          </w:tcPr>
          <w:p>
            <w:pPr>
              <w:spacing w:after="0"/>
              <w:rPr>
                <w:sz w:val="17"/>
                <w:szCs w:val="17"/>
                <w:color w:val="auto"/>
              </w:rPr>
            </w:pPr>
          </w:p>
        </w:tc>
        <w:tc>
          <w:tcPr>
            <w:tcW w:w="40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D9D9D9"/>
            </w:tcBorders>
            <w:shd w:val="clear" w:color="auto" w:fill="D9D9D9"/>
          </w:tcPr>
          <w:p>
            <w:pPr>
              <w:ind w:left="180"/>
              <w:spacing w:after="0" w:line="201" w:lineRule="exact"/>
              <w:rPr>
                <w:sz w:val="20"/>
                <w:szCs w:val="20"/>
                <w:color w:val="auto"/>
              </w:rPr>
            </w:pPr>
            <w:r>
              <w:rPr>
                <w:rFonts w:ascii="Times New Roman" w:cs="Times New Roman" w:eastAsia="Times New Roman" w:hAnsi="Times New Roman"/>
                <w:sz w:val="19"/>
                <w:szCs w:val="19"/>
                <w:color w:val="auto"/>
                <w:w w:val="83"/>
              </w:rPr>
              <w:t>—</w:t>
            </w:r>
          </w:p>
        </w:tc>
        <w:tc>
          <w:tcPr>
            <w:tcW w:w="40" w:type="dxa"/>
            <w:vAlign w:val="bottom"/>
            <w:tcBorders>
              <w:bottom w:val="single" w:sz="8" w:color="D9D9D9"/>
            </w:tcBorders>
          </w:tcPr>
          <w:p>
            <w:pPr>
              <w:spacing w:after="0"/>
              <w:rPr>
                <w:sz w:val="17"/>
                <w:szCs w:val="17"/>
                <w:color w:val="auto"/>
              </w:rPr>
            </w:pPr>
          </w:p>
        </w:tc>
        <w:tc>
          <w:tcPr>
            <w:tcW w:w="140" w:type="dxa"/>
            <w:vAlign w:val="bottom"/>
            <w:tcBorders>
              <w:bottom w:val="single" w:sz="8" w:color="D9D9D9"/>
            </w:tcBorders>
          </w:tcPr>
          <w:p>
            <w:pPr>
              <w:spacing w:after="0"/>
              <w:rPr>
                <w:sz w:val="17"/>
                <w:szCs w:val="17"/>
                <w:color w:val="auto"/>
              </w:rPr>
            </w:pPr>
          </w:p>
        </w:tc>
        <w:tc>
          <w:tcPr>
            <w:tcW w:w="4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260" w:type="dxa"/>
            <w:vAlign w:val="bottom"/>
            <w:tcBorders>
              <w:bottom w:val="single" w:sz="8" w:color="D9D9D9"/>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D9D9D9"/>
            </w:tcBorders>
          </w:tcPr>
          <w:p>
            <w:pPr>
              <w:spacing w:after="0"/>
              <w:rPr>
                <w:sz w:val="17"/>
                <w:szCs w:val="17"/>
                <w:color w:val="auto"/>
              </w:rPr>
            </w:pPr>
          </w:p>
        </w:tc>
        <w:tc>
          <w:tcPr>
            <w:tcW w:w="140" w:type="dxa"/>
            <w:vAlign w:val="bottom"/>
            <w:tcBorders>
              <w:bottom w:val="single" w:sz="8" w:color="D9D9D9"/>
            </w:tcBorders>
          </w:tcPr>
          <w:p>
            <w:pPr>
              <w:spacing w:after="0"/>
              <w:rPr>
                <w:sz w:val="17"/>
                <w:szCs w:val="17"/>
                <w:color w:val="auto"/>
              </w:rPr>
            </w:pPr>
          </w:p>
        </w:tc>
        <w:tc>
          <w:tcPr>
            <w:tcW w:w="40" w:type="dxa"/>
            <w:vAlign w:val="bottom"/>
            <w:tcBorders>
              <w:bottom w:val="single" w:sz="8" w:color="D9D9D9"/>
            </w:tcBorders>
          </w:tcPr>
          <w:p>
            <w:pPr>
              <w:spacing w:after="0"/>
              <w:rPr>
                <w:sz w:val="17"/>
                <w:szCs w:val="17"/>
                <w:color w:val="auto"/>
              </w:rPr>
            </w:pPr>
          </w:p>
        </w:tc>
        <w:tc>
          <w:tcPr>
            <w:tcW w:w="200" w:type="dxa"/>
            <w:vAlign w:val="bottom"/>
            <w:tcBorders>
              <w:bottom w:val="single" w:sz="8" w:color="D9D9D9"/>
            </w:tcBorders>
            <w:shd w:val="clear" w:color="auto" w:fill="D9D9D9"/>
          </w:tcPr>
          <w:p>
            <w:pPr>
              <w:spacing w:after="0"/>
              <w:rPr>
                <w:sz w:val="17"/>
                <w:szCs w:val="17"/>
                <w:color w:val="auto"/>
              </w:rPr>
            </w:pPr>
          </w:p>
        </w:tc>
        <w:tc>
          <w:tcPr>
            <w:tcW w:w="1180" w:type="dxa"/>
            <w:vAlign w:val="bottom"/>
            <w:tcBorders>
              <w:bottom w:val="single" w:sz="8" w:color="D9D9D9"/>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19"/>
                <w:szCs w:val="19"/>
                <w:color w:val="auto"/>
              </w:rPr>
              <w:t>30,828</w:t>
            </w:r>
          </w:p>
        </w:tc>
        <w:tc>
          <w:tcPr>
            <w:tcW w:w="40" w:type="dxa"/>
            <w:vAlign w:val="bottom"/>
            <w:tcBorders>
              <w:bottom w:val="single" w:sz="8" w:color="D9D9D9"/>
            </w:tcBorders>
          </w:tcPr>
          <w:p>
            <w:pPr>
              <w:spacing w:after="0"/>
              <w:rPr>
                <w:sz w:val="17"/>
                <w:szCs w:val="17"/>
                <w:color w:val="auto"/>
              </w:rPr>
            </w:pPr>
          </w:p>
        </w:tc>
        <w:tc>
          <w:tcPr>
            <w:tcW w:w="180" w:type="dxa"/>
            <w:vAlign w:val="bottom"/>
            <w:tcBorders>
              <w:bottom w:val="single" w:sz="8" w:color="D9D9D9"/>
            </w:tcBorders>
            <w:gridSpan w:val="2"/>
          </w:tcPr>
          <w:p>
            <w:pPr>
              <w:spacing w:after="0"/>
              <w:rPr>
                <w:sz w:val="17"/>
                <w:szCs w:val="17"/>
                <w:color w:val="auto"/>
              </w:rPr>
            </w:pPr>
          </w:p>
        </w:tc>
        <w:tc>
          <w:tcPr>
            <w:tcW w:w="860" w:type="dxa"/>
            <w:vAlign w:val="bottom"/>
            <w:tcBorders>
              <w:bottom w:val="single" w:sz="8" w:color="D9D9D9"/>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19"/>
                <w:szCs w:val="19"/>
                <w:color w:val="auto"/>
              </w:rPr>
              <w:t>939,369</w:t>
            </w:r>
          </w:p>
        </w:tc>
        <w:tc>
          <w:tcPr>
            <w:tcW w:w="20" w:type="dxa"/>
            <w:vAlign w:val="bottom"/>
            <w:tcBorders>
              <w:bottom w:val="single" w:sz="8" w:color="D9D9D9"/>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9"/>
                <w:szCs w:val="19"/>
                <w:i w:val="1"/>
                <w:iCs w:val="1"/>
                <w:color w:val="auto"/>
              </w:rPr>
              <w:t>Chief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D9D9D9"/>
          </w:tcPr>
          <w:p>
            <w:pPr>
              <w:spacing w:after="0" w:line="205" w:lineRule="exact"/>
              <w:rPr>
                <w:sz w:val="20"/>
                <w:szCs w:val="20"/>
                <w:color w:val="auto"/>
              </w:rPr>
            </w:pPr>
            <w:r>
              <w:rPr>
                <w:rFonts w:ascii="Times New Roman" w:cs="Times New Roman" w:eastAsia="Times New Roman" w:hAnsi="Times New Roman"/>
                <w:sz w:val="19"/>
                <w:szCs w:val="19"/>
                <w:color w:val="auto"/>
                <w:highlight w:val="lightGray"/>
              </w:rPr>
              <w:t>2024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D9D9D9"/>
          </w:tcPr>
          <w:p>
            <w:pPr>
              <w:jc w:val="right"/>
              <w:spacing w:after="0" w:line="205" w:lineRule="exact"/>
              <w:rPr>
                <w:sz w:val="20"/>
                <w:szCs w:val="20"/>
                <w:color w:val="auto"/>
              </w:rPr>
            </w:pPr>
            <w:r>
              <w:rPr>
                <w:rFonts w:ascii="Times New Roman" w:cs="Times New Roman" w:eastAsia="Times New Roman" w:hAnsi="Times New Roman"/>
                <w:sz w:val="19"/>
                <w:szCs w:val="19"/>
                <w:color w:val="auto"/>
              </w:rPr>
              <w:t>411,692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D9D9D9"/>
          </w:tcPr>
          <w:p>
            <w:pPr>
              <w:jc w:val="right"/>
              <w:spacing w:after="0" w:line="205"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9D9D9"/>
          </w:tcPr>
          <w:p>
            <w:pPr>
              <w:jc w:val="right"/>
              <w:spacing w:after="0" w:line="205" w:lineRule="exact"/>
              <w:rPr>
                <w:sz w:val="20"/>
                <w:szCs w:val="20"/>
                <w:color w:val="auto"/>
              </w:rPr>
            </w:pPr>
            <w:r>
              <w:rPr>
                <w:rFonts w:ascii="Times New Roman" w:cs="Times New Roman" w:eastAsia="Times New Roman" w:hAnsi="Times New Roman"/>
                <w:sz w:val="19"/>
                <w:szCs w:val="19"/>
                <w:color w:val="auto"/>
              </w:rPr>
              <w:t>438,551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360" w:type="dxa"/>
            <w:vAlign w:val="bottom"/>
            <w:shd w:val="clear" w:color="auto" w:fill="D9D9D9"/>
          </w:tcPr>
          <w:p>
            <w:pPr>
              <w:ind w:left="180"/>
              <w:spacing w:after="0" w:line="205" w:lineRule="exact"/>
              <w:rPr>
                <w:sz w:val="20"/>
                <w:szCs w:val="20"/>
                <w:color w:val="auto"/>
              </w:rPr>
            </w:pPr>
            <w:r>
              <w:rPr>
                <w:rFonts w:ascii="Times New Roman" w:cs="Times New Roman" w:eastAsia="Times New Roman" w:hAnsi="Times New Roman"/>
                <w:sz w:val="19"/>
                <w:szCs w:val="19"/>
                <w:color w:val="auto"/>
                <w:w w:val="83"/>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260" w:type="dxa"/>
            <w:vAlign w:val="bottom"/>
            <w:shd w:val="clear" w:color="auto" w:fill="D9D9D9"/>
          </w:tcPr>
          <w:p>
            <w:pPr>
              <w:jc w:val="right"/>
              <w:spacing w:after="0" w:line="205"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jc w:val="right"/>
              <w:spacing w:after="0" w:line="205" w:lineRule="exact"/>
              <w:rPr>
                <w:sz w:val="20"/>
                <w:szCs w:val="20"/>
                <w:color w:val="auto"/>
              </w:rPr>
            </w:pPr>
            <w:r>
              <w:rPr>
                <w:rFonts w:ascii="Times New Roman" w:cs="Times New Roman" w:eastAsia="Times New Roman" w:hAnsi="Times New Roman"/>
                <w:sz w:val="19"/>
                <w:szCs w:val="19"/>
                <w:color w:val="auto"/>
              </w:rPr>
              <w:t>33,264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D9D9D9"/>
          </w:tcPr>
          <w:p>
            <w:pPr>
              <w:jc w:val="right"/>
              <w:spacing w:after="0" w:line="205" w:lineRule="exact"/>
              <w:rPr>
                <w:sz w:val="20"/>
                <w:szCs w:val="20"/>
                <w:color w:val="auto"/>
              </w:rPr>
            </w:pPr>
            <w:r>
              <w:rPr>
                <w:rFonts w:ascii="Times New Roman" w:cs="Times New Roman" w:eastAsia="Times New Roman" w:hAnsi="Times New Roman"/>
                <w:sz w:val="19"/>
                <w:szCs w:val="19"/>
                <w:color w:val="auto"/>
              </w:rPr>
              <w:t>883,507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9"/>
                <w:szCs w:val="19"/>
                <w:i w:val="1"/>
                <w:iCs w:val="1"/>
                <w:color w:val="auto"/>
              </w:rPr>
              <w:t>Financial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-422910</wp:posOffset>
                </wp:positionV>
                <wp:extent cx="3142615" cy="83566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2615" cy="835660"/>
                        </a:xfrm>
                        <a:prstGeom prst="rect">
                          <a:avLst/>
                        </a:prstGeom>
                        <a:solidFill>
                          <a:srgbClr val="D9D9D9"/>
                        </a:solidFill>
                      </wps:spPr>
                      <wps:bodyPr/>
                    </wps:wsp>
                  </a:graphicData>
                </a:graphic>
              </wp:anchor>
            </w:drawing>
          </mc:Choice>
          <mc:Fallback>
            <w:pict>
              <v:rect id="Shape 67" o:spid="_x0000_s1092" style="position:absolute;margin-left:-0.1499pt;margin-top:-33.2999pt;width:247.45pt;height:65.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66040</wp:posOffset>
                </wp:positionH>
                <wp:positionV relativeFrom="paragraph">
                  <wp:posOffset>-421005</wp:posOffset>
                </wp:positionV>
                <wp:extent cx="723900" cy="83121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831215"/>
                        </a:xfrm>
                        <a:prstGeom prst="rect">
                          <a:avLst/>
                        </a:prstGeom>
                        <a:solidFill>
                          <a:srgbClr val="D9D9D9"/>
                        </a:solidFill>
                      </wps:spPr>
                      <wps:bodyPr/>
                    </wps:wsp>
                  </a:graphicData>
                </a:graphic>
              </wp:anchor>
            </w:drawing>
          </mc:Choice>
          <mc:Fallback>
            <w:pict>
              <v:rect id="Shape 68" o:spid="_x0000_s1093" style="position:absolute;margin-left:5.2pt;margin-top:-33.1499pt;width:57pt;height:65.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3140710</wp:posOffset>
                </wp:positionH>
                <wp:positionV relativeFrom="paragraph">
                  <wp:posOffset>-423545</wp:posOffset>
                </wp:positionV>
                <wp:extent cx="3338195" cy="83629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8195" cy="836295"/>
                        </a:xfrm>
                        <a:prstGeom prst="rect">
                          <a:avLst/>
                        </a:prstGeom>
                        <a:solidFill>
                          <a:srgbClr val="D9D9D9"/>
                        </a:solidFill>
                      </wps:spPr>
                      <wps:bodyPr/>
                    </wps:wsp>
                  </a:graphicData>
                </a:graphic>
              </wp:anchor>
            </w:drawing>
          </mc:Choice>
          <mc:Fallback>
            <w:pict>
              <v:rect id="Shape 69" o:spid="_x0000_s1094" style="position:absolute;margin-left:247.3pt;margin-top:-33.3499pt;width:262.85pt;height:6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100"/>
        <w:spacing w:after="0"/>
        <w:rPr>
          <w:sz w:val="20"/>
          <w:szCs w:val="20"/>
          <w:color w:val="auto"/>
        </w:rPr>
      </w:pPr>
      <w:r>
        <w:rPr>
          <w:rFonts w:ascii="Times New Roman" w:cs="Times New Roman" w:eastAsia="Times New Roman" w:hAnsi="Times New Roman"/>
          <w:sz w:val="19"/>
          <w:szCs w:val="19"/>
          <w:i w:val="1"/>
          <w:iCs w:val="1"/>
          <w:color w:val="auto"/>
        </w:rPr>
        <w:t>Officer and</w:t>
      </w:r>
    </w:p>
    <w:p>
      <w:pPr>
        <w:ind w:left="100"/>
        <w:spacing w:after="0"/>
        <w:rPr>
          <w:sz w:val="20"/>
          <w:szCs w:val="20"/>
          <w:color w:val="auto"/>
        </w:rPr>
      </w:pPr>
      <w:r>
        <w:rPr>
          <w:rFonts w:ascii="Times New Roman" w:cs="Times New Roman" w:eastAsia="Times New Roman" w:hAnsi="Times New Roman"/>
          <w:sz w:val="19"/>
          <w:szCs w:val="19"/>
          <w:i w:val="1"/>
          <w:iCs w:val="1"/>
          <w:color w:val="auto"/>
        </w:rPr>
        <w:t>Assistant</w:t>
      </w:r>
    </w:p>
    <w:p>
      <w:pPr>
        <w:ind w:left="100"/>
        <w:spacing w:after="0"/>
        <w:rPr>
          <w:sz w:val="20"/>
          <w:szCs w:val="20"/>
          <w:color w:val="auto"/>
        </w:rPr>
      </w:pPr>
      <w:r>
        <w:rPr>
          <w:rFonts w:ascii="Times New Roman" w:cs="Times New Roman" w:eastAsia="Times New Roman" w:hAnsi="Times New Roman"/>
          <w:sz w:val="19"/>
          <w:szCs w:val="19"/>
          <w:i w:val="1"/>
          <w:iCs w:val="1"/>
          <w:color w:val="auto"/>
        </w:rPr>
        <w:t>Secretary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-3810</wp:posOffset>
                </wp:positionV>
                <wp:extent cx="8604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425" cy="4763"/>
                        </a:xfrm>
                        <a:prstGeom prst="line">
                          <a:avLst/>
                        </a:prstGeom>
                        <a:solidFill>
                          <a:srgbClr val="FFFFFF"/>
                        </a:solidFill>
                        <a:ln w="2286">
                          <a:solidFill>
                            <a:srgbClr val="DDDDDD"/>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0.2999pt" to="67.6pt,-0.2999pt" o:allowincell="f" strokecolor="#DDDDDD" strokeweight="0.18pt"/>
            </w:pict>
          </mc:Fallback>
        </mc:AlternateContent>
        <mc:AlternateContent>
          <mc:Choice Requires="wps">
            <w:drawing>
              <wp:anchor simplePos="0" relativeHeight="251657728" behindDoc="1" locked="0" layoutInCell="0" allowOverlap="1">
                <wp:simplePos x="0" y="0"/>
                <wp:positionH relativeFrom="column">
                  <wp:posOffset>858520</wp:posOffset>
                </wp:positionH>
                <wp:positionV relativeFrom="paragraph">
                  <wp:posOffset>-3810</wp:posOffset>
                </wp:positionV>
                <wp:extent cx="562102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1020" cy="4763"/>
                        </a:xfrm>
                        <a:prstGeom prst="line">
                          <a:avLst/>
                        </a:prstGeom>
                        <a:solidFill>
                          <a:srgbClr val="FFFFFF"/>
                        </a:solidFill>
                        <a:ln w="2286">
                          <a:solidFill>
                            <a:srgbClr val="D9D9D9"/>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6pt,-0.2999pt" to="510.2pt,-0.2999pt" o:allowincell="f" strokecolor="#D9D9D9" strokeweight="0.18pt"/>
            </w:pict>
          </mc:Fallback>
        </mc:AlternateContent>
      </w:r>
    </w:p>
    <w:p>
      <w:pPr>
        <w:ind w:left="42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12" w:lineRule="exact"/>
        <w:rPr>
          <w:sz w:val="20"/>
          <w:szCs w:val="20"/>
          <w:color w:val="auto"/>
        </w:rPr>
      </w:pPr>
    </w:p>
    <w:p>
      <w:pPr>
        <w:jc w:val="both"/>
        <w:ind w:left="1040" w:right="420" w:hanging="620"/>
        <w:spacing w:after="0" w:line="247" w:lineRule="auto"/>
        <w:tabs>
          <w:tab w:leader="none" w:pos="10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cash incentive bonus payouts based on performance against pre-established corporate and, in some cases, individual performance goals are reported in the “Non-equity incentive plan compensation” column. While we generally do not pay any discretionary bonuses or bonuses that are subjectively determined, we awarded a $100,000 discretionary bonus to each NEO for 2025 performance in light of our increased revenue and strategic actions taken in 2025 and for retention purposes, especially in light of no bonuses or non-equity incentive plan compensation earned for 2024.</w:t>
      </w:r>
    </w:p>
    <w:p>
      <w:pPr>
        <w:spacing w:after="0" w:line="200" w:lineRule="exact"/>
        <w:rPr>
          <w:rFonts w:ascii="Times New Roman" w:cs="Times New Roman" w:eastAsia="Times New Roman" w:hAnsi="Times New Roman"/>
          <w:sz w:val="20"/>
          <w:szCs w:val="20"/>
          <w:color w:val="auto"/>
        </w:rPr>
      </w:pPr>
    </w:p>
    <w:p>
      <w:pPr>
        <w:jc w:val="both"/>
        <w:ind w:left="1040" w:right="420" w:hanging="620"/>
        <w:spacing w:after="0" w:line="244" w:lineRule="auto"/>
        <w:tabs>
          <w:tab w:leader="none" w:pos="104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reported represent the aggregate grant date fair value for DSU and PSU awards computed in accordance with Financial Accounting Standards Board (“FASB”) Accounting Standards Codification (“ASC”) Topic 718. These are not amounts paid to or realized by the NEOs. We caution that the amounts reported in the table for stock awards and, therefore, total compensation may not represent the amounts that each NEO will actually realize from the awards. Whether, and to what extent, an NEO realizes value will depend on a number of factors, including our future stock price. The grant date fair value of the PSU awards assumes target levels of performance. The grant date fair value of the PSU awards assuming maximum levels of performances are as follows: Mr. Browne ($664,205), Mr. Schallenberger ($491,511), and Mr. Neils ($442,803).</w:t>
      </w:r>
    </w:p>
    <w:p>
      <w:pPr>
        <w:spacing w:after="0" w:line="206" w:lineRule="exact"/>
        <w:rPr>
          <w:rFonts w:ascii="Times New Roman" w:cs="Times New Roman" w:eastAsia="Times New Roman" w:hAnsi="Times New Roman"/>
          <w:sz w:val="20"/>
          <w:szCs w:val="20"/>
          <w:color w:val="auto"/>
        </w:rPr>
      </w:pPr>
    </w:p>
    <w:p>
      <w:pPr>
        <w:ind w:left="1040" w:right="420" w:hanging="620"/>
        <w:spacing w:after="0" w:line="305" w:lineRule="auto"/>
        <w:tabs>
          <w:tab w:leader="none" w:pos="104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reported represent payouts under our annual bonus plan and for each year reflect the amounts earned for that year but paid during the following year. No bonuses were earned or paid for 2024 performance.</w:t>
      </w:r>
    </w:p>
    <w:p>
      <w:pPr>
        <w:spacing w:after="0" w:line="144" w:lineRule="exact"/>
        <w:rPr>
          <w:rFonts w:ascii="Times New Roman" w:cs="Times New Roman" w:eastAsia="Times New Roman" w:hAnsi="Times New Roman"/>
          <w:sz w:val="19"/>
          <w:szCs w:val="19"/>
          <w:color w:val="auto"/>
        </w:rPr>
      </w:pPr>
    </w:p>
    <w:p>
      <w:pPr>
        <w:ind w:left="1040" w:right="420" w:hanging="620"/>
        <w:spacing w:after="0" w:line="278" w:lineRule="auto"/>
        <w:tabs>
          <w:tab w:leader="none" w:pos="10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table below provides information concerning amounts reported in the “All Other Compensation” column of the Summary Compensation Table for 2025 with respect to each named executive officer.</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401(k)</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w w:val="97"/>
              </w:rPr>
              <w:t>Commuting</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Borders>
              <w:bottom w:val="single" w:sz="8" w:color="D9D9D9"/>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Match</w:t>
            </w:r>
          </w:p>
        </w:tc>
        <w:tc>
          <w:tcPr>
            <w:tcW w:w="60" w:type="dxa"/>
            <w:vAlign w:val="bottom"/>
            <w:tcBorders>
              <w:bottom w:val="single" w:sz="8" w:color="D9D9D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Borders>
              <w:bottom w:val="single" w:sz="8" w:color="D9D9D9"/>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9"/>
        </w:trPr>
        <w:tc>
          <w:tcPr>
            <w:tcW w:w="23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1060" w:type="dxa"/>
            <w:vAlign w:val="bottom"/>
            <w:gridSpan w:val="2"/>
            <w:shd w:val="clear" w:color="auto" w:fill="D9D9D9"/>
          </w:tcPr>
          <w:p>
            <w:pPr>
              <w:jc w:val="right"/>
              <w:ind w:right="70"/>
              <w:spacing w:after="0"/>
              <w:rPr>
                <w:sz w:val="20"/>
                <w:szCs w:val="20"/>
                <w:color w:val="auto"/>
              </w:rPr>
            </w:pPr>
            <w:r>
              <w:rPr>
                <w:rFonts w:ascii="Times New Roman" w:cs="Times New Roman" w:eastAsia="Times New Roman" w:hAnsi="Times New Roman"/>
                <w:sz w:val="20"/>
                <w:szCs w:val="20"/>
                <w:color w:val="auto"/>
              </w:rPr>
              <w:t>$  14,000</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D9D9D9"/>
          </w:tcPr>
          <w:p>
            <w:pPr>
              <w:jc w:val="right"/>
              <w:ind w:right="144"/>
              <w:spacing w:after="0"/>
              <w:rPr>
                <w:sz w:val="20"/>
                <w:szCs w:val="20"/>
                <w:color w:val="auto"/>
              </w:rPr>
            </w:pPr>
            <w:r>
              <w:rPr>
                <w:rFonts w:ascii="Times New Roman" w:cs="Times New Roman" w:eastAsia="Times New Roman" w:hAnsi="Times New Roman"/>
                <w:sz w:val="20"/>
                <w:szCs w:val="20"/>
                <w:color w:val="auto"/>
              </w:rPr>
              <w:t>24,864</w:t>
            </w:r>
          </w:p>
        </w:tc>
        <w:tc>
          <w:tcPr>
            <w:tcW w:w="400" w:type="dxa"/>
            <w:vAlign w:val="bottom"/>
            <w:gridSpan w:val="2"/>
            <w:shd w:val="clear" w:color="auto" w:fill="D9D9D9"/>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38,864</w:t>
            </w:r>
          </w:p>
        </w:tc>
        <w:tc>
          <w:tcPr>
            <w:tcW w:w="2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Mark A. Schallenberger</w:t>
            </w: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14,000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w:t>
            </w:r>
          </w:p>
        </w:tc>
        <w:tc>
          <w:tcPr>
            <w:tcW w:w="20" w:type="dxa"/>
            <w:vAlign w:val="bottom"/>
          </w:tcPr>
          <w:p>
            <w:pPr>
              <w:spacing w:after="0"/>
              <w:rPr>
                <w:sz w:val="20"/>
                <w:szCs w:val="20"/>
                <w:color w:val="auto"/>
              </w:rPr>
            </w:pPr>
          </w:p>
        </w:tc>
      </w:tr>
      <w:tr>
        <w:trPr>
          <w:trHeight w:val="229"/>
        </w:trPr>
        <w:tc>
          <w:tcPr>
            <w:tcW w:w="23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Scott C. Neils</w:t>
            </w:r>
          </w:p>
        </w:tc>
        <w:tc>
          <w:tcPr>
            <w:tcW w:w="1060" w:type="dxa"/>
            <w:vAlign w:val="bottom"/>
            <w:gridSpan w:val="2"/>
            <w:shd w:val="clear" w:color="auto" w:fill="D9D9D9"/>
          </w:tcPr>
          <w:p>
            <w:pPr>
              <w:jc w:val="right"/>
              <w:ind w:right="70"/>
              <w:spacing w:after="0"/>
              <w:rPr>
                <w:sz w:val="20"/>
                <w:szCs w:val="20"/>
                <w:color w:val="auto"/>
              </w:rPr>
            </w:pPr>
            <w:r>
              <w:rPr>
                <w:rFonts w:ascii="Times New Roman" w:cs="Times New Roman" w:eastAsia="Times New Roman" w:hAnsi="Times New Roman"/>
                <w:sz w:val="20"/>
                <w:szCs w:val="20"/>
                <w:color w:val="auto"/>
              </w:rPr>
              <w:t>14,000</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1040" w:type="dxa"/>
            <w:vAlign w:val="bottom"/>
            <w:shd w:val="clear" w:color="auto" w:fill="D9D9D9"/>
          </w:tcPr>
          <w:p>
            <w:pPr>
              <w:jc w:val="right"/>
              <w:ind w:right="144"/>
              <w:spacing w:after="0"/>
              <w:rPr>
                <w:sz w:val="20"/>
                <w:szCs w:val="20"/>
                <w:color w:val="auto"/>
              </w:rPr>
            </w:pPr>
            <w:r>
              <w:rPr>
                <w:rFonts w:ascii="Times New Roman" w:cs="Times New Roman" w:eastAsia="Times New Roman" w:hAnsi="Times New Roman"/>
                <w:sz w:val="20"/>
                <w:szCs w:val="20"/>
                <w:color w:val="auto"/>
              </w:rPr>
              <w:t>16,828</w:t>
            </w:r>
          </w:p>
        </w:tc>
        <w:tc>
          <w:tcPr>
            <w:tcW w:w="14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30,828</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200"/>
          </w:cols>
          <w:pgMar w:left="1020" w:top="1420"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00"/>
          </w:cols>
          <w:pgMar w:left="1020" w:top="1420" w:right="1020" w:bottom="175"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Employment and Other Agreements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Employment Agreements</w:t>
      </w:r>
    </w:p>
    <w:p>
      <w:pPr>
        <w:spacing w:after="0" w:line="23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Effective October 7, 2019, we entered into an employment agreement with Sean E. Browne, our President and Chief Executive Officer, which provides for an initial annual base salary of $600,000 (which was subsequently increased to $624,000 in February 2024) and a target annual bonus opportunity equal to 100% of his annual base salary. We agreed to reimburse his reasonable travel and business expenses. Our agreement with Mr. Browne also contains standard confidentiality, non-competition, non-solicitation and assignment of intellectual property provisions, as well as standard severance and change in control provisions. Effective November 7, 2024, we entered into an amendment to Mr. Browne’s employment agreement to make certain changes to the provisions regarding termination by the Company without “cause” or by Mr. Browne for “good reason” in connection with or within 12 months after a “change in control” (as such terms are defined in the agreement) and the definition of “change in control”. The severance and change in control provisions, as amended, are described under “—Potential Payments upon Termination or Change in Control.”</w:t>
      </w:r>
    </w:p>
    <w:p>
      <w:pPr>
        <w:spacing w:after="0" w:line="20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Effective June 1, 2022, we entered into an employment agreement with Scott C. Neils, our Chief Financial Officer, which provided for an initial annual base salary of $400,000 (which was subsequently increased to $416,000) and a target annual bonus opportunity equal to 50% of his annual base salary. Our agreement with Mr. Neils also contains standard confidentiality, non-competition, non-solicitation and assignment of intellectual property provisions, as well as standard severance and change in control provisions, which are described under “—Potential Payments upon Termination or Change in Control.”</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Effective January 16, 2023, we entered into an employment agreement with Mark A. Schallenberger, formally our Chief Operations Officer and currently our Chief Operating Officer, which provided for an annual base salary $400,000 (which was subsequently increased to $461,760) and a target annual bonus opportunity equal to 50% of his annual base salary (which was subsequently increased to 75%). Our agreement with Mr. Schallenberger also contains standard confidentiality, non-competition, non-solicitation and assignment of intellectual property provisions, as well as standard severance and change in control provisions, which are described under “—Potential Payments upon Termination or Change in Control.”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Consulting Agreement with Mark A. Schallenberger</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Prior to his employment as our Chief Operations Officer, we entered into a two-month consulting agreement with Mark A. Schallenberger, effective as of December 29, 2022. Pursuant to the consulting agreement, we agreed to pay Mr. Schallenberger $ 25,000 as an up-front payment for services to be rendered and an additional $25,000 upon completion of the project contemplated therein, which final payment was made in 2024. The consulting agreement terminated in accordance with its terms.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Indemnification Agreements</w:t>
      </w:r>
    </w:p>
    <w:p>
      <w:pPr>
        <w:spacing w:after="0" w:line="23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have entered into indemnification agreements with our executive officers that require us to indemnify them against certain liabilities that may arise by reason of their status or service as directors or executive officers to the fullest extent permitted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Retirement Plan</w:t>
      </w:r>
    </w:p>
    <w:p>
      <w:pPr>
        <w:spacing w:after="0" w:line="24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have a 401(k) plan for our employees. The 401(k) plan is a defined contribution plan covering substantially all of our employees. Employees are eligible to participate in the plan on the first day of any month after starting employment. Employees are allowed to contribute a percentage of their wages to the 401(k) plan, subject to statutorily prescribed limits and are subject to a discretionary employer match of 100% of their wage deferrals not in excess of 4% of their wages.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60"/>
          </w:cols>
          <w:pgMar w:left="1440" w:top="1420" w:right="1440" w:bottom="175"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Equity Awards at Fiscal Year-End</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table below provides information regarding unexercised option awards and unvested stock awards held by each of our named executive officers that remained outstanding at our fiscal year-end, December 31, 2025. All of the outstanding equity awards described below were either granted under the Xtant Medical Holdings, Inc. 2023 Equity Incentive Plan (as subsequently amended, the “2023 Plan”) or the Xtant Medical Holdings, Inc. 2018 Equity Incentive Plan (as subsequently amended, the “2018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tcPr>
          <w:p>
            <w:pPr>
              <w:spacing w:after="0"/>
              <w:rPr>
                <w:sz w:val="16"/>
                <w:szCs w:val="16"/>
                <w:color w:val="auto"/>
              </w:rPr>
            </w:pPr>
          </w:p>
        </w:tc>
      </w:tr>
      <w:tr>
        <w:trPr>
          <w:trHeight w:val="206"/>
        </w:trPr>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940" w:type="dxa"/>
            <w:vAlign w:val="bottom"/>
          </w:tcPr>
          <w:p>
            <w:pPr>
              <w:spacing w:after="0"/>
              <w:rPr>
                <w:sz w:val="17"/>
                <w:szCs w:val="17"/>
                <w:color w:val="auto"/>
              </w:rPr>
            </w:pPr>
          </w:p>
        </w:tc>
      </w:tr>
      <w:tr>
        <w:trPr>
          <w:trHeight w:val="208"/>
        </w:trPr>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06"/>
        </w:trPr>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w:t>
            </w:r>
          </w:p>
        </w:tc>
      </w:tr>
      <w:tr>
        <w:trPr>
          <w:trHeight w:val="208"/>
        </w:trPr>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06"/>
        </w:trPr>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of</w:t>
            </w:r>
          </w:p>
        </w:tc>
      </w:tr>
      <w:tr>
        <w:trPr>
          <w:trHeight w:val="208"/>
        </w:trPr>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r>
      <w:tr>
        <w:trPr>
          <w:trHeight w:val="206"/>
        </w:trPr>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860" w:type="dxa"/>
            <w:vAlign w:val="bottom"/>
            <w:gridSpan w:val="3"/>
          </w:tcPr>
          <w:p>
            <w:pPr>
              <w:jc w:val="center"/>
              <w:ind w:right="520"/>
              <w:spacing w:after="0" w:line="228" w:lineRule="exact"/>
              <w:rPr>
                <w:sz w:val="20"/>
                <w:szCs w:val="20"/>
                <w:color w:val="auto"/>
              </w:rPr>
            </w:pPr>
            <w:r>
              <w:rPr>
                <w:rFonts w:ascii="Times New Roman" w:cs="Times New Roman" w:eastAsia="Times New Roman" w:hAnsi="Times New Roman"/>
                <w:sz w:val="18"/>
                <w:szCs w:val="18"/>
                <w:b w:val="1"/>
                <w:bCs w:val="1"/>
                <w:color w:val="auto"/>
                <w:w w:val="96"/>
              </w:rPr>
              <w:t>Unexercisable</w:t>
            </w:r>
            <w:r>
              <w:rPr>
                <w:rFonts w:ascii="Times New Roman" w:cs="Times New Roman" w:eastAsia="Times New Roman" w:hAnsi="Times New Roman"/>
                <w:sz w:val="24"/>
                <w:szCs w:val="24"/>
                <w:b w:val="1"/>
                <w:bCs w:val="1"/>
                <w:color w:val="auto"/>
                <w:w w:val="96"/>
                <w:vertAlign w:val="superscript"/>
              </w:rPr>
              <w:t>(1)</w:t>
            </w:r>
          </w:p>
        </w:tc>
        <w:tc>
          <w:tcPr>
            <w:tcW w:w="140" w:type="dxa"/>
            <w:vAlign w:val="bottom"/>
          </w:tcPr>
          <w:p>
            <w:pPr>
              <w:spacing w:after="0"/>
              <w:rPr>
                <w:sz w:val="20"/>
                <w:szCs w:val="20"/>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18"/>
                <w:szCs w:val="18"/>
                <w:b w:val="1"/>
                <w:bCs w:val="1"/>
                <w:color w:val="auto"/>
                <w:w w:val="91"/>
              </w:rPr>
              <w:t>Date</w:t>
            </w:r>
            <w:r>
              <w:rPr>
                <w:rFonts w:ascii="Times New Roman" w:cs="Times New Roman" w:eastAsia="Times New Roman" w:hAnsi="Times New Roman"/>
                <w:sz w:val="24"/>
                <w:szCs w:val="24"/>
                <w:b w:val="1"/>
                <w:bCs w:val="1"/>
                <w:color w:val="auto"/>
                <w:w w:val="91"/>
                <w:vertAlign w:val="superscript"/>
              </w:rPr>
              <w:t>(2)</w:t>
            </w:r>
          </w:p>
        </w:tc>
        <w:tc>
          <w:tcPr>
            <w:tcW w:w="40" w:type="dxa"/>
            <w:vAlign w:val="bottom"/>
          </w:tcPr>
          <w:p>
            <w:pPr>
              <w:spacing w:after="0"/>
              <w:rPr>
                <w:sz w:val="20"/>
                <w:szCs w:val="20"/>
                <w:color w:val="auto"/>
              </w:rPr>
            </w:pPr>
          </w:p>
        </w:tc>
        <w:tc>
          <w:tcPr>
            <w:tcW w:w="980" w:type="dxa"/>
            <w:vAlign w:val="bottom"/>
            <w:gridSpan w:val="2"/>
          </w:tcPr>
          <w:p>
            <w:pPr>
              <w:jc w:val="center"/>
              <w:ind w:right="280"/>
              <w:spacing w:after="0" w:line="228" w:lineRule="exact"/>
              <w:rPr>
                <w:sz w:val="20"/>
                <w:szCs w:val="20"/>
                <w:color w:val="auto"/>
              </w:rPr>
            </w:pPr>
            <w:r>
              <w:rPr>
                <w:rFonts w:ascii="Times New Roman" w:cs="Times New Roman" w:eastAsia="Times New Roman" w:hAnsi="Times New Roman"/>
                <w:sz w:val="18"/>
                <w:szCs w:val="18"/>
                <w:b w:val="1"/>
                <w:bCs w:val="1"/>
                <w:color w:val="auto"/>
                <w:w w:val="93"/>
              </w:rPr>
              <w:t>Vested</w:t>
            </w:r>
            <w:r>
              <w:rPr>
                <w:rFonts w:ascii="Times New Roman" w:cs="Times New Roman" w:eastAsia="Times New Roman" w:hAnsi="Times New Roman"/>
                <w:sz w:val="24"/>
                <w:szCs w:val="24"/>
                <w:b w:val="1"/>
                <w:bCs w:val="1"/>
                <w:color w:val="auto"/>
                <w:w w:val="93"/>
                <w:vertAlign w:val="superscript"/>
              </w:rPr>
              <w:t>(3)</w:t>
            </w:r>
          </w:p>
        </w:tc>
        <w:tc>
          <w:tcPr>
            <w:tcW w:w="940" w:type="dxa"/>
            <w:vAlign w:val="bottom"/>
          </w:tcPr>
          <w:p>
            <w:pPr>
              <w:jc w:val="center"/>
              <w:spacing w:after="0" w:line="228" w:lineRule="exact"/>
              <w:rPr>
                <w:sz w:val="20"/>
                <w:szCs w:val="20"/>
                <w:color w:val="auto"/>
              </w:rPr>
            </w:pPr>
            <w:r>
              <w:rPr>
                <w:rFonts w:ascii="Times New Roman" w:cs="Times New Roman" w:eastAsia="Times New Roman" w:hAnsi="Times New Roman"/>
                <w:sz w:val="18"/>
                <w:szCs w:val="18"/>
                <w:b w:val="1"/>
                <w:bCs w:val="1"/>
                <w:color w:val="auto"/>
                <w:w w:val="93"/>
              </w:rPr>
              <w:t>Vested</w:t>
            </w:r>
            <w:r>
              <w:rPr>
                <w:rFonts w:ascii="Times New Roman" w:cs="Times New Roman" w:eastAsia="Times New Roman" w:hAnsi="Times New Roman"/>
                <w:sz w:val="24"/>
                <w:szCs w:val="24"/>
                <w:b w:val="1"/>
                <w:bCs w:val="1"/>
                <w:color w:val="auto"/>
                <w:w w:val="93"/>
                <w:vertAlign w:val="superscript"/>
              </w:rPr>
              <w:t>(4)</w:t>
            </w:r>
          </w:p>
        </w:tc>
      </w:tr>
      <w:tr>
        <w:trPr>
          <w:trHeight w:val="229"/>
        </w:trPr>
        <w:tc>
          <w:tcPr>
            <w:tcW w:w="1600" w:type="dxa"/>
            <w:vAlign w:val="bottom"/>
            <w:tcBorders>
              <w:top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920" w:type="dxa"/>
            <w:vAlign w:val="bottom"/>
            <w:tcBorders>
              <w:top w:val="single" w:sz="8" w:color="auto"/>
            </w:tcBorders>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0" w:type="dxa"/>
            <w:vAlign w:val="bottom"/>
            <w:tcBorders>
              <w:top w:val="single" w:sz="8" w:color="auto"/>
            </w:tcBorders>
            <w:shd w:val="clear" w:color="auto" w:fill="D9D9D9"/>
          </w:tcPr>
          <w:p>
            <w:pPr>
              <w:spacing w:after="0"/>
              <w:rPr>
                <w:sz w:val="19"/>
                <w:szCs w:val="19"/>
                <w:color w:val="auto"/>
              </w:rPr>
            </w:pPr>
          </w:p>
        </w:tc>
        <w:tc>
          <w:tcPr>
            <w:tcW w:w="920" w:type="dxa"/>
            <w:vAlign w:val="bottom"/>
            <w:tcBorders>
              <w:top w:val="single" w:sz="8" w:color="auto"/>
            </w:tcBorders>
            <w:shd w:val="clear" w:color="auto" w:fill="D9D9D9"/>
          </w:tcPr>
          <w:p>
            <w:pPr>
              <w:spacing w:after="0"/>
              <w:rPr>
                <w:sz w:val="19"/>
                <w:szCs w:val="19"/>
                <w:color w:val="auto"/>
              </w:rPr>
            </w:pPr>
          </w:p>
        </w:tc>
        <w:tc>
          <w:tcPr>
            <w:tcW w:w="100" w:type="dxa"/>
            <w:vAlign w:val="bottom"/>
            <w:tcBorders>
              <w:top w:val="single" w:sz="8" w:color="D9D9D9"/>
            </w:tcBorders>
            <w:shd w:val="clear" w:color="auto" w:fill="D9D9D9"/>
          </w:tcPr>
          <w:p>
            <w:pPr>
              <w:spacing w:after="0"/>
              <w:rPr>
                <w:sz w:val="19"/>
                <w:szCs w:val="19"/>
                <w:color w:val="auto"/>
              </w:rPr>
            </w:pPr>
          </w:p>
        </w:tc>
        <w:tc>
          <w:tcPr>
            <w:tcW w:w="1320" w:type="dxa"/>
            <w:vAlign w:val="bottom"/>
            <w:tcBorders>
              <w:top w:val="single" w:sz="8" w:color="auto"/>
            </w:tcBorders>
            <w:shd w:val="clear" w:color="auto" w:fill="D9D9D9"/>
          </w:tcPr>
          <w:p>
            <w:pPr>
              <w:spacing w:after="0"/>
              <w:rPr>
                <w:sz w:val="19"/>
                <w:szCs w:val="19"/>
                <w:color w:val="auto"/>
              </w:rPr>
            </w:pPr>
          </w:p>
        </w:tc>
        <w:tc>
          <w:tcPr>
            <w:tcW w:w="500" w:type="dxa"/>
            <w:vAlign w:val="bottom"/>
            <w:tcBorders>
              <w:top w:val="single" w:sz="8" w:color="D9D9D9"/>
            </w:tcBorders>
            <w:shd w:val="clear" w:color="auto" w:fill="D9D9D9"/>
          </w:tcPr>
          <w:p>
            <w:pPr>
              <w:spacing w:after="0"/>
              <w:rPr>
                <w:sz w:val="19"/>
                <w:szCs w:val="19"/>
                <w:color w:val="auto"/>
              </w:rPr>
            </w:pPr>
          </w:p>
        </w:tc>
        <w:tc>
          <w:tcPr>
            <w:tcW w:w="40" w:type="dxa"/>
            <w:vAlign w:val="bottom"/>
            <w:tcBorders>
              <w:top w:val="single" w:sz="8" w:color="auto"/>
            </w:tcBorders>
            <w:shd w:val="clear" w:color="auto" w:fill="D9D9D9"/>
          </w:tcPr>
          <w:p>
            <w:pPr>
              <w:spacing w:after="0"/>
              <w:rPr>
                <w:sz w:val="19"/>
                <w:szCs w:val="19"/>
                <w:color w:val="auto"/>
              </w:rPr>
            </w:pPr>
          </w:p>
        </w:tc>
        <w:tc>
          <w:tcPr>
            <w:tcW w:w="140" w:type="dxa"/>
            <w:vAlign w:val="bottom"/>
            <w:tcBorders>
              <w:top w:val="single" w:sz="8" w:color="auto"/>
            </w:tcBorders>
            <w:shd w:val="clear" w:color="auto" w:fill="D9D9D9"/>
          </w:tcPr>
          <w:p>
            <w:pPr>
              <w:spacing w:after="0"/>
              <w:rPr>
                <w:sz w:val="19"/>
                <w:szCs w:val="19"/>
                <w:color w:val="auto"/>
              </w:rPr>
            </w:pPr>
          </w:p>
        </w:tc>
        <w:tc>
          <w:tcPr>
            <w:tcW w:w="620" w:type="dxa"/>
            <w:vAlign w:val="bottom"/>
            <w:tcBorders>
              <w:top w:val="single" w:sz="8" w:color="auto"/>
            </w:tcBorders>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060" w:type="dxa"/>
            <w:vAlign w:val="bottom"/>
            <w:tcBorders>
              <w:top w:val="single" w:sz="8" w:color="auto"/>
              <w:right w:val="single" w:sz="8" w:color="auto"/>
            </w:tcBorders>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700" w:type="dxa"/>
            <w:vAlign w:val="bottom"/>
            <w:tcBorders>
              <w:top w:val="single" w:sz="8" w:color="auto"/>
            </w:tcBorders>
            <w:shd w:val="clear" w:color="auto" w:fill="D9D9D9"/>
          </w:tcPr>
          <w:p>
            <w:pPr>
              <w:spacing w:after="0"/>
              <w:rPr>
                <w:sz w:val="19"/>
                <w:szCs w:val="19"/>
                <w:color w:val="auto"/>
              </w:rPr>
            </w:pPr>
          </w:p>
        </w:tc>
        <w:tc>
          <w:tcPr>
            <w:tcW w:w="280" w:type="dxa"/>
            <w:vAlign w:val="bottom"/>
            <w:tcBorders>
              <w:top w:val="single" w:sz="8" w:color="D9D9D9"/>
            </w:tcBorders>
            <w:shd w:val="clear" w:color="auto" w:fill="D9D9D9"/>
          </w:tcPr>
          <w:p>
            <w:pPr>
              <w:spacing w:after="0"/>
              <w:rPr>
                <w:sz w:val="19"/>
                <w:szCs w:val="19"/>
                <w:color w:val="auto"/>
              </w:rPr>
            </w:pPr>
          </w:p>
        </w:tc>
        <w:tc>
          <w:tcPr>
            <w:tcW w:w="940" w:type="dxa"/>
            <w:vAlign w:val="bottom"/>
            <w:tcBorders>
              <w:top w:val="single" w:sz="8" w:color="auto"/>
            </w:tcBorders>
            <w:shd w:val="clear" w:color="auto" w:fill="D9D9D9"/>
          </w:tcPr>
          <w:p>
            <w:pPr>
              <w:spacing w:after="0"/>
              <w:rPr>
                <w:sz w:val="19"/>
                <w:szCs w:val="19"/>
                <w:color w:val="auto"/>
              </w:rPr>
            </w:pPr>
          </w:p>
        </w:tc>
      </w:tr>
      <w:tr>
        <w:trPr>
          <w:trHeight w:val="230"/>
        </w:trPr>
        <w:tc>
          <w:tcPr>
            <w:tcW w:w="160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2025-2027 PSUs</w:t>
            </w:r>
            <w:r>
              <w:rPr>
                <w:rFonts w:ascii="Times New Roman" w:cs="Times New Roman" w:eastAsia="Times New Roman" w:hAnsi="Times New Roman"/>
                <w:sz w:val="25"/>
                <w:szCs w:val="25"/>
                <w:color w:val="auto"/>
                <w:vertAlign w:val="superscript"/>
              </w:rPr>
              <w:t>(5)</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11/15/2025</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34,994</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$27,295</w:t>
            </w:r>
          </w:p>
        </w:tc>
      </w:tr>
      <w:tr>
        <w:trPr>
          <w:trHeight w:val="230"/>
        </w:trPr>
        <w:tc>
          <w:tcPr>
            <w:tcW w:w="160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2024-2026 PSUs</w:t>
            </w:r>
            <w:r>
              <w:rPr>
                <w:rFonts w:ascii="Times New Roman" w:cs="Times New Roman" w:eastAsia="Times New Roman" w:hAnsi="Times New Roman"/>
                <w:sz w:val="25"/>
                <w:szCs w:val="25"/>
                <w:color w:val="auto"/>
                <w:vertAlign w:val="superscript"/>
              </w:rPr>
              <w:t>(6)</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04/03/2024</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365,816</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285,336</w:t>
            </w:r>
          </w:p>
        </w:tc>
      </w:tr>
      <w:tr>
        <w:trPr>
          <w:trHeight w:val="229"/>
        </w:trPr>
        <w:tc>
          <w:tcPr>
            <w:tcW w:w="1600" w:type="dxa"/>
            <w:vAlign w:val="bottom"/>
            <w:shd w:val="clear" w:color="auto" w:fill="D9D9D9"/>
          </w:tcPr>
          <w:p>
            <w:pPr>
              <w:spacing w:after="0" w:line="229" w:lineRule="exact"/>
              <w:rPr>
                <w:sz w:val="20"/>
                <w:szCs w:val="20"/>
                <w:color w:val="auto"/>
              </w:rPr>
            </w:pPr>
            <w:r>
              <w:rPr>
                <w:rFonts w:ascii="Times New Roman" w:cs="Times New Roman" w:eastAsia="Times New Roman" w:hAnsi="Times New Roman"/>
                <w:sz w:val="20"/>
                <w:szCs w:val="20"/>
                <w:color w:val="auto"/>
              </w:rPr>
              <w:t>RSUs</w:t>
            </w:r>
            <w:r>
              <w:rPr>
                <w:rFonts w:ascii="Times New Roman" w:cs="Times New Roman" w:eastAsia="Times New Roman" w:hAnsi="Times New Roman"/>
                <w:sz w:val="25"/>
                <w:szCs w:val="25"/>
                <w:color w:val="auto"/>
                <w:vertAlign w:val="superscript"/>
              </w:rPr>
              <w:t>(7)</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08/15/2023</w:t>
            </w:r>
          </w:p>
        </w:tc>
        <w:tc>
          <w:tcPr>
            <w:tcW w:w="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19"/>
                <w:szCs w:val="19"/>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19"/>
                <w:szCs w:val="19"/>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19"/>
                <w:szCs w:val="19"/>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87,108</w:t>
            </w:r>
          </w:p>
        </w:tc>
        <w:tc>
          <w:tcPr>
            <w:tcW w:w="28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67,944</w:t>
            </w:r>
          </w:p>
        </w:tc>
      </w:tr>
      <w:tr>
        <w:trPr>
          <w:trHeight w:val="230"/>
        </w:trPr>
        <w:tc>
          <w:tcPr>
            <w:tcW w:w="160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DSUs</w:t>
            </w:r>
            <w:r>
              <w:rPr>
                <w:rFonts w:ascii="Times New Roman" w:cs="Times New Roman" w:eastAsia="Times New Roman" w:hAnsi="Times New Roman"/>
                <w:sz w:val="25"/>
                <w:szCs w:val="25"/>
                <w:color w:val="auto"/>
                <w:vertAlign w:val="superscript"/>
              </w:rPr>
              <w:t>(8)</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11/15/2025</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394,937</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308,051</w:t>
            </w:r>
          </w:p>
        </w:tc>
      </w:tr>
      <w:tr>
        <w:trPr>
          <w:trHeight w:val="230"/>
        </w:trPr>
        <w:tc>
          <w:tcPr>
            <w:tcW w:w="160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04/03/2024</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548,724</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428,005</w:t>
            </w:r>
          </w:p>
        </w:tc>
      </w:tr>
      <w:tr>
        <w:trPr>
          <w:trHeight w:val="229"/>
        </w:trPr>
        <w:tc>
          <w:tcPr>
            <w:tcW w:w="1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10/15/2019</w:t>
            </w:r>
          </w:p>
        </w:tc>
        <w:tc>
          <w:tcPr>
            <w:tcW w:w="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329,044</w:t>
            </w:r>
          </w:p>
        </w:tc>
        <w:tc>
          <w:tcPr>
            <w:tcW w:w="100" w:type="dxa"/>
            <w:vAlign w:val="bottom"/>
            <w:shd w:val="clear" w:color="auto" w:fill="D9D9D9"/>
          </w:tcPr>
          <w:p>
            <w:pPr>
              <w:spacing w:after="0"/>
              <w:rPr>
                <w:sz w:val="19"/>
                <w:szCs w:val="19"/>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40" w:type="dxa"/>
            <w:vAlign w:val="bottom"/>
            <w:shd w:val="clear" w:color="auto" w:fill="D9D9D9"/>
          </w:tcPr>
          <w:p>
            <w:pPr>
              <w:spacing w:after="0"/>
              <w:rPr>
                <w:sz w:val="19"/>
                <w:szCs w:val="19"/>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10/15/2029</w:t>
            </w:r>
          </w:p>
        </w:tc>
        <w:tc>
          <w:tcPr>
            <w:tcW w:w="40" w:type="dxa"/>
            <w:vAlign w:val="bottom"/>
            <w:shd w:val="clear" w:color="auto" w:fill="D9D9D9"/>
          </w:tcPr>
          <w:p>
            <w:pPr>
              <w:spacing w:after="0"/>
              <w:rPr>
                <w:sz w:val="19"/>
                <w:szCs w:val="19"/>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60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11/15/2020</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1,468,859</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11/15/2030</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60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08/15/2023</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114,329</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88,923</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08/15/2033</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0"/>
        </w:trPr>
        <w:tc>
          <w:tcPr>
            <w:tcW w:w="16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Scott C. Neils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2025-2027 PSUs</w:t>
            </w:r>
            <w:r>
              <w:rPr>
                <w:rFonts w:ascii="Times New Roman" w:cs="Times New Roman" w:eastAsia="Times New Roman" w:hAnsi="Times New Roman"/>
                <w:sz w:val="25"/>
                <w:szCs w:val="25"/>
                <w:color w:val="auto"/>
                <w:vertAlign w:val="superscript"/>
              </w:rPr>
              <w:t>(5)</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11/15/2025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26,329</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20,537</w:t>
            </w:r>
          </w:p>
        </w:tc>
      </w:tr>
      <w:tr>
        <w:trPr>
          <w:trHeight w:val="229"/>
        </w:trPr>
        <w:tc>
          <w:tcPr>
            <w:tcW w:w="16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2024-2026 PSUs</w:t>
            </w:r>
            <w:r>
              <w:rPr>
                <w:rFonts w:ascii="Times New Roman" w:cs="Times New Roman" w:eastAsia="Times New Roman" w:hAnsi="Times New Roman"/>
                <w:sz w:val="25"/>
                <w:szCs w:val="25"/>
                <w:color w:val="auto"/>
                <w:vertAlign w:val="superscript"/>
              </w:rPr>
              <w:t>(6)</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04/03/2024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88,776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69,245</w:t>
            </w:r>
          </w:p>
        </w:tc>
      </w:tr>
      <w:tr>
        <w:trPr>
          <w:trHeight w:val="230"/>
        </w:trPr>
        <w:tc>
          <w:tcPr>
            <w:tcW w:w="1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RSUs</w:t>
            </w:r>
            <w:r>
              <w:rPr>
                <w:rFonts w:ascii="Times New Roman" w:cs="Times New Roman" w:eastAsia="Times New Roman" w:hAnsi="Times New Roman"/>
                <w:sz w:val="25"/>
                <w:szCs w:val="25"/>
                <w:color w:val="auto"/>
                <w:vertAlign w:val="superscript"/>
              </w:rPr>
              <w:t>(7)</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01/15/2022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22,246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17,352</w:t>
            </w:r>
          </w:p>
        </w:tc>
      </w:tr>
      <w:tr>
        <w:trPr>
          <w:trHeight w:val="230"/>
        </w:trPr>
        <w:tc>
          <w:tcPr>
            <w:tcW w:w="16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08/15/2022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62,974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49,120</w:t>
            </w:r>
          </w:p>
        </w:tc>
      </w:tr>
      <w:tr>
        <w:trPr>
          <w:trHeight w:val="229"/>
        </w:trPr>
        <w:tc>
          <w:tcPr>
            <w:tcW w:w="16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08/15/2023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58,072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45,296</w:t>
            </w:r>
          </w:p>
        </w:tc>
      </w:tr>
      <w:tr>
        <w:trPr>
          <w:trHeight w:val="230"/>
        </w:trPr>
        <w:tc>
          <w:tcPr>
            <w:tcW w:w="1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DSUs</w:t>
            </w:r>
            <w:r>
              <w:rPr>
                <w:rFonts w:ascii="Times New Roman" w:cs="Times New Roman" w:eastAsia="Times New Roman" w:hAnsi="Times New Roman"/>
                <w:sz w:val="25"/>
                <w:szCs w:val="25"/>
                <w:color w:val="auto"/>
                <w:vertAlign w:val="superscript"/>
              </w:rPr>
              <w:t>(8)</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11/15/2025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263,291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205,367</w:t>
            </w:r>
          </w:p>
        </w:tc>
      </w:tr>
      <w:tr>
        <w:trPr>
          <w:trHeight w:val="229"/>
        </w:trPr>
        <w:tc>
          <w:tcPr>
            <w:tcW w:w="16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04/03/2024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133,164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103,868</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11/15/2019</w:t>
            </w:r>
          </w:p>
        </w:tc>
        <w:tc>
          <w:tcPr>
            <w:tcW w:w="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20,508</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1.80</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11/15/2029</w:t>
            </w:r>
          </w:p>
        </w:tc>
        <w:tc>
          <w:tcPr>
            <w:tcW w:w="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6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08/15/2021</w:t>
            </w:r>
          </w:p>
        </w:tc>
        <w:tc>
          <w:tcPr>
            <w:tcW w:w="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96,154</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1.27</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08/15/2031</w:t>
            </w:r>
          </w:p>
        </w:tc>
        <w:tc>
          <w:tcPr>
            <w:tcW w:w="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6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01/15/2022</w:t>
            </w:r>
          </w:p>
        </w:tc>
        <w:tc>
          <w:tcPr>
            <w:tcW w:w="6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102,341</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0.648</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01/15/2032</w:t>
            </w:r>
          </w:p>
        </w:tc>
        <w:tc>
          <w:tcPr>
            <w:tcW w:w="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160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08/15/2023</w:t>
            </w:r>
          </w:p>
        </w:tc>
        <w:tc>
          <w:tcPr>
            <w:tcW w:w="6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76,219</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59,282</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1.20</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08/15/2033</w:t>
            </w:r>
          </w:p>
        </w:tc>
        <w:tc>
          <w:tcPr>
            <w:tcW w:w="4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Mark A. Schallenberger</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spacing w:after="0"/>
              <w:rPr>
                <w:sz w:val="20"/>
                <w:szCs w:val="20"/>
                <w:color w:val="auto"/>
              </w:rPr>
            </w:pP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spacing w:after="0"/>
              <w:rPr>
                <w:sz w:val="20"/>
                <w:szCs w:val="20"/>
                <w:color w:val="auto"/>
              </w:rPr>
            </w:pPr>
          </w:p>
        </w:tc>
      </w:tr>
      <w:tr>
        <w:trPr>
          <w:trHeight w:val="230"/>
        </w:trPr>
        <w:tc>
          <w:tcPr>
            <w:tcW w:w="160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highlight w:val="lightGray"/>
              </w:rPr>
              <w:t>2025-2027 PSUs</w:t>
            </w:r>
            <w:r>
              <w:rPr>
                <w:rFonts w:ascii="Times New Roman" w:cs="Times New Roman" w:eastAsia="Times New Roman" w:hAnsi="Times New Roman"/>
                <w:sz w:val="25"/>
                <w:szCs w:val="25"/>
                <w:color w:val="auto"/>
                <w:highlight w:val="lightGray"/>
                <w:vertAlign w:val="superscript"/>
              </w:rPr>
              <w:t>(5)</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8"/>
              </w:rPr>
              <w:t>11/15/2025</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980" w:type="dxa"/>
            <w:vAlign w:val="bottom"/>
            <w:gridSpan w:val="2"/>
            <w:shd w:val="clear" w:color="auto" w:fill="D9D9D9"/>
          </w:tcPr>
          <w:p>
            <w:pPr>
              <w:jc w:val="right"/>
              <w:ind w:right="280"/>
              <w:spacing w:after="0"/>
              <w:rPr>
                <w:sz w:val="20"/>
                <w:szCs w:val="20"/>
                <w:color w:val="auto"/>
              </w:rPr>
            </w:pPr>
            <w:r>
              <w:rPr>
                <w:rFonts w:ascii="Times New Roman" w:cs="Times New Roman" w:eastAsia="Times New Roman" w:hAnsi="Times New Roman"/>
                <w:sz w:val="20"/>
                <w:szCs w:val="20"/>
                <w:color w:val="auto"/>
              </w:rPr>
              <w:t>29,225</w:t>
            </w: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22,796</w:t>
            </w:r>
          </w:p>
        </w:tc>
      </w:tr>
      <w:tr>
        <w:trPr>
          <w:trHeight w:val="229"/>
        </w:trPr>
        <w:tc>
          <w:tcPr>
            <w:tcW w:w="1600" w:type="dxa"/>
            <w:vAlign w:val="bottom"/>
            <w:shd w:val="clear" w:color="auto" w:fill="D9D9D9"/>
          </w:tcPr>
          <w:p>
            <w:pPr>
              <w:spacing w:after="0" w:line="229" w:lineRule="exact"/>
              <w:rPr>
                <w:sz w:val="20"/>
                <w:szCs w:val="20"/>
                <w:color w:val="auto"/>
              </w:rPr>
            </w:pPr>
            <w:r>
              <w:rPr>
                <w:rFonts w:ascii="Times New Roman" w:cs="Times New Roman" w:eastAsia="Times New Roman" w:hAnsi="Times New Roman"/>
                <w:sz w:val="20"/>
                <w:szCs w:val="20"/>
                <w:color w:val="auto"/>
              </w:rPr>
              <w:t>2024-2026 PSUs</w:t>
            </w:r>
            <w:r>
              <w:rPr>
                <w:rFonts w:ascii="Times New Roman" w:cs="Times New Roman" w:eastAsia="Times New Roman" w:hAnsi="Times New Roman"/>
                <w:sz w:val="25"/>
                <w:szCs w:val="25"/>
                <w:color w:val="auto"/>
                <w:vertAlign w:val="superscript"/>
              </w:rPr>
              <w:t>(6)</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04/03/2024</w:t>
            </w:r>
          </w:p>
        </w:tc>
        <w:tc>
          <w:tcPr>
            <w:tcW w:w="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19"/>
                <w:szCs w:val="19"/>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19"/>
                <w:szCs w:val="19"/>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19"/>
                <w:szCs w:val="19"/>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86,735</w:t>
            </w:r>
          </w:p>
        </w:tc>
        <w:tc>
          <w:tcPr>
            <w:tcW w:w="28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67,653</w:t>
            </w:r>
          </w:p>
        </w:tc>
      </w:tr>
      <w:tr>
        <w:trPr>
          <w:trHeight w:val="230"/>
        </w:trPr>
        <w:tc>
          <w:tcPr>
            <w:tcW w:w="160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RSUs</w:t>
            </w:r>
            <w:r>
              <w:rPr>
                <w:rFonts w:ascii="Times New Roman" w:cs="Times New Roman" w:eastAsia="Times New Roman" w:hAnsi="Times New Roman"/>
                <w:sz w:val="25"/>
                <w:szCs w:val="25"/>
                <w:color w:val="auto"/>
                <w:vertAlign w:val="superscript"/>
              </w:rPr>
              <w:t>(7)</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02/15/2023</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44,500</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34,710</w:t>
            </w:r>
          </w:p>
        </w:tc>
      </w:tr>
      <w:tr>
        <w:trPr>
          <w:trHeight w:val="230"/>
        </w:trPr>
        <w:tc>
          <w:tcPr>
            <w:tcW w:w="160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08/15/2023</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58,072</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45,296</w:t>
            </w:r>
          </w:p>
        </w:tc>
      </w:tr>
      <w:tr>
        <w:trPr>
          <w:trHeight w:val="229"/>
        </w:trPr>
        <w:tc>
          <w:tcPr>
            <w:tcW w:w="1600" w:type="dxa"/>
            <w:vAlign w:val="bottom"/>
            <w:shd w:val="clear" w:color="auto" w:fill="D9D9D9"/>
          </w:tcPr>
          <w:p>
            <w:pPr>
              <w:spacing w:after="0" w:line="229" w:lineRule="exact"/>
              <w:rPr>
                <w:sz w:val="20"/>
                <w:szCs w:val="20"/>
                <w:color w:val="auto"/>
              </w:rPr>
            </w:pPr>
            <w:r>
              <w:rPr>
                <w:rFonts w:ascii="Times New Roman" w:cs="Times New Roman" w:eastAsia="Times New Roman" w:hAnsi="Times New Roman"/>
                <w:sz w:val="20"/>
                <w:szCs w:val="20"/>
                <w:color w:val="auto"/>
              </w:rPr>
              <w:t>DSUs</w:t>
            </w:r>
            <w:r>
              <w:rPr>
                <w:rFonts w:ascii="Times New Roman" w:cs="Times New Roman" w:eastAsia="Times New Roman" w:hAnsi="Times New Roman"/>
                <w:sz w:val="25"/>
                <w:szCs w:val="25"/>
                <w:color w:val="auto"/>
                <w:vertAlign w:val="superscript"/>
              </w:rPr>
              <w:t>(8)</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11/15/2025</w:t>
            </w:r>
          </w:p>
        </w:tc>
        <w:tc>
          <w:tcPr>
            <w:tcW w:w="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19"/>
                <w:szCs w:val="19"/>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19"/>
                <w:szCs w:val="19"/>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19"/>
                <w:szCs w:val="19"/>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292,253</w:t>
            </w:r>
          </w:p>
        </w:tc>
        <w:tc>
          <w:tcPr>
            <w:tcW w:w="28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227,957</w:t>
            </w:r>
          </w:p>
        </w:tc>
      </w:tr>
      <w:tr>
        <w:trPr>
          <w:trHeight w:val="230"/>
        </w:trPr>
        <w:tc>
          <w:tcPr>
            <w:tcW w:w="160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04/03/2024</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rPr>
              <w:t>130,102</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101,480</w:t>
            </w:r>
          </w:p>
        </w:tc>
      </w:tr>
      <w:tr>
        <w:trPr>
          <w:trHeight w:val="230"/>
        </w:trPr>
        <w:tc>
          <w:tcPr>
            <w:tcW w:w="16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02/15/2023</w:t>
            </w:r>
          </w:p>
        </w:tc>
        <w:tc>
          <w:tcPr>
            <w:tcW w:w="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72,187</w:t>
            </w:r>
          </w:p>
        </w:tc>
        <w:tc>
          <w:tcPr>
            <w:tcW w:w="10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32,813</w:t>
            </w:r>
          </w:p>
        </w:tc>
        <w:tc>
          <w:tcPr>
            <w:tcW w:w="5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40" w:type="dxa"/>
            <w:vAlign w:val="bottom"/>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02/15/2033</w:t>
            </w:r>
          </w:p>
        </w:tc>
        <w:tc>
          <w:tcPr>
            <w:tcW w:w="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D9D9"/>
          </w:tcPr>
          <w:p>
            <w:pPr>
              <w:spacing w:after="0"/>
              <w:rPr>
                <w:sz w:val="20"/>
                <w:szCs w:val="20"/>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600" w:type="dxa"/>
            <w:vAlign w:val="bottom"/>
            <w:shd w:val="clear" w:color="auto" w:fill="D9D9D9"/>
          </w:tcPr>
          <w:p>
            <w:pPr>
              <w:spacing w:after="0"/>
              <w:rPr>
                <w:sz w:val="19"/>
                <w:szCs w:val="19"/>
                <w:color w:val="auto"/>
              </w:rPr>
            </w:pP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8"/>
              </w:rPr>
              <w:t>08/15/2023</w:t>
            </w:r>
          </w:p>
        </w:tc>
        <w:tc>
          <w:tcPr>
            <w:tcW w:w="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76,219</w:t>
            </w:r>
          </w:p>
        </w:tc>
        <w:tc>
          <w:tcPr>
            <w:tcW w:w="100" w:type="dxa"/>
            <w:vAlign w:val="bottom"/>
            <w:shd w:val="clear" w:color="auto" w:fill="D9D9D9"/>
          </w:tcPr>
          <w:p>
            <w:pPr>
              <w:spacing w:after="0"/>
              <w:rPr>
                <w:sz w:val="19"/>
                <w:szCs w:val="19"/>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59,282</w:t>
            </w:r>
          </w:p>
        </w:tc>
        <w:tc>
          <w:tcPr>
            <w:tcW w:w="5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40" w:type="dxa"/>
            <w:vAlign w:val="bottom"/>
            <w:shd w:val="clear" w:color="auto" w:fill="D9D9D9"/>
          </w:tcPr>
          <w:p>
            <w:pPr>
              <w:spacing w:after="0"/>
              <w:rPr>
                <w:sz w:val="19"/>
                <w:szCs w:val="19"/>
                <w:color w:val="auto"/>
              </w:rPr>
            </w:pPr>
          </w:p>
        </w:tc>
        <w:tc>
          <w:tcPr>
            <w:tcW w:w="10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08/15/2033</w:t>
            </w:r>
          </w:p>
        </w:tc>
        <w:tc>
          <w:tcPr>
            <w:tcW w:w="40" w:type="dxa"/>
            <w:vAlign w:val="bottom"/>
            <w:shd w:val="clear" w:color="auto" w:fill="D9D9D9"/>
          </w:tcPr>
          <w:p>
            <w:pPr>
              <w:spacing w:after="0"/>
              <w:rPr>
                <w:sz w:val="19"/>
                <w:szCs w:val="19"/>
                <w:color w:val="auto"/>
              </w:rPr>
            </w:pPr>
          </w:p>
        </w:tc>
        <w:tc>
          <w:tcPr>
            <w:tcW w:w="7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1600835</wp:posOffset>
                </wp:positionH>
                <wp:positionV relativeFrom="paragraph">
                  <wp:posOffset>-4399280</wp:posOffset>
                </wp:positionV>
                <wp:extent cx="31750" cy="1905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19050"/>
                        </a:xfrm>
                        <a:prstGeom prst="rect">
                          <a:avLst/>
                        </a:prstGeom>
                        <a:solidFill>
                          <a:srgbClr val="D9D9D9"/>
                        </a:solidFill>
                      </wps:spPr>
                      <wps:bodyPr/>
                    </wps:wsp>
                  </a:graphicData>
                </a:graphic>
              </wp:anchor>
            </w:drawing>
          </mc:Choice>
          <mc:Fallback>
            <w:pict>
              <v:rect id="Shape 72" o:spid="_x0000_s1097" style="position:absolute;margin-left:126.05pt;margin-top:-346.3999pt;width: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3998595</wp:posOffset>
                </wp:positionH>
                <wp:positionV relativeFrom="paragraph">
                  <wp:posOffset>-4399280</wp:posOffset>
                </wp:positionV>
                <wp:extent cx="33020" cy="1905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9050"/>
                        </a:xfrm>
                        <a:prstGeom prst="rect">
                          <a:avLst/>
                        </a:prstGeom>
                        <a:solidFill>
                          <a:srgbClr val="D9D9D9"/>
                        </a:solidFill>
                      </wps:spPr>
                      <wps:bodyPr/>
                    </wps:wsp>
                  </a:graphicData>
                </a:graphic>
              </wp:anchor>
            </w:drawing>
          </mc:Choice>
          <mc:Fallback>
            <w:pict>
              <v:rect id="Shape 73" o:spid="_x0000_s1098" style="position:absolute;margin-left:314.85pt;margin-top:-346.3999pt;width:2.6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4645025</wp:posOffset>
                </wp:positionH>
                <wp:positionV relativeFrom="paragraph">
                  <wp:posOffset>-4399280</wp:posOffset>
                </wp:positionV>
                <wp:extent cx="31750" cy="1905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19050"/>
                        </a:xfrm>
                        <a:prstGeom prst="rect">
                          <a:avLst/>
                        </a:prstGeom>
                        <a:solidFill>
                          <a:srgbClr val="D9D9D9"/>
                        </a:solidFill>
                      </wps:spPr>
                      <wps:bodyPr/>
                    </wps:wsp>
                  </a:graphicData>
                </a:graphic>
              </wp:anchor>
            </w:drawing>
          </mc:Choice>
          <mc:Fallback>
            <w:pict>
              <v:rect id="Shape 74" o:spid="_x0000_s1099" style="position:absolute;margin-left:365.75pt;margin-top:-346.3999pt;width: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-4399280</wp:posOffset>
                </wp:positionV>
                <wp:extent cx="33020" cy="1905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9050"/>
                        </a:xfrm>
                        <a:prstGeom prst="rect">
                          <a:avLst/>
                        </a:prstGeom>
                        <a:solidFill>
                          <a:srgbClr val="D9D9D9"/>
                        </a:solidFill>
                      </wps:spPr>
                      <wps:bodyPr/>
                    </wps:wsp>
                  </a:graphicData>
                </a:graphic>
              </wp:anchor>
            </w:drawing>
          </mc:Choice>
          <mc:Fallback>
            <w:pict>
              <v:rect id="Shape 75" o:spid="_x0000_s1100" style="position:absolute;margin-left:369.75pt;margin-top:-346.3999pt;width:2.6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4702810</wp:posOffset>
                </wp:positionH>
                <wp:positionV relativeFrom="paragraph">
                  <wp:posOffset>-2189480</wp:posOffset>
                </wp:positionV>
                <wp:extent cx="0" cy="87503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5030"/>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3pt,-172.3999pt" to="370.3pt,-103.4999pt" o:allowincell="f" strokecolor="#FFFFFF" strokeweight="2.5199pt"/>
            </w:pict>
          </mc:Fallback>
        </mc:AlternateContent>
      </w:r>
    </w:p>
    <w:p>
      <w:pPr>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21" w:lineRule="exact"/>
        <w:rPr>
          <w:sz w:val="20"/>
          <w:szCs w:val="20"/>
          <w:color w:val="auto"/>
        </w:rPr>
      </w:pPr>
    </w:p>
    <w:p>
      <w:pPr>
        <w:jc w:val="both"/>
        <w:ind w:left="720" w:hanging="720"/>
        <w:spacing w:after="0" w:line="247" w:lineRule="auto"/>
        <w:tabs>
          <w:tab w:leader="none" w:pos="72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stock options vest over a four-year period, with 25% of the underlying shares vesting on the one-year anniversary of the grant date and the remaining 75% of such shares over the three-year period thereafter in 12 as nearly equal as possible quarterly installments. Options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360"/>
          </w:cols>
          <w:pgMar w:left="1440" w:top="1420" w:right="1440" w:bottom="175" w:gutter="0" w:footer="0" w:header="0"/>
          <w:type w:val="continuous"/>
        </w:sectPr>
      </w:pPr>
    </w:p>
    <w:bookmarkStart w:id="110" w:name="page111"/>
    <w:bookmarkEnd w:id="110"/>
    <w:p>
      <w:pPr>
        <w:ind w:left="721" w:hanging="720"/>
        <w:spacing w:after="0" w:line="278" w:lineRule="auto"/>
        <w:tabs>
          <w:tab w:leader="none" w:pos="7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options awards have a 10-year term but may terminate earlier if the recipient’s employment or service relationship with the Company terminates.</w:t>
      </w:r>
    </w:p>
    <w:p>
      <w:pPr>
        <w:spacing w:after="0" w:line="166" w:lineRule="exact"/>
        <w:rPr>
          <w:rFonts w:ascii="Times New Roman" w:cs="Times New Roman" w:eastAsia="Times New Roman" w:hAnsi="Times New Roman"/>
          <w:sz w:val="20"/>
          <w:szCs w:val="20"/>
          <w:color w:val="auto"/>
        </w:rPr>
      </w:pPr>
    </w:p>
    <w:p>
      <w:pPr>
        <w:jc w:val="both"/>
        <w:ind w:left="721" w:hanging="720"/>
        <w:spacing w:after="0" w:line="249" w:lineRule="auto"/>
        <w:tabs>
          <w:tab w:leader="none" w:pos="7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SEC rules, the number of PSUs shown represents the number of units that may be earned as of December 31, 2025 based on threshold performance. The SEC rules require that the threshold number of units be disclosed because the number of units that would have been earned based on actual results under the performance conditions for the respective performance periods was below the threshold level of performance under the program as of December 31, 2025.</w:t>
      </w:r>
    </w:p>
    <w:p>
      <w:pPr>
        <w:spacing w:after="0" w:line="196" w:lineRule="exact"/>
        <w:rPr>
          <w:rFonts w:ascii="Times New Roman" w:cs="Times New Roman" w:eastAsia="Times New Roman" w:hAnsi="Times New Roman"/>
          <w:sz w:val="20"/>
          <w:szCs w:val="20"/>
          <w:color w:val="auto"/>
        </w:rPr>
      </w:pPr>
    </w:p>
    <w:p>
      <w:pPr>
        <w:ind w:left="721" w:hanging="720"/>
        <w:spacing w:after="0" w:line="278" w:lineRule="auto"/>
        <w:tabs>
          <w:tab w:leader="none" w:pos="7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closing price of our common stock on December 31, 2025 ($0.78), as reported by the NYSE American.</w:t>
      </w:r>
    </w:p>
    <w:p>
      <w:pPr>
        <w:spacing w:after="0" w:line="168" w:lineRule="exact"/>
        <w:rPr>
          <w:rFonts w:ascii="Times New Roman" w:cs="Times New Roman" w:eastAsia="Times New Roman" w:hAnsi="Times New Roman"/>
          <w:sz w:val="20"/>
          <w:szCs w:val="20"/>
          <w:color w:val="auto"/>
        </w:rPr>
      </w:pPr>
    </w:p>
    <w:p>
      <w:pPr>
        <w:jc w:val="both"/>
        <w:ind w:left="721" w:hanging="720"/>
        <w:spacing w:after="0" w:line="247" w:lineRule="auto"/>
        <w:tabs>
          <w:tab w:leader="none" w:pos="7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2025-2027 PSU awards will vest, if at all, solely based on our stock price performance established for the three-year performance period, which will end on December 31, 2027. In addition, the PSU awards will vest earlier upon certain terminations of employment and upon a change in control if the award is not continued, assumed, or substituted with equivalent awards by the successor entity. Amounts reported represent the number of PSU awards that were in progress based on threshold levels of performance through December 31, 2027.</w:t>
      </w:r>
    </w:p>
    <w:p>
      <w:pPr>
        <w:spacing w:after="0" w:line="198" w:lineRule="exact"/>
        <w:rPr>
          <w:rFonts w:ascii="Times New Roman" w:cs="Times New Roman" w:eastAsia="Times New Roman" w:hAnsi="Times New Roman"/>
          <w:sz w:val="20"/>
          <w:szCs w:val="20"/>
          <w:color w:val="auto"/>
        </w:rPr>
      </w:pPr>
    </w:p>
    <w:p>
      <w:pPr>
        <w:jc w:val="both"/>
        <w:ind w:left="721" w:hanging="720"/>
        <w:spacing w:after="0" w:line="247" w:lineRule="auto"/>
        <w:tabs>
          <w:tab w:leader="none" w:pos="7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2024-2026 PSU awards will vest, if at all, solely based on the achievement of relative total stockholder return performance goals established for the three-year performance period, which will end on December 31, 2026. In addition, the PSU awards will vest earlier upon certain terminations of employment and upon a change in control if the award is not continued, assumed, or substituted with equivalent awards by the successor entity. Amounts reported represent the number of PSU awards that were in progress based on threshold levels of performance through December 31, 2026.</w:t>
      </w:r>
    </w:p>
    <w:p>
      <w:pPr>
        <w:spacing w:after="0" w:line="200" w:lineRule="exact"/>
        <w:rPr>
          <w:rFonts w:ascii="Times New Roman" w:cs="Times New Roman" w:eastAsia="Times New Roman" w:hAnsi="Times New Roman"/>
          <w:sz w:val="20"/>
          <w:szCs w:val="20"/>
          <w:color w:val="auto"/>
        </w:rPr>
      </w:pPr>
    </w:p>
    <w:p>
      <w:pPr>
        <w:jc w:val="both"/>
        <w:ind w:left="721" w:hanging="721"/>
        <w:spacing w:after="0" w:line="249" w:lineRule="auto"/>
        <w:tabs>
          <w:tab w:leader="none" w:pos="7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RSU awards vest in nearly equal installments annually over a four-year period beginning on the one-year anniversary of the grant date. RSU awards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97" w:lineRule="exact"/>
        <w:rPr>
          <w:rFonts w:ascii="Times New Roman" w:cs="Times New Roman" w:eastAsia="Times New Roman" w:hAnsi="Times New Roman"/>
          <w:sz w:val="20"/>
          <w:szCs w:val="20"/>
          <w:color w:val="auto"/>
        </w:rPr>
      </w:pPr>
    </w:p>
    <w:p>
      <w:pPr>
        <w:jc w:val="both"/>
        <w:ind w:left="721" w:hanging="721"/>
        <w:spacing w:after="0" w:line="249" w:lineRule="auto"/>
        <w:tabs>
          <w:tab w:leader="none" w:pos="7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DSU awards vest in nearly equal installments annually over a four-year period beginning on the one-year anniversary of the grant date. DSU awards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Xtant Medical Holdings, Inc. 2023 Equity Incentive Plan</w:t>
      </w:r>
    </w:p>
    <w:p>
      <w:pPr>
        <w:spacing w:after="0" w:line="239" w:lineRule="exact"/>
        <w:rPr>
          <w:sz w:val="20"/>
          <w:szCs w:val="20"/>
          <w:color w:val="auto"/>
        </w:rPr>
      </w:pPr>
    </w:p>
    <w:p>
      <w:pPr>
        <w:jc w:val="both"/>
        <w:ind w:left="1" w:firstLine="720"/>
        <w:spacing w:after="0" w:line="246" w:lineRule="auto"/>
        <w:rPr>
          <w:sz w:val="20"/>
          <w:szCs w:val="20"/>
          <w:color w:val="auto"/>
        </w:rPr>
      </w:pPr>
      <w:r>
        <w:rPr>
          <w:rFonts w:ascii="Times New Roman" w:cs="Times New Roman" w:eastAsia="Times New Roman" w:hAnsi="Times New Roman"/>
          <w:sz w:val="20"/>
          <w:szCs w:val="20"/>
          <w:color w:val="auto"/>
        </w:rPr>
        <w:t>In 2023, the Board and the Company’s stockholders approved and adopted the 2023 Plan and in 2025, the Board and the Company’s stockholders approved and adopted an amendment to the 2023 Plan to increase the number of shares available for issuance by an additional 12,300,000 shares. The purpose of the 2023 Plan is to advance the interests of the Company and our stockholders by enabling us to attract and retain qualified individuals to perform services, provide incentive compensation for such individuals in a form that is linked to the growth and profitability of our company and increases in stockholder value, and provide opportunities for equity participation that align the interests of participants with those of our stockholders.</w:t>
      </w:r>
    </w:p>
    <w:p>
      <w:pPr>
        <w:spacing w:after="0" w:line="201" w:lineRule="exact"/>
        <w:rPr>
          <w:sz w:val="20"/>
          <w:szCs w:val="20"/>
          <w:color w:val="auto"/>
        </w:rPr>
      </w:pPr>
    </w:p>
    <w:p>
      <w:pPr>
        <w:jc w:val="both"/>
        <w:ind w:left="1" w:firstLine="720"/>
        <w:spacing w:after="0" w:line="278" w:lineRule="auto"/>
        <w:rPr>
          <w:sz w:val="20"/>
          <w:szCs w:val="20"/>
          <w:color w:val="auto"/>
        </w:rPr>
      </w:pPr>
      <w:r>
        <w:rPr>
          <w:rFonts w:ascii="Times New Roman" w:cs="Times New Roman" w:eastAsia="Times New Roman" w:hAnsi="Times New Roman"/>
          <w:sz w:val="20"/>
          <w:szCs w:val="20"/>
          <w:color w:val="auto"/>
        </w:rPr>
        <w:t>The 2023 Plan replaced the 2018 Plan. However, the terms of the 2018 Plan continue to govern awards outstanding under the 2018 Plan until exercised, expired, paid, or otherwise terminated or canceled.</w:t>
      </w:r>
    </w:p>
    <w:p>
      <w:pPr>
        <w:spacing w:after="0" w:line="167" w:lineRule="exact"/>
        <w:rPr>
          <w:sz w:val="20"/>
          <w:szCs w:val="20"/>
          <w:color w:val="auto"/>
        </w:rPr>
      </w:pPr>
    </w:p>
    <w:p>
      <w:pPr>
        <w:jc w:val="both"/>
        <w:ind w:left="1" w:firstLine="720"/>
        <w:spacing w:after="0" w:line="270" w:lineRule="auto"/>
        <w:rPr>
          <w:sz w:val="20"/>
          <w:szCs w:val="20"/>
          <w:color w:val="auto"/>
        </w:rPr>
      </w:pPr>
      <w:r>
        <w:rPr>
          <w:rFonts w:ascii="Times New Roman" w:cs="Times New Roman" w:eastAsia="Times New Roman" w:hAnsi="Times New Roman"/>
          <w:sz w:val="19"/>
          <w:szCs w:val="19"/>
          <w:color w:val="auto"/>
        </w:rPr>
        <w:t>The 2023 Plan permits the Board, or a committee or subcommittee thereof, to grant to eligible employees, non-employee directors, and consultants of the Company non-statutory and incentive stock options, stock appreciation rights, restricted stock awards, RSUs, DSUs, performance awards (including PSUs), non-employee director awards, and other stock-based awards. Subject to adjustment, the maximum number of shares of our common stock authorized</w:t>
      </w:r>
    </w:p>
    <w:p>
      <w:pPr>
        <w:sectPr>
          <w:pgSz w:w="12240" w:h="15840" w:orient="portrait"/>
          <w:cols w:equalWidth="0" w:num="1">
            <w:col w:w="9361"/>
          </w:cols>
          <w:pgMar w:left="1439"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361"/>
          </w:cols>
          <w:pgMar w:left="1439" w:top="1420" w:right="1440" w:bottom="175" w:gutter="0" w:footer="0" w:header="0"/>
          <w:type w:val="continuous"/>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20"/>
          <w:szCs w:val="20"/>
          <w:color w:val="auto"/>
        </w:rPr>
        <w:t>for issuance under the 2023 Plan is 32,101,902 shares. To date, we have granted stock options, RSUs, DSUs, and PSUs under the 2023 Plan. As of December 31, 2025, 12,966,721 shares of our common stock remained available for issuance under the 2023 Plan.</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Policies and Practices Related to the Grant of Certain Equity Awards Close to Time to the Release of Material Nonpublic Information</w:t>
      </w:r>
    </w:p>
    <w:p>
      <w:pPr>
        <w:spacing w:after="0" w:line="167" w:lineRule="exact"/>
        <w:rPr>
          <w:sz w:val="20"/>
          <w:szCs w:val="20"/>
          <w:color w:val="auto"/>
        </w:rPr>
      </w:pPr>
    </w:p>
    <w:p>
      <w:pPr>
        <w:jc w:val="both"/>
        <w:ind w:firstLine="721"/>
        <w:spacing w:after="0" w:line="237" w:lineRule="auto"/>
        <w:rPr>
          <w:sz w:val="20"/>
          <w:szCs w:val="20"/>
          <w:color w:val="auto"/>
        </w:rPr>
      </w:pPr>
      <w:r>
        <w:rPr>
          <w:rFonts w:ascii="Times New Roman" w:cs="Times New Roman" w:eastAsia="Times New Roman" w:hAnsi="Times New Roman"/>
          <w:sz w:val="20"/>
          <w:szCs w:val="20"/>
          <w:color w:val="auto"/>
        </w:rPr>
        <w:t>During 2025, we did not grant any stock options or similar awards as part of our equity compensation program. Our 2025 equity compensation program consisted of a mix of 50% DSU or RSU awards and 50% PSU awards for our executives and certain other employees, 100% RSU awards for our other employees, and 100% DSU or RSU awards for our non-employee directors. With respect to the timing equity awards, we typically grant all equity awards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month following corporate approval of the awards. If we decide to grant stock options or similar awards in the future, we intend not to grant them in anticipation of the release of material nonpublic information that is likely to result in changes to the price of our common stock, such as a significant positive or negative earnings announcement, and not time the public release of such information based on stock option grant dates.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Payments upon Termination or Change in Control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Employment Agreements</w:t>
      </w:r>
    </w:p>
    <w:p>
      <w:pPr>
        <w:spacing w:after="0" w:line="23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The employment agreements with our executive officers contain severance provisions, including in connection with a change in control. The receipt of any severance by the executive officers is conditioned upon the execution of a release of claims. Under the terms of the employment agreements we have entered into with our named executive officers, if the executive’s employment is terminated by us without “cause” (as defined in the agreement), the executive will be entitled to receive a severance payment equal to 12 months of his annual base salary, payable as salary continuation, reimbursement of COBRA payments for up to 12 months, and the prorated amount of any unpaid bonus for the calendar year in which his termination of employment occurs, if earned pursuant to the terms thereof.</w:t>
      </w:r>
    </w:p>
    <w:p>
      <w:pPr>
        <w:spacing w:after="0" w:line="18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Under the terms of our amended employment agreement with Mr. Browne, if his employment is terminated by us without “cause” or by him for “good reason” in connection with or within 12 months after a “change in control” (as such terms are defined in the agreement), he will be entitled to receive (i) a lump-sum severance payment equal to 1.5 times the sum of his base salary plus his annual target bonus; and (ii) if timely elected, payment of COBRA continuation coverage premiums for up to 18 months. Under the terms of our employment agreements with our other named executive officers, if the executive’s employment is terminated by us without “cause” or by the executive for “good reason” in connection with or within 12 months after a “change in control” (as such terms are defined in the agreement), the executive’s severance payment, as previously described, will be paid in one lump sum.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Award Agreements</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All equity awards held by our named executive officers have been granted under 2018 Plan or the 2023 Plan. Under the terms of the 2018 Plan and the 2023 Plan and the award agreements governing these awards, if an executive’s employment or other service with us is terminated for cause, then all outstanding awards held by such executive will be terminated and forfeited. In the event an executive’s employment or other service with us is terminated by reason of death, then:</w:t>
      </w:r>
    </w:p>
    <w:p>
      <w:pPr>
        <w:spacing w:after="0" w:line="212" w:lineRule="exact"/>
        <w:rPr>
          <w:sz w:val="20"/>
          <w:szCs w:val="20"/>
          <w:color w:val="auto"/>
        </w:rPr>
      </w:pPr>
    </w:p>
    <w:p>
      <w:pPr>
        <w:jc w:val="both"/>
        <w:ind w:left="1080" w:hanging="360"/>
        <w:spacing w:after="0" w:line="252"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stock options will vest and become exercisable immediately as to a pro rata percentage of the unvested portion of the option scheduled to vest on the next applicable vesting date, and the vested portion of the options will remain exercisable for a period of one year after the date of such termination (but in no event after the expiration date).</w:t>
      </w:r>
    </w:p>
    <w:p>
      <w:pPr>
        <w:spacing w:after="0" w:line="86" w:lineRule="exact"/>
        <w:rPr>
          <w:rFonts w:ascii="Arial" w:cs="Arial" w:eastAsia="Arial" w:hAnsi="Arial"/>
          <w:sz w:val="20"/>
          <w:szCs w:val="20"/>
          <w:color w:val="auto"/>
        </w:rPr>
      </w:pPr>
    </w:p>
    <w:p>
      <w:pPr>
        <w:jc w:val="both"/>
        <w:ind w:left="1080" w:hanging="360"/>
        <w:spacing w:after="0" w:line="259"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The outstanding unvested RSU awards will vest and become immediately issuable as to a pro rata percentage of the unvested portion of the RSU awards scheduled to vest on the next applicable vesting date and the unvested portion of the RSU awards will terminate.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1420" w:right="1440" w:bottom="175" w:gutter="0" w:footer="0" w:header="0"/>
          <w:type w:val="continuous"/>
        </w:sectPr>
      </w:pPr>
    </w:p>
    <w:bookmarkStart w:id="112" w:name="page113"/>
    <w:bookmarkEnd w:id="112"/>
    <w:p>
      <w:pPr>
        <w:ind w:left="1080" w:hanging="360"/>
        <w:spacing w:after="0" w:line="277" w:lineRule="auto"/>
        <w:tabs>
          <w:tab w:leader="none" w:pos="108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 pro rata percentage of the outstanding unvested DSU awards scheduled to vest on the next applicable vesting date will become immediately vested and settled in shares of common stock.</w:t>
      </w:r>
    </w:p>
    <w:p>
      <w:pPr>
        <w:spacing w:after="0" w:line="62" w:lineRule="exact"/>
        <w:rPr>
          <w:rFonts w:ascii="Arial" w:cs="Arial" w:eastAsia="Arial" w:hAnsi="Arial"/>
          <w:sz w:val="20"/>
          <w:szCs w:val="20"/>
          <w:color w:val="auto"/>
        </w:rPr>
      </w:pPr>
    </w:p>
    <w:p>
      <w:pPr>
        <w:jc w:val="both"/>
        <w:ind w:left="1080" w:hanging="360"/>
        <w:spacing w:after="0" w:line="247" w:lineRule="auto"/>
        <w:tabs>
          <w:tab w:leader="none" w:pos="108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If the executive dies within one year of the grant date, the outstanding unvested PSU awards will terminate, and if the executive dies one year or more after the grant date, the PSU awards will become immediately vested with respect to that number of underlying shares of common stock subject to the PSU awards the rights to which would have vested based on the assumption that the performance goal was satisfied at the target level, prorated for the number of full months of the executive’s employment, and such vested PSU awards will be settled in shares of common stock.</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the event an executive’s employment or other service with us is terminated by reason of disability, then:</w:t>
      </w:r>
    </w:p>
    <w:p>
      <w:pPr>
        <w:spacing w:after="0" w:line="254" w:lineRule="exact"/>
        <w:rPr>
          <w:sz w:val="20"/>
          <w:szCs w:val="20"/>
          <w:color w:val="auto"/>
        </w:rPr>
      </w:pPr>
    </w:p>
    <w:p>
      <w:pPr>
        <w:ind w:left="1080" w:hanging="360"/>
        <w:spacing w:after="0" w:line="277" w:lineRule="auto"/>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stock options will remain exercisable to the extent exercisable on the termination date for a period of one year after the date of such termination (but in no event after the expiration date).</w:t>
      </w:r>
    </w:p>
    <w:p>
      <w:pPr>
        <w:spacing w:after="0" w:line="63" w:lineRule="exact"/>
        <w:rPr>
          <w:rFonts w:ascii="Arial" w:cs="Arial" w:eastAsia="Arial" w:hAnsi="Arial"/>
          <w:sz w:val="20"/>
          <w:szCs w:val="20"/>
          <w:color w:val="auto"/>
        </w:rPr>
      </w:pPr>
    </w:p>
    <w:p>
      <w:pPr>
        <w:ind w:left="1080" w:hanging="360"/>
        <w:spacing w:after="0"/>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unvested RSU awards will terminate.</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unvested DSU awards will terminate.</w:t>
      </w:r>
    </w:p>
    <w:p>
      <w:pPr>
        <w:spacing w:after="0" w:line="132" w:lineRule="exact"/>
        <w:rPr>
          <w:rFonts w:ascii="Arial" w:cs="Arial" w:eastAsia="Arial" w:hAnsi="Arial"/>
          <w:sz w:val="20"/>
          <w:szCs w:val="20"/>
          <w:color w:val="auto"/>
        </w:rPr>
      </w:pPr>
    </w:p>
    <w:p>
      <w:pPr>
        <w:jc w:val="both"/>
        <w:ind w:left="1080" w:hanging="360"/>
        <w:spacing w:after="0" w:line="246" w:lineRule="auto"/>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If the executive’s employment terminates by reason of disability within one year of the grant date, the outstanding unvested PSU awards will terminate, and if the executive’s employment terminates by reason of disability one year or more after the grant date, the PSU awards will become immediately vested with respect to that number of underlying shares of common stock subject to the PSU awards the rights to which would have vested based on the assumption that the performance goal was satisfied at the target level, prorated for the number of full months of the executive’s employment, and such vested PSU awards will be settled in shares of common stock.</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the event an executive’s employment or other service with us is terminated for any other reason, then:</w:t>
      </w:r>
    </w:p>
    <w:p>
      <w:pPr>
        <w:spacing w:after="0" w:line="254" w:lineRule="exact"/>
        <w:rPr>
          <w:sz w:val="20"/>
          <w:szCs w:val="20"/>
          <w:color w:val="auto"/>
        </w:rPr>
      </w:pPr>
    </w:p>
    <w:p>
      <w:pPr>
        <w:ind w:left="1080" w:hanging="361"/>
        <w:spacing w:after="0" w:line="277" w:lineRule="auto"/>
        <w:tabs>
          <w:tab w:leader="none" w:pos="10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stock options will remain exercisable to the extent exercisable on the termination date for a period of 90 days after the date of such termination (but in no event after the expiration date).</w:t>
      </w:r>
    </w:p>
    <w:p>
      <w:pPr>
        <w:spacing w:after="0" w:line="63" w:lineRule="exact"/>
        <w:rPr>
          <w:rFonts w:ascii="Arial" w:cs="Arial" w:eastAsia="Arial" w:hAnsi="Arial"/>
          <w:sz w:val="20"/>
          <w:szCs w:val="20"/>
          <w:color w:val="auto"/>
        </w:rPr>
      </w:pPr>
    </w:p>
    <w:p>
      <w:pPr>
        <w:ind w:left="1080" w:hanging="361"/>
        <w:spacing w:after="0"/>
        <w:tabs>
          <w:tab w:leader="none" w:pos="10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unvested RSU awards will terminate.</w:t>
      </w:r>
    </w:p>
    <w:p>
      <w:pPr>
        <w:spacing w:after="0" w:line="132" w:lineRule="exact"/>
        <w:rPr>
          <w:rFonts w:ascii="Arial" w:cs="Arial" w:eastAsia="Arial" w:hAnsi="Arial"/>
          <w:sz w:val="20"/>
          <w:szCs w:val="20"/>
          <w:color w:val="auto"/>
        </w:rPr>
      </w:pPr>
    </w:p>
    <w:p>
      <w:pPr>
        <w:ind w:left="1080" w:hanging="361"/>
        <w:spacing w:after="0"/>
        <w:tabs>
          <w:tab w:leader="none" w:pos="10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unvested DSU awards will terminate.</w:t>
      </w:r>
    </w:p>
    <w:p>
      <w:pPr>
        <w:spacing w:after="0" w:line="133" w:lineRule="exact"/>
        <w:rPr>
          <w:rFonts w:ascii="Arial" w:cs="Arial" w:eastAsia="Arial" w:hAnsi="Arial"/>
          <w:sz w:val="20"/>
          <w:szCs w:val="20"/>
          <w:color w:val="auto"/>
        </w:rPr>
      </w:pPr>
    </w:p>
    <w:p>
      <w:pPr>
        <w:ind w:left="1080" w:hanging="361"/>
        <w:spacing w:after="0"/>
        <w:tabs>
          <w:tab w:leader="none" w:pos="10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All outstanding unvested PSU awards will terminate.</w:t>
      </w:r>
    </w:p>
    <w:p>
      <w:pPr>
        <w:spacing w:after="0" w:line="238"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In addition, the equity award agreements governing the equity awards held by our named executive officers contain “change in control” provisions. Under the award agreements, without limiting the authority of the Compensation Committee to adjust awards, if a “change in control” of the Company (as defined in the 2018 Plan and the 2023 Plan) occurs, then, unless otherwise provided in the award or other agreement, if an award is continued, assumed, or substituted by the successor entity, the award will not vest or lapse solely as a result of the change in control but will instead remain outstanding under the terms pursuant to which it has been continued, assumed, or substituted and will continue to vest or lapse pursuant to such terms. If the award is continued, assumed, or substituted by the successor entity and within one year following the change in control, the executive is either terminated by the successor entity without “cause” or, if the executive resigns for “good reason,” each as defined in the award agreement, then the outstanding option will vest and become immediately exercisable as of the termination or resignation and will remain exercisable until the earlier of the expiration of its full specified term or the first anniversary of the date of such termination or resignation, and the outstanding RSU, DSU, or PSU award will be fully vested and will be converted into shares of our common stock immediately thereafter. If an award is not continued, assumed, or substituted by the successor entity, then the outstanding option will be fully vested and exercisable, and the Compensation Committee will either give the executive a reasonable opportunity to exercise the option prior to the change in control transaction or will pay the difference between the exercise price of the option and the per share consideration paid to similarly situated stockholders. Under these conditions, the outstanding RSU or DUS or award will be fully vested and will be converted into shares of our common stock immediately thereafter and the PSU awards will become earned and paid out based on the transaction value as provided in the change in control transaction or as provided in the agreement.</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360"/>
          </w:cols>
          <w:pgMar w:left="1440" w:top="1435" w:right="1440" w:bottom="175"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Program</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director cash compensation consists of an annual cash retainer paid to each non-employee director and an additional annual cash retainer paid to the Chairman of the Board, Chair of each of our Board Committees and Board Committee members, and annual equity grants.</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table below sets forth the annual cash retainers for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20" w:type="dxa"/>
            <w:vAlign w:val="bottom"/>
            <w:tcBorders>
              <w:bottom w:val="single" w:sz="8" w:color="auto"/>
            </w:tcBorders>
          </w:tcPr>
          <w:p>
            <w:pPr>
              <w:ind w:left="3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9"/>
              </w:rPr>
              <w:t>Annual Cash Retainer</w:t>
            </w:r>
          </w:p>
        </w:tc>
      </w:tr>
      <w:tr>
        <w:trPr>
          <w:trHeight w:val="230"/>
        </w:trPr>
        <w:tc>
          <w:tcPr>
            <w:tcW w:w="71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Non-Employee Director (other than Board Chairman)</w:t>
            </w:r>
          </w:p>
        </w:tc>
        <w:tc>
          <w:tcPr>
            <w:tcW w:w="180" w:type="dxa"/>
            <w:vAlign w:val="bottom"/>
            <w:shd w:val="clear" w:color="auto" w:fill="D9D9D9"/>
          </w:tcPr>
          <w:p>
            <w:pPr>
              <w:spacing w:after="0"/>
              <w:rPr>
                <w:sz w:val="20"/>
                <w:szCs w:val="20"/>
                <w:color w:val="auto"/>
              </w:rPr>
            </w:pPr>
          </w:p>
        </w:tc>
        <w:tc>
          <w:tcPr>
            <w:tcW w:w="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55,000</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Board Chairman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110,000</w:t>
            </w:r>
          </w:p>
        </w:tc>
      </w:tr>
      <w:tr>
        <w:trPr>
          <w:trHeight w:val="229"/>
        </w:trPr>
        <w:tc>
          <w:tcPr>
            <w:tcW w:w="71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Audit Committee Chair</w:t>
            </w:r>
          </w:p>
        </w:tc>
        <w:tc>
          <w:tcPr>
            <w:tcW w:w="1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22,500</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 Member (other than Chair)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11,250</w:t>
            </w:r>
          </w:p>
        </w:tc>
      </w:tr>
      <w:tr>
        <w:trPr>
          <w:trHeight w:val="230"/>
        </w:trPr>
        <w:tc>
          <w:tcPr>
            <w:tcW w:w="71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Compensation Committee Chair</w:t>
            </w:r>
          </w:p>
        </w:tc>
        <w:tc>
          <w:tcPr>
            <w:tcW w:w="18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16,250</w:t>
            </w:r>
          </w:p>
        </w:tc>
      </w:tr>
      <w:tr>
        <w:trPr>
          <w:trHeight w:val="229"/>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 Member (other than Chair)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8,125</w:t>
            </w:r>
          </w:p>
        </w:tc>
      </w:tr>
      <w:tr>
        <w:trPr>
          <w:trHeight w:val="230"/>
        </w:trPr>
        <w:tc>
          <w:tcPr>
            <w:tcW w:w="712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Nominating and Corporate Governance Committee Chair</w:t>
            </w:r>
          </w:p>
        </w:tc>
        <w:tc>
          <w:tcPr>
            <w:tcW w:w="18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67"/>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Nominating and Corporate Governance Committee Member (other than Chair)</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r>
    </w:tbl>
    <w:p>
      <w:pPr>
        <w:spacing w:after="0" w:line="183"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 addition to annual cash retainers, our non-employee director compensation program provides for annual equity grants. In 2025, annual RSU or DSU awards were granted to all of our non-employee directors, with an additional award granted to Mr. Vizirgianakis in consideration of his Chairman of the Board role and to recognize the significant time and effort he dedicated to Board matters during 2025. Because we use a 30-day volume weighted average price of our common stock to determine the number of RSUs or DSUs to grant, the grant date fair value of these awards may be different than the value we used in determining the number of RSUs or DSUs. Consistent with our equity grant policy, these equity grants were granted on November 15, 2025,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date of the month following corporate approval of the awards.</w:t>
      </w:r>
    </w:p>
    <w:p>
      <w:pPr>
        <w:spacing w:after="0" w:line="206"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have adopted a director education reimbursement policy, pursuant to which we will reimburse directors for all reasonable costs of attending director education programs to encourage continuing director education. Amounts reimbursed include costs associated with attending each program, including tuition, travel, lodging and meals. In addition, we will reimburse directors for the reasonable cost of subscriptions to periodicals or online information services relating to corporate governance and other subject matters relevant to board service, as well as membership fees of organizations which promote corporate governance and board education. Directors serving on multiple boards are encouraged to obtain pro rata reimbursement of their director education expenses from each corporation that they serve, but we will nonetheless reimburse 100% of the costs if this is not practicable.</w:t>
      </w:r>
    </w:p>
    <w:p>
      <w:pPr>
        <w:spacing w:after="0" w:line="203"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Pursuant to the 2023 Plan, the sum of any cash compensation, or other compensation, and the value of awards granted to a non-employee director as compensation for services as a non-employee director during any fiscal year may not exceed $400,000 (increased to $600,000 with respect to any non-employee director serving as the Chair of the Board or lead independent director or in the fiscal year of a non-employee director’s initial service as a non-employee director).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Table for Fiscal 2025</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table below describes the compensation earned by individuals who served as directors during fiscal 2025, other than Sean E. Browne, our President and Chief Executive Officer. Mr. Browne is not compensated separately for his service as a director, and his compensation is discussed under “—</w:t>
      </w:r>
      <w:r>
        <w:rPr>
          <w:rFonts w:ascii="Times New Roman" w:cs="Times New Roman" w:eastAsia="Times New Roman" w:hAnsi="Times New Roman"/>
          <w:sz w:val="20"/>
          <w:szCs w:val="20"/>
          <w:i w:val="1"/>
          <w:iCs w:val="1"/>
          <w:color w:val="auto"/>
        </w:rPr>
        <w:t>Executive Compensation</w:t>
      </w:r>
      <w:r>
        <w:rPr>
          <w:rFonts w:ascii="Times New Roman" w:cs="Times New Roman" w:eastAsia="Times New Roman" w:hAnsi="Times New Roman"/>
          <w:sz w:val="20"/>
          <w:szCs w:val="20"/>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0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Borders>
              <w:bottom w:val="single" w:sz="8" w:color="D9D9D9"/>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Borders>
              <w:bottom w:val="single" w:sz="8" w:color="D9D9D9"/>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9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4"/>
                <w:szCs w:val="24"/>
                <w:b w:val="1"/>
                <w:bCs w:val="1"/>
                <w:color w:val="auto"/>
                <w:w w:val="92"/>
                <w:vertAlign w:val="superscript"/>
              </w:rPr>
              <w:t>(1)(2)</w:t>
            </w:r>
          </w:p>
        </w:tc>
        <w:tc>
          <w:tcPr>
            <w:tcW w:w="100" w:type="dxa"/>
            <w:vAlign w:val="bottom"/>
            <w:tcBorders>
              <w:bottom w:val="single" w:sz="8" w:color="D9D9D9"/>
            </w:tcBorders>
          </w:tcPr>
          <w:p>
            <w:pPr>
              <w:spacing w:after="0"/>
              <w:rPr>
                <w:sz w:val="20"/>
                <w:szCs w:val="20"/>
                <w:color w:val="auto"/>
              </w:rPr>
            </w:pPr>
          </w:p>
        </w:tc>
        <w:tc>
          <w:tcPr>
            <w:tcW w:w="1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
              <w:spacing w:after="0" w:line="228"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4"/>
                <w:szCs w:val="24"/>
                <w:b w:val="1"/>
                <w:bCs w:val="1"/>
                <w:color w:val="auto"/>
                <w:w w:val="94"/>
                <w:vertAlign w:val="superscript"/>
              </w:rPr>
              <w:t>(3)</w:t>
            </w:r>
          </w:p>
        </w:tc>
        <w:tc>
          <w:tcPr>
            <w:tcW w:w="220" w:type="dxa"/>
            <w:vAlign w:val="bottom"/>
            <w:tcBorders>
              <w:bottom w:val="single" w:sz="8" w:color="D9D9D9"/>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9"/>
        </w:trPr>
        <w:tc>
          <w:tcPr>
            <w:tcW w:w="32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John K. Bakewell</w:t>
            </w:r>
          </w:p>
        </w:tc>
        <w:tc>
          <w:tcPr>
            <w:tcW w:w="106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   82,500</w:t>
            </w:r>
          </w:p>
        </w:tc>
        <w:tc>
          <w:tcPr>
            <w:tcW w:w="1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8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  102,848</w:t>
            </w:r>
          </w:p>
        </w:tc>
        <w:tc>
          <w:tcPr>
            <w:tcW w:w="2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9D9D9"/>
          </w:tcPr>
          <w:p>
            <w:pPr>
              <w:ind w:left="6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shd w:val="clear" w:color="auto" w:fill="D9D9D9"/>
          </w:tcPr>
          <w:p>
            <w:pPr>
              <w:spacing w:after="0"/>
              <w:rPr>
                <w:sz w:val="19"/>
                <w:szCs w:val="19"/>
                <w:color w:val="auto"/>
              </w:rPr>
            </w:pP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9D9D9"/>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9D9D9"/>
          </w:tcPr>
          <w:p>
            <w:pPr>
              <w:ind w:left="160"/>
              <w:spacing w:after="0"/>
              <w:rPr>
                <w:sz w:val="20"/>
                <w:szCs w:val="20"/>
                <w:color w:val="auto"/>
              </w:rPr>
            </w:pPr>
            <w:r>
              <w:rPr>
                <w:rFonts w:ascii="Times New Roman" w:cs="Times New Roman" w:eastAsia="Times New Roman" w:hAnsi="Times New Roman"/>
                <w:sz w:val="20"/>
                <w:szCs w:val="20"/>
                <w:color w:val="auto"/>
                <w:w w:val="98"/>
              </w:rPr>
              <w:t>185,348</w:t>
            </w:r>
          </w:p>
        </w:tc>
        <w:tc>
          <w:tcPr>
            <w:tcW w:w="20" w:type="dxa"/>
            <w:vAlign w:val="bottom"/>
          </w:tcPr>
          <w:p>
            <w:pPr>
              <w:spacing w:after="0"/>
              <w:rPr>
                <w:sz w:val="19"/>
                <w:szCs w:val="19"/>
                <w:color w:val="auto"/>
              </w:rPr>
            </w:pPr>
          </w:p>
        </w:tc>
      </w:tr>
      <w:tr>
        <w:trPr>
          <w:trHeight w:val="267"/>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Jonn R. Beeson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82,865</w:t>
            </w:r>
          </w:p>
        </w:tc>
        <w:tc>
          <w:tcPr>
            <w:tcW w:w="120" w:type="dxa"/>
            <w:vAlign w:val="bottom"/>
          </w:tcPr>
          <w:p>
            <w:pPr>
              <w:spacing w:after="0"/>
              <w:rPr>
                <w:sz w:val="23"/>
                <w:szCs w:val="2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102,848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185,713</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1416" w:right="1440" w:bottom="175"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6"/>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7"/>
                <w:szCs w:val="17"/>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0" w:type="dxa"/>
            <w:vAlign w:val="bottom"/>
            <w:gridSpan w:val="2"/>
          </w:tcPr>
          <w:p>
            <w:pPr>
              <w:jc w:val="center"/>
              <w:ind w:right="240"/>
              <w:spacing w:after="0" w:line="228" w:lineRule="exact"/>
              <w:rPr>
                <w:sz w:val="20"/>
                <w:szCs w:val="20"/>
                <w:color w:val="auto"/>
              </w:rPr>
            </w:pPr>
            <w:r>
              <w:rPr>
                <w:rFonts w:ascii="Times New Roman" w:cs="Times New Roman" w:eastAsia="Times New Roman" w:hAnsi="Times New Roman"/>
                <w:sz w:val="18"/>
                <w:szCs w:val="18"/>
                <w:b w:val="1"/>
                <w:bCs w:val="1"/>
                <w:color w:val="auto"/>
                <w:w w:val="90"/>
              </w:rPr>
              <w:t>Awards</w:t>
            </w:r>
            <w:r>
              <w:rPr>
                <w:rFonts w:ascii="Times New Roman" w:cs="Times New Roman" w:eastAsia="Times New Roman" w:hAnsi="Times New Roman"/>
                <w:sz w:val="24"/>
                <w:szCs w:val="24"/>
                <w:b w:val="1"/>
                <w:bCs w:val="1"/>
                <w:color w:val="auto"/>
                <w:w w:val="90"/>
                <w:vertAlign w:val="superscript"/>
              </w:rPr>
              <w:t>(1)(2)</w:t>
            </w:r>
          </w:p>
        </w:tc>
        <w:tc>
          <w:tcPr>
            <w:tcW w:w="960" w:type="dxa"/>
            <w:vAlign w:val="bottom"/>
          </w:tcPr>
          <w:p>
            <w:pPr>
              <w:ind w:left="100"/>
              <w:spacing w:after="0" w:line="228"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4"/>
                <w:szCs w:val="24"/>
                <w:b w:val="1"/>
                <w:bCs w:val="1"/>
                <w:color w:val="auto"/>
                <w:vertAlign w:val="superscript"/>
              </w:rPr>
              <w:t>(3)</w:t>
            </w:r>
          </w:p>
        </w:tc>
        <w:tc>
          <w:tcPr>
            <w:tcW w:w="22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0"/>
        </w:trPr>
        <w:tc>
          <w:tcPr>
            <w:tcW w:w="3260" w:type="dxa"/>
            <w:vAlign w:val="bottom"/>
            <w:tcBorders>
              <w:top w:val="single" w:sz="8" w:color="auto"/>
            </w:tcBorders>
            <w:shd w:val="clear" w:color="auto" w:fill="D9D9D9"/>
          </w:tcPr>
          <w:p>
            <w:pPr>
              <w:spacing w:after="0" w:line="201" w:lineRule="exact"/>
              <w:rPr>
                <w:sz w:val="20"/>
                <w:szCs w:val="20"/>
                <w:color w:val="auto"/>
              </w:rPr>
            </w:pPr>
            <w:r>
              <w:rPr>
                <w:rFonts w:ascii="Times New Roman" w:cs="Times New Roman" w:eastAsia="Times New Roman" w:hAnsi="Times New Roman"/>
                <w:sz w:val="20"/>
                <w:szCs w:val="20"/>
                <w:color w:val="auto"/>
              </w:rPr>
              <w:t>Abhinav Jain</w:t>
            </w:r>
          </w:p>
        </w:tc>
        <w:tc>
          <w:tcPr>
            <w:tcW w:w="140" w:type="dxa"/>
            <w:vAlign w:val="bottom"/>
            <w:tcBorders>
              <w:top w:val="single" w:sz="8" w:color="D9D9D9"/>
            </w:tcBorders>
            <w:shd w:val="clear" w:color="auto" w:fill="D9D9D9"/>
          </w:tcPr>
          <w:p>
            <w:pPr>
              <w:spacing w:after="0"/>
              <w:rPr>
                <w:sz w:val="17"/>
                <w:szCs w:val="17"/>
                <w:color w:val="auto"/>
              </w:rPr>
            </w:pPr>
          </w:p>
        </w:tc>
        <w:tc>
          <w:tcPr>
            <w:tcW w:w="920" w:type="dxa"/>
            <w:vAlign w:val="bottom"/>
            <w:tcBorders>
              <w:top w:val="single" w:sz="8" w:color="auto"/>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20"/>
                <w:szCs w:val="20"/>
                <w:color w:val="auto"/>
              </w:rPr>
              <w:t>28,385</w:t>
            </w:r>
          </w:p>
        </w:tc>
        <w:tc>
          <w:tcPr>
            <w:tcW w:w="220" w:type="dxa"/>
            <w:vAlign w:val="bottom"/>
            <w:tcBorders>
              <w:top w:val="single" w:sz="8" w:color="D9D9D9"/>
            </w:tcBorders>
            <w:shd w:val="clear" w:color="auto" w:fill="D9D9D9"/>
          </w:tcPr>
          <w:p>
            <w:pPr>
              <w:spacing w:after="0"/>
              <w:rPr>
                <w:sz w:val="17"/>
                <w:szCs w:val="17"/>
                <w:color w:val="auto"/>
              </w:rPr>
            </w:pPr>
          </w:p>
        </w:tc>
        <w:tc>
          <w:tcPr>
            <w:tcW w:w="980" w:type="dxa"/>
            <w:vAlign w:val="bottom"/>
            <w:tcBorders>
              <w:top w:val="single" w:sz="8" w:color="auto"/>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20"/>
                <w:szCs w:val="20"/>
                <w:color w:val="auto"/>
              </w:rPr>
              <w:t>102,848</w:t>
            </w:r>
          </w:p>
        </w:tc>
        <w:tc>
          <w:tcPr>
            <w:tcW w:w="220" w:type="dxa"/>
            <w:vAlign w:val="bottom"/>
            <w:tcBorders>
              <w:top w:val="single" w:sz="8" w:color="D9D9D9"/>
            </w:tcBorders>
            <w:shd w:val="clear" w:color="auto" w:fill="D9D9D9"/>
          </w:tcPr>
          <w:p>
            <w:pPr>
              <w:spacing w:after="0"/>
              <w:rPr>
                <w:sz w:val="17"/>
                <w:szCs w:val="17"/>
                <w:color w:val="auto"/>
              </w:rPr>
            </w:pPr>
          </w:p>
        </w:tc>
        <w:tc>
          <w:tcPr>
            <w:tcW w:w="960" w:type="dxa"/>
            <w:vAlign w:val="bottom"/>
            <w:tcBorders>
              <w:top w:val="single" w:sz="8" w:color="auto"/>
            </w:tcBorders>
            <w:shd w:val="clear" w:color="auto" w:fill="D9D9D9"/>
          </w:tcPr>
          <w:p>
            <w:pPr>
              <w:ind w:left="760"/>
              <w:spacing w:after="0" w:line="201"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D9D9D9"/>
            </w:tcBorders>
            <w:shd w:val="clear" w:color="auto" w:fill="D9D9D9"/>
          </w:tcPr>
          <w:p>
            <w:pPr>
              <w:spacing w:after="0"/>
              <w:rPr>
                <w:sz w:val="17"/>
                <w:szCs w:val="17"/>
                <w:color w:val="auto"/>
              </w:rPr>
            </w:pPr>
          </w:p>
        </w:tc>
        <w:tc>
          <w:tcPr>
            <w:tcW w:w="1240" w:type="dxa"/>
            <w:vAlign w:val="bottom"/>
            <w:tcBorders>
              <w:top w:val="single" w:sz="8" w:color="auto"/>
            </w:tcBorders>
            <w:shd w:val="clear" w:color="auto" w:fill="D9D9D9"/>
          </w:tcPr>
          <w:p>
            <w:pPr>
              <w:ind w:left="1040"/>
              <w:spacing w:after="0" w:line="201"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D9D9D9"/>
            </w:tcBorders>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820" w:type="dxa"/>
            <w:vAlign w:val="bottom"/>
            <w:tcBorders>
              <w:top w:val="single" w:sz="8" w:color="auto"/>
            </w:tcBorders>
            <w:shd w:val="clear" w:color="auto" w:fill="D9D9D9"/>
          </w:tcPr>
          <w:p>
            <w:pPr>
              <w:jc w:val="right"/>
              <w:spacing w:after="0" w:line="201" w:lineRule="exact"/>
              <w:rPr>
                <w:sz w:val="20"/>
                <w:szCs w:val="20"/>
                <w:color w:val="auto"/>
              </w:rPr>
            </w:pPr>
            <w:r>
              <w:rPr>
                <w:rFonts w:ascii="Times New Roman" w:cs="Times New Roman" w:eastAsia="Times New Roman" w:hAnsi="Times New Roman"/>
                <w:sz w:val="20"/>
                <w:szCs w:val="20"/>
                <w:color w:val="auto"/>
              </w:rPr>
              <w:t>131,233</w:t>
            </w: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Tyler Lipschultz</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30,990</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102,848</w:t>
            </w:r>
          </w:p>
        </w:tc>
        <w:tc>
          <w:tcPr>
            <w:tcW w:w="96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133,838</w:t>
            </w:r>
          </w:p>
        </w:tc>
      </w:tr>
      <w:tr>
        <w:trPr>
          <w:trHeight w:val="230"/>
        </w:trPr>
        <w:tc>
          <w:tcPr>
            <w:tcW w:w="326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Robert E. McNamara</w:t>
            </w:r>
            <w:r>
              <w:rPr>
                <w:rFonts w:ascii="Times New Roman" w:cs="Times New Roman" w:eastAsia="Times New Roman" w:hAnsi="Times New Roman"/>
                <w:sz w:val="25"/>
                <w:szCs w:val="25"/>
                <w:b w:val="1"/>
                <w:bCs w:val="1"/>
                <w:color w:val="auto"/>
                <w:vertAlign w:val="superscript"/>
              </w:rPr>
              <w:t>(4)</w:t>
            </w:r>
          </w:p>
        </w:tc>
        <w:tc>
          <w:tcPr>
            <w:tcW w:w="106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48,125</w:t>
            </w:r>
          </w:p>
        </w:tc>
        <w:tc>
          <w:tcPr>
            <w:tcW w:w="220" w:type="dxa"/>
            <w:vAlign w:val="bottom"/>
            <w:shd w:val="clear" w:color="auto" w:fill="D9D9D9"/>
          </w:tcPr>
          <w:p>
            <w:pPr>
              <w:spacing w:after="0"/>
              <w:rPr>
                <w:sz w:val="20"/>
                <w:szCs w:val="20"/>
                <w:color w:val="auto"/>
              </w:rPr>
            </w:pPr>
          </w:p>
        </w:tc>
        <w:tc>
          <w:tcPr>
            <w:tcW w:w="1200" w:type="dxa"/>
            <w:vAlign w:val="bottom"/>
            <w:gridSpan w:val="2"/>
            <w:shd w:val="clear" w:color="auto" w:fill="D9D9D9"/>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9D9D9"/>
          </w:tcPr>
          <w:p>
            <w:pPr>
              <w:ind w:left="7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shd w:val="clear" w:color="auto" w:fill="D9D9D9"/>
          </w:tcPr>
          <w:p>
            <w:pPr>
              <w:spacing w:after="0"/>
              <w:rPr>
                <w:sz w:val="20"/>
                <w:szCs w:val="20"/>
                <w:color w:val="auto"/>
              </w:rPr>
            </w:pPr>
          </w:p>
        </w:tc>
        <w:tc>
          <w:tcPr>
            <w:tcW w:w="1560" w:type="dxa"/>
            <w:vAlign w:val="bottom"/>
            <w:gridSpan w:val="3"/>
            <w:shd w:val="clear" w:color="auto" w:fill="D9D9D9"/>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48,125</w:t>
            </w:r>
          </w:p>
        </w:tc>
      </w:tr>
      <w:tr>
        <w:trPr>
          <w:trHeight w:val="230"/>
        </w:trPr>
        <w:tc>
          <w:tcPr>
            <w:tcW w:w="32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Lori D. Mitchell-Keller</w:t>
            </w:r>
            <w:r>
              <w:rPr>
                <w:rFonts w:ascii="Times New Roman" w:cs="Times New Roman" w:eastAsia="Times New Roman" w:hAnsi="Times New Roman"/>
                <w:sz w:val="25"/>
                <w:szCs w:val="25"/>
                <w:b w:val="1"/>
                <w:bCs w:val="1"/>
                <w:color w:val="auto"/>
                <w:vertAlign w:val="superscript"/>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43,385</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20"/>
                <w:szCs w:val="20"/>
                <w:color w:val="auto"/>
              </w:rPr>
            </w:pP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43,385</w:t>
            </w:r>
          </w:p>
        </w:tc>
      </w:tr>
      <w:tr>
        <w:trPr>
          <w:trHeight w:val="229"/>
        </w:trPr>
        <w:tc>
          <w:tcPr>
            <w:tcW w:w="32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Stavros G. Vizirgianakis</w:t>
            </w:r>
          </w:p>
        </w:tc>
        <w:tc>
          <w:tcPr>
            <w:tcW w:w="140" w:type="dxa"/>
            <w:vAlign w:val="bottom"/>
            <w:shd w:val="clear" w:color="auto" w:fill="D9D9D9"/>
          </w:tcPr>
          <w:p>
            <w:pPr>
              <w:spacing w:after="0"/>
              <w:rPr>
                <w:sz w:val="19"/>
                <w:szCs w:val="19"/>
                <w:color w:val="auto"/>
              </w:rPr>
            </w:pPr>
          </w:p>
        </w:tc>
        <w:tc>
          <w:tcPr>
            <w:tcW w:w="9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117,083</w:t>
            </w:r>
          </w:p>
        </w:tc>
        <w:tc>
          <w:tcPr>
            <w:tcW w:w="220" w:type="dxa"/>
            <w:vAlign w:val="bottom"/>
            <w:shd w:val="clear" w:color="auto" w:fill="D9D9D9"/>
          </w:tcPr>
          <w:p>
            <w:pPr>
              <w:spacing w:after="0"/>
              <w:rPr>
                <w:sz w:val="19"/>
                <w:szCs w:val="19"/>
                <w:color w:val="auto"/>
              </w:rPr>
            </w:pPr>
          </w:p>
        </w:tc>
        <w:tc>
          <w:tcPr>
            <w:tcW w:w="9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359,969</w:t>
            </w:r>
          </w:p>
        </w:tc>
        <w:tc>
          <w:tcPr>
            <w:tcW w:w="220" w:type="dxa"/>
            <w:vAlign w:val="bottom"/>
            <w:shd w:val="clear" w:color="auto" w:fill="D9D9D9"/>
          </w:tcPr>
          <w:p>
            <w:pPr>
              <w:spacing w:after="0"/>
              <w:rPr>
                <w:sz w:val="19"/>
                <w:szCs w:val="19"/>
                <w:color w:val="auto"/>
              </w:rPr>
            </w:pPr>
          </w:p>
        </w:tc>
        <w:tc>
          <w:tcPr>
            <w:tcW w:w="960" w:type="dxa"/>
            <w:vAlign w:val="bottom"/>
            <w:shd w:val="clear" w:color="auto" w:fill="D9D9D9"/>
          </w:tcPr>
          <w:p>
            <w:pPr>
              <w:ind w:left="76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shd w:val="clear" w:color="auto" w:fill="D9D9D9"/>
          </w:tcPr>
          <w:p>
            <w:pPr>
              <w:spacing w:after="0"/>
              <w:rPr>
                <w:sz w:val="19"/>
                <w:szCs w:val="19"/>
                <w:color w:val="auto"/>
              </w:rPr>
            </w:pPr>
          </w:p>
        </w:tc>
        <w:tc>
          <w:tcPr>
            <w:tcW w:w="1240" w:type="dxa"/>
            <w:vAlign w:val="bottom"/>
            <w:shd w:val="clear" w:color="auto" w:fill="D9D9D9"/>
          </w:tcPr>
          <w:p>
            <w:pPr>
              <w:ind w:left="104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gridSpan w:val="2"/>
            <w:shd w:val="clear" w:color="auto" w:fill="D9D9D9"/>
          </w:tcPr>
          <w:p>
            <w:pPr>
              <w:spacing w:after="0"/>
              <w:rPr>
                <w:sz w:val="19"/>
                <w:szCs w:val="19"/>
                <w:color w:val="auto"/>
              </w:rPr>
            </w:pPr>
          </w:p>
        </w:tc>
        <w:tc>
          <w:tcPr>
            <w:tcW w:w="8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477,052</w:t>
            </w:r>
          </w:p>
        </w:tc>
      </w:tr>
      <w:tr>
        <w:trPr>
          <w:trHeight w:val="267"/>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83" w:lineRule="exact"/>
        <w:rPr>
          <w:sz w:val="20"/>
          <w:szCs w:val="20"/>
          <w:color w:val="auto"/>
        </w:rPr>
      </w:pPr>
    </w:p>
    <w:p>
      <w:pPr>
        <w:jc w:val="both"/>
        <w:ind w:left="720" w:hanging="720"/>
        <w:spacing w:after="0" w:line="247" w:lineRule="auto"/>
        <w:tabs>
          <w:tab w:leader="none" w:pos="72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reported in the “Stock Awards” column represent the aggregate grant date fair value for the RSU awards or DSU awards granted to each non-employee director in 2025 computed in accordance with FASB ASC Topic 718. The grant date fair value is determined based on the closing price of our common stock on the grant date. These grant date fair value amounts may differ from the amounts provided in our non-employee director compensation program since the number of RSU or DSU awards is determined based on our stock price as of a date prior to the actual grant date.</w:t>
      </w:r>
    </w:p>
    <w:p>
      <w:pPr>
        <w:spacing w:after="0" w:line="200" w:lineRule="exact"/>
        <w:rPr>
          <w:rFonts w:ascii="Times New Roman" w:cs="Times New Roman" w:eastAsia="Times New Roman" w:hAnsi="Times New Roman"/>
          <w:sz w:val="20"/>
          <w:szCs w:val="20"/>
          <w:color w:val="auto"/>
        </w:rPr>
      </w:pPr>
    </w:p>
    <w:p>
      <w:pPr>
        <w:jc w:val="both"/>
        <w:ind w:left="720" w:hanging="720"/>
        <w:spacing w:after="0" w:line="259" w:lineRule="auto"/>
        <w:tabs>
          <w:tab w:leader="none" w:pos="721"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November 15, 2025, each non-employee director serving at the time, other than Mr. Vizirgianakis, received an RSU or DSU award covering 158,228 shares of our common stock, and Mr. Vizirgianakis, as Chair of the Board, received DSU awards covering an aggregate of 553,797 shares of our common stock. As of December 31, 2025, the non-employee directors held the following unvested stock awards: Mr. Bakewell (158,228); Mr. Beeson (158,228); Mr. Jain; (158,228); Mr. Lipschultz (158,228); and Mr. Vizirgianakis</w:t>
      </w:r>
    </w:p>
    <w:p>
      <w:pPr>
        <w:ind w:left="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(553,797).</w:t>
      </w:r>
    </w:p>
    <w:p>
      <w:pPr>
        <w:spacing w:after="0" w:line="210" w:lineRule="exact"/>
        <w:rPr>
          <w:rFonts w:ascii="Times New Roman" w:cs="Times New Roman" w:eastAsia="Times New Roman" w:hAnsi="Times New Roman"/>
          <w:sz w:val="19"/>
          <w:szCs w:val="19"/>
          <w:color w:val="auto"/>
        </w:rPr>
      </w:pPr>
    </w:p>
    <w:p>
      <w:pPr>
        <w:ind w:left="720" w:hanging="720"/>
        <w:spacing w:after="0" w:line="278" w:lineRule="auto"/>
        <w:tabs>
          <w:tab w:leader="none" w:pos="72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the non-employee directors held the following option awards: Mr. Bakewell (28,230); Mr. Beeson (28,230); and Mr. Vizirgianakis (42,345).</w:t>
      </w:r>
    </w:p>
    <w:p>
      <w:pPr>
        <w:spacing w:after="0" w:line="168" w:lineRule="exact"/>
        <w:rPr>
          <w:rFonts w:ascii="Times New Roman" w:cs="Times New Roman" w:eastAsia="Times New Roman" w:hAnsi="Times New Roman"/>
          <w:sz w:val="20"/>
          <w:szCs w:val="20"/>
          <w:color w:val="auto"/>
        </w:rPr>
      </w:pPr>
    </w:p>
    <w:p>
      <w:pPr>
        <w:ind w:left="720" w:hanging="720"/>
        <w:spacing w:after="0" w:line="278" w:lineRule="auto"/>
        <w:tabs>
          <w:tab w:leader="none" w:pos="72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Mr. McNamara and Ms. Mitchell-Keller resigned as a director of the Company effective August 1, 2025.</w:t>
      </w: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1419" w:right="1440" w:bottom="175"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Beneficial Owners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table below sets forth, as of February 28, 2026, information as to beneficial owners that have reported to the SEC or have otherwise advised us that they are a beneficial owner, as defined by the SEC’s rules and regulations, of more than 5% of our outstanding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Name and Address of</w:t>
            </w:r>
          </w:p>
        </w:tc>
        <w:tc>
          <w:tcPr>
            <w:tcW w:w="18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 and Nature of</w:t>
            </w:r>
          </w:p>
        </w:tc>
        <w:tc>
          <w:tcPr>
            <w:tcW w:w="2200" w:type="dxa"/>
            <w:vAlign w:val="bottom"/>
          </w:tcPr>
          <w:p>
            <w:pPr>
              <w:spacing w:after="0"/>
              <w:rPr>
                <w:sz w:val="18"/>
                <w:szCs w:val="18"/>
                <w:color w:val="auto"/>
              </w:rPr>
            </w:pPr>
          </w:p>
        </w:tc>
      </w:tr>
      <w:tr>
        <w:trPr>
          <w:trHeight w:val="237"/>
        </w:trPr>
        <w:tc>
          <w:tcPr>
            <w:tcW w:w="1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0" w:type="dxa"/>
            <w:vAlign w:val="bottom"/>
          </w:tcPr>
          <w:p>
            <w:pPr>
              <w:spacing w:after="0"/>
              <w:rPr>
                <w:sz w:val="20"/>
                <w:szCs w:val="20"/>
                <w:color w:val="auto"/>
              </w:rPr>
            </w:pPr>
          </w:p>
        </w:tc>
        <w:tc>
          <w:tcPr>
            <w:tcW w:w="34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80" w:type="dxa"/>
            <w:vAlign w:val="bottom"/>
            <w:tcBorders>
              <w:bottom w:val="single" w:sz="8" w:color="D9D9D9"/>
            </w:tcBorders>
          </w:tcPr>
          <w:p>
            <w:pPr>
              <w:spacing w:after="0"/>
              <w:rPr>
                <w:sz w:val="20"/>
                <w:szCs w:val="20"/>
                <w:color w:val="auto"/>
              </w:rPr>
            </w:pPr>
          </w:p>
        </w:tc>
        <w:tc>
          <w:tcPr>
            <w:tcW w:w="1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60" w:type="dxa"/>
            <w:vAlign w:val="bottom"/>
            <w:tcBorders>
              <w:bottom w:val="single" w:sz="8" w:color="D9D9D9"/>
            </w:tcBorders>
          </w:tcPr>
          <w:p>
            <w:pPr>
              <w:spacing w:after="0"/>
              <w:rPr>
                <w:sz w:val="20"/>
                <w:szCs w:val="20"/>
                <w:color w:val="auto"/>
              </w:rPr>
            </w:pPr>
          </w:p>
        </w:tc>
        <w:tc>
          <w:tcPr>
            <w:tcW w:w="2200" w:type="dxa"/>
            <w:vAlign w:val="bottom"/>
            <w:tcBorders>
              <w:bottom w:val="single" w:sz="8" w:color="auto"/>
            </w:tcBorders>
          </w:tcPr>
          <w:p>
            <w:pPr>
              <w:jc w:val="right"/>
              <w:ind w:right="302"/>
              <w:spacing w:after="0" w:line="227" w:lineRule="exact"/>
              <w:rPr>
                <w:sz w:val="20"/>
                <w:szCs w:val="20"/>
                <w:color w:val="auto"/>
              </w:rPr>
            </w:pPr>
            <w:r>
              <w:rPr>
                <w:rFonts w:ascii="Times New Roman" w:cs="Times New Roman" w:eastAsia="Times New Roman" w:hAnsi="Times New Roman"/>
                <w:sz w:val="18"/>
                <w:szCs w:val="18"/>
                <w:b w:val="1"/>
                <w:bCs w:val="1"/>
                <w:color w:val="auto"/>
              </w:rPr>
              <w:t>Percent of Class</w:t>
            </w:r>
            <w:r>
              <w:rPr>
                <w:rFonts w:ascii="Times New Roman" w:cs="Times New Roman" w:eastAsia="Times New Roman" w:hAnsi="Times New Roman"/>
                <w:sz w:val="24"/>
                <w:szCs w:val="24"/>
                <w:b w:val="1"/>
                <w:bCs w:val="1"/>
                <w:color w:val="auto"/>
                <w:vertAlign w:val="superscript"/>
              </w:rPr>
              <w:t>(1)</w:t>
            </w:r>
          </w:p>
        </w:tc>
      </w:tr>
      <w:tr>
        <w:trPr>
          <w:trHeight w:val="230"/>
        </w:trPr>
        <w:tc>
          <w:tcPr>
            <w:tcW w:w="146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340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Nantahala Capital Management, LLC</w:t>
            </w:r>
            <w:r>
              <w:rPr>
                <w:rFonts w:ascii="Times New Roman" w:cs="Times New Roman" w:eastAsia="Times New Roman" w:hAnsi="Times New Roman"/>
                <w:sz w:val="25"/>
                <w:szCs w:val="25"/>
                <w:color w:val="auto"/>
                <w:vertAlign w:val="superscript"/>
              </w:rPr>
              <w:t>(2)</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200" w:type="dxa"/>
            <w:vAlign w:val="bottom"/>
            <w:shd w:val="clear" w:color="auto" w:fill="D9D9D9"/>
          </w:tcPr>
          <w:p>
            <w:pPr>
              <w:spacing w:after="0"/>
              <w:rPr>
                <w:sz w:val="20"/>
                <w:szCs w:val="20"/>
                <w:color w:val="auto"/>
              </w:rPr>
            </w:pPr>
          </w:p>
        </w:tc>
      </w:tr>
      <w:tr>
        <w:trPr>
          <w:trHeight w:val="230"/>
        </w:trPr>
        <w:tc>
          <w:tcPr>
            <w:tcW w:w="144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4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130 Main Street, 2nd Floor</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200" w:type="dxa"/>
            <w:vAlign w:val="bottom"/>
            <w:shd w:val="clear" w:color="auto" w:fill="D9D9D9"/>
          </w:tcPr>
          <w:p>
            <w:pPr>
              <w:spacing w:after="0"/>
              <w:rPr>
                <w:sz w:val="20"/>
                <w:szCs w:val="20"/>
                <w:color w:val="auto"/>
              </w:rPr>
            </w:pPr>
          </w:p>
        </w:tc>
      </w:tr>
      <w:tr>
        <w:trPr>
          <w:trHeight w:val="229"/>
        </w:trPr>
        <w:tc>
          <w:tcPr>
            <w:tcW w:w="144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4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New Canaan, CT 06840</w:t>
            </w:r>
          </w:p>
        </w:tc>
        <w:tc>
          <w:tcPr>
            <w:tcW w:w="180" w:type="dxa"/>
            <w:vAlign w:val="bottom"/>
            <w:shd w:val="clear" w:color="auto" w:fill="D9D9D9"/>
          </w:tcPr>
          <w:p>
            <w:pPr>
              <w:spacing w:after="0"/>
              <w:rPr>
                <w:sz w:val="19"/>
                <w:szCs w:val="19"/>
                <w:color w:val="auto"/>
              </w:rPr>
            </w:pPr>
          </w:p>
        </w:tc>
        <w:tc>
          <w:tcPr>
            <w:tcW w:w="1960" w:type="dxa"/>
            <w:vAlign w:val="bottom"/>
            <w:shd w:val="clear" w:color="auto" w:fill="D9D9D9"/>
          </w:tcPr>
          <w:p>
            <w:pPr>
              <w:jc w:val="right"/>
              <w:ind w:right="85"/>
              <w:spacing w:after="0"/>
              <w:rPr>
                <w:sz w:val="20"/>
                <w:szCs w:val="20"/>
                <w:color w:val="auto"/>
              </w:rPr>
            </w:pPr>
            <w:r>
              <w:rPr>
                <w:rFonts w:ascii="Times New Roman" w:cs="Times New Roman" w:eastAsia="Times New Roman" w:hAnsi="Times New Roman"/>
                <w:sz w:val="20"/>
                <w:szCs w:val="20"/>
                <w:color w:val="auto"/>
              </w:rPr>
              <w:t>68,394,000</w:t>
            </w:r>
          </w:p>
        </w:tc>
        <w:tc>
          <w:tcPr>
            <w:tcW w:w="160" w:type="dxa"/>
            <w:vAlign w:val="bottom"/>
            <w:shd w:val="clear" w:color="auto" w:fill="D9D9D9"/>
          </w:tcPr>
          <w:p>
            <w:pPr>
              <w:spacing w:after="0"/>
              <w:rPr>
                <w:sz w:val="19"/>
                <w:szCs w:val="19"/>
                <w:color w:val="auto"/>
              </w:rPr>
            </w:pPr>
          </w:p>
        </w:tc>
        <w:tc>
          <w:tcPr>
            <w:tcW w:w="2200" w:type="dxa"/>
            <w:vAlign w:val="bottom"/>
            <w:shd w:val="clear" w:color="auto" w:fill="D9D9D9"/>
          </w:tcPr>
          <w:p>
            <w:pPr>
              <w:jc w:val="right"/>
              <w:ind w:right="102"/>
              <w:spacing w:after="0"/>
              <w:rPr>
                <w:sz w:val="20"/>
                <w:szCs w:val="20"/>
                <w:color w:val="auto"/>
              </w:rPr>
            </w:pPr>
            <w:r>
              <w:rPr>
                <w:rFonts w:ascii="Times New Roman" w:cs="Times New Roman" w:eastAsia="Times New Roman" w:hAnsi="Times New Roman"/>
                <w:sz w:val="20"/>
                <w:szCs w:val="20"/>
                <w:color w:val="auto"/>
              </w:rPr>
              <w:t>48.8%</w:t>
            </w:r>
          </w:p>
        </w:tc>
      </w:tr>
      <w:tr>
        <w:trPr>
          <w:trHeight w:val="210"/>
        </w:trPr>
        <w:tc>
          <w:tcPr>
            <w:tcW w:w="14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Common Stock</w:t>
            </w:r>
          </w:p>
        </w:tc>
        <w:tc>
          <w:tcPr>
            <w:tcW w:w="340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Stavros G. Vizirgianakis</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664 Cruiser Lane</w:t>
            </w: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50"/>
        </w:trPr>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Belgrade, MT 59714</w:t>
            </w:r>
          </w:p>
        </w:tc>
        <w:tc>
          <w:tcPr>
            <w:tcW w:w="214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8,449,102</w:t>
            </w:r>
          </w:p>
        </w:tc>
        <w:tc>
          <w:tcPr>
            <w:tcW w:w="160" w:type="dxa"/>
            <w:vAlign w:val="bottom"/>
          </w:tcPr>
          <w:p>
            <w:pPr>
              <w:spacing w:after="0"/>
              <w:rPr>
                <w:sz w:val="21"/>
                <w:szCs w:val="21"/>
                <w:color w:val="auto"/>
              </w:rPr>
            </w:pPr>
          </w:p>
        </w:tc>
        <w:tc>
          <w:tcPr>
            <w:tcW w:w="2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6.0%</w:t>
            </w:r>
          </w:p>
        </w:tc>
      </w:tr>
      <w:tr>
        <w:trPr>
          <w:trHeight w:val="210"/>
        </w:trPr>
        <w:tc>
          <w:tcPr>
            <w:tcW w:w="1460" w:type="dxa"/>
            <w:vAlign w:val="bottom"/>
            <w:gridSpan w:val="2"/>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Common Stock</w:t>
            </w:r>
          </w:p>
        </w:tc>
        <w:tc>
          <w:tcPr>
            <w:tcW w:w="340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19"/>
                <w:szCs w:val="19"/>
                <w:color w:val="auto"/>
              </w:rPr>
              <w:t>Lytton-Kambara Foundation</w:t>
            </w:r>
            <w:r>
              <w:rPr>
                <w:rFonts w:ascii="Times New Roman" w:cs="Times New Roman" w:eastAsia="Times New Roman" w:hAnsi="Times New Roman"/>
                <w:sz w:val="24"/>
                <w:szCs w:val="24"/>
                <w:color w:val="auto"/>
                <w:vertAlign w:val="superscript"/>
              </w:rPr>
              <w:t>(4)</w:t>
            </w:r>
          </w:p>
        </w:tc>
        <w:tc>
          <w:tcPr>
            <w:tcW w:w="18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200" w:type="dxa"/>
            <w:vAlign w:val="bottom"/>
            <w:shd w:val="clear" w:color="auto" w:fill="D9D9D9"/>
          </w:tcPr>
          <w:p>
            <w:pPr>
              <w:spacing w:after="0"/>
              <w:rPr>
                <w:sz w:val="18"/>
                <w:szCs w:val="18"/>
                <w:color w:val="auto"/>
              </w:rPr>
            </w:pPr>
          </w:p>
        </w:tc>
      </w:tr>
      <w:tr>
        <w:trPr>
          <w:trHeight w:val="250"/>
        </w:trPr>
        <w:tc>
          <w:tcPr>
            <w:tcW w:w="144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34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467 Central Park West</w:t>
            </w:r>
          </w:p>
        </w:tc>
        <w:tc>
          <w:tcPr>
            <w:tcW w:w="180" w:type="dxa"/>
            <w:vAlign w:val="bottom"/>
            <w:shd w:val="clear" w:color="auto" w:fill="D9D9D9"/>
          </w:tcPr>
          <w:p>
            <w:pPr>
              <w:spacing w:after="0"/>
              <w:rPr>
                <w:sz w:val="21"/>
                <w:szCs w:val="21"/>
                <w:color w:val="auto"/>
              </w:rPr>
            </w:pPr>
          </w:p>
        </w:tc>
        <w:tc>
          <w:tcPr>
            <w:tcW w:w="196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2200" w:type="dxa"/>
            <w:vAlign w:val="bottom"/>
            <w:shd w:val="clear" w:color="auto" w:fill="D9D9D9"/>
          </w:tcPr>
          <w:p>
            <w:pPr>
              <w:spacing w:after="0"/>
              <w:rPr>
                <w:sz w:val="21"/>
                <w:szCs w:val="21"/>
                <w:color w:val="auto"/>
              </w:rPr>
            </w:pPr>
          </w:p>
        </w:tc>
      </w:tr>
      <w:tr>
        <w:trPr>
          <w:trHeight w:val="230"/>
        </w:trPr>
        <w:tc>
          <w:tcPr>
            <w:tcW w:w="144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4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New York, NY 10025</w:t>
            </w:r>
          </w:p>
        </w:tc>
        <w:tc>
          <w:tcPr>
            <w:tcW w:w="180" w:type="dxa"/>
            <w:vAlign w:val="bottom"/>
            <w:shd w:val="clear" w:color="auto" w:fill="D9D9D9"/>
          </w:tcPr>
          <w:p>
            <w:pPr>
              <w:spacing w:after="0"/>
              <w:rPr>
                <w:sz w:val="20"/>
                <w:szCs w:val="20"/>
                <w:color w:val="auto"/>
              </w:rPr>
            </w:pPr>
          </w:p>
        </w:tc>
        <w:tc>
          <w:tcPr>
            <w:tcW w:w="1960" w:type="dxa"/>
            <w:vAlign w:val="bottom"/>
            <w:shd w:val="clear" w:color="auto" w:fill="D9D9D9"/>
          </w:tcPr>
          <w:p>
            <w:pPr>
              <w:jc w:val="right"/>
              <w:ind w:right="85"/>
              <w:spacing w:after="0"/>
              <w:rPr>
                <w:sz w:val="20"/>
                <w:szCs w:val="20"/>
                <w:color w:val="auto"/>
              </w:rPr>
            </w:pPr>
            <w:r>
              <w:rPr>
                <w:rFonts w:ascii="Times New Roman" w:cs="Times New Roman" w:eastAsia="Times New Roman" w:hAnsi="Times New Roman"/>
                <w:sz w:val="20"/>
                <w:szCs w:val="20"/>
                <w:color w:val="auto"/>
              </w:rPr>
              <w:t>7,702,002</w:t>
            </w:r>
          </w:p>
        </w:tc>
        <w:tc>
          <w:tcPr>
            <w:tcW w:w="160" w:type="dxa"/>
            <w:vAlign w:val="bottom"/>
            <w:shd w:val="clear" w:color="auto" w:fill="D9D9D9"/>
          </w:tcPr>
          <w:p>
            <w:pPr>
              <w:spacing w:after="0"/>
              <w:rPr>
                <w:sz w:val="20"/>
                <w:szCs w:val="20"/>
                <w:color w:val="auto"/>
              </w:rPr>
            </w:pPr>
          </w:p>
        </w:tc>
        <w:tc>
          <w:tcPr>
            <w:tcW w:w="2200" w:type="dxa"/>
            <w:vAlign w:val="bottom"/>
            <w:shd w:val="clear" w:color="auto" w:fill="D9D9D9"/>
          </w:tcPr>
          <w:p>
            <w:pPr>
              <w:jc w:val="right"/>
              <w:ind w:right="102"/>
              <w:spacing w:after="0"/>
              <w:rPr>
                <w:sz w:val="20"/>
                <w:szCs w:val="20"/>
                <w:color w:val="auto"/>
              </w:rPr>
            </w:pPr>
            <w:r>
              <w:rPr>
                <w:rFonts w:ascii="Times New Roman" w:cs="Times New Roman" w:eastAsia="Times New Roman" w:hAnsi="Times New Roman"/>
                <w:sz w:val="20"/>
                <w:szCs w:val="20"/>
                <w:color w:val="auto"/>
              </w:rPr>
              <w:t>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914400</wp:posOffset>
                </wp:positionH>
                <wp:positionV relativeFrom="paragraph">
                  <wp:posOffset>-1333500</wp:posOffset>
                </wp:positionV>
                <wp:extent cx="13970" cy="1905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 cy="19050"/>
                        </a:xfrm>
                        <a:prstGeom prst="rect">
                          <a:avLst/>
                        </a:prstGeom>
                        <a:solidFill>
                          <a:srgbClr val="D9D9D9"/>
                        </a:solidFill>
                      </wps:spPr>
                      <wps:bodyPr/>
                    </wps:wsp>
                  </a:graphicData>
                </a:graphic>
              </wp:anchor>
            </w:drawing>
          </mc:Choice>
          <mc:Fallback>
            <w:pict>
              <v:rect id="Shape 77" o:spid="_x0000_s1102" style="position:absolute;margin-left:72pt;margin-top:-105pt;width:1.1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19" w:lineRule="exact"/>
        <w:rPr>
          <w:sz w:val="20"/>
          <w:szCs w:val="20"/>
          <w:color w:val="auto"/>
        </w:rPr>
      </w:pPr>
    </w:p>
    <w:p>
      <w:pPr>
        <w:ind w:left="720" w:hanging="72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is based on 140,068,260 shares of our common stock outstanding as of February 28, 2026.</w:t>
      </w:r>
    </w:p>
    <w:p>
      <w:pPr>
        <w:spacing w:after="0" w:line="120" w:lineRule="exact"/>
        <w:rPr>
          <w:rFonts w:ascii="Times New Roman" w:cs="Times New Roman" w:eastAsia="Times New Roman" w:hAnsi="Times New Roman"/>
          <w:sz w:val="20"/>
          <w:szCs w:val="20"/>
          <w:color w:val="auto"/>
        </w:rPr>
      </w:pPr>
    </w:p>
    <w:p>
      <w:pPr>
        <w:jc w:val="both"/>
        <w:ind w:left="720" w:hanging="720"/>
        <w:spacing w:after="0" w:line="244"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information contained in a Schedule 13D, as amended, filed with the SEC on August 5, 2025. Represents 68,394,000 shares of common stock beneficially owned by Nantahala Capital Partners Limited Partnership, a Massachusetts limited partnership (“NCP”) and Nantahala Capital Management, LLC, a Massachusetts limited liability company (“Nantahala”) through certain managed accounts and private funds including NCP (collectively, the “Nantahala Investors”). Nantahala serves as General Partner, Investment Manager, or Sub-Advisor to the Nantahala Investors. Wilmot B. Harkey and Daniel Mack are the principals and managing members of Nantahala. Mr. Harkey and Mr. Mack may be deemed, pursuant to Rule 13d-3 of the Securities Exchange Act of 1934, as amended, to be beneficial owners all of the shares of Common Stock held by the Nantahala Investors. Mr. Harkey and Mr. Mack have shared dispositive power and voting power over the shares.</w:t>
      </w:r>
    </w:p>
    <w:p>
      <w:pPr>
        <w:spacing w:after="0" w:line="81" w:lineRule="exact"/>
        <w:rPr>
          <w:rFonts w:ascii="Times New Roman" w:cs="Times New Roman" w:eastAsia="Times New Roman" w:hAnsi="Times New Roman"/>
          <w:sz w:val="20"/>
          <w:szCs w:val="20"/>
          <w:color w:val="auto"/>
        </w:rPr>
      </w:pPr>
    </w:p>
    <w:p>
      <w:pPr>
        <w:jc w:val="both"/>
        <w:ind w:left="720" w:hanging="720"/>
        <w:spacing w:after="0" w:line="252" w:lineRule="auto"/>
        <w:tabs>
          <w:tab w:leader="none" w:pos="71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in part on information contained in a Schedule 13D filed with the SEC on September 6, 2022 and other information available to the Company. The number of shares consists of 5,995,355 shares of our common stock, 966,418 shares of vested DSUs, 42,345 shares of our common stock issuable upon exercise of options and 1,444,984 shares of our common stock issuable upon exercise of warrants.</w:t>
      </w:r>
    </w:p>
    <w:p>
      <w:pPr>
        <w:spacing w:after="0" w:line="193" w:lineRule="exact"/>
        <w:rPr>
          <w:rFonts w:ascii="Times New Roman" w:cs="Times New Roman" w:eastAsia="Times New Roman" w:hAnsi="Times New Roman"/>
          <w:sz w:val="20"/>
          <w:szCs w:val="20"/>
          <w:color w:val="auto"/>
        </w:rPr>
      </w:pPr>
    </w:p>
    <w:p>
      <w:pPr>
        <w:jc w:val="both"/>
        <w:ind w:left="720" w:hanging="720"/>
        <w:spacing w:after="0" w:line="258"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information contained in a Schedule 13G/A filed with the SEC on February 17, 2026. Represents 7,702,002 shares of our common stock held by Lytton-Kambara Foundation. Laurence Lytton has voting and investment control over the shares of our common stock held by the Lytton-Kambara Foundation.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1416" w:right="1440" w:bottom="175"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Security Ownership of Management</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table below sets forth information relating to the beneficial ownership of our common stock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2026, by:</w:t>
      </w:r>
    </w:p>
    <w:p>
      <w:pPr>
        <w:spacing w:after="0" w:line="227" w:lineRule="exact"/>
        <w:rPr>
          <w:sz w:val="20"/>
          <w:szCs w:val="20"/>
          <w:color w:val="auto"/>
        </w:rPr>
      </w:pPr>
    </w:p>
    <w:p>
      <w:pPr>
        <w:ind w:left="1080" w:hanging="360"/>
        <w:spacing w:after="0"/>
        <w:tabs>
          <w:tab w:leader="none" w:pos="10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each of our directors;</w:t>
      </w:r>
    </w:p>
    <w:p>
      <w:pPr>
        <w:spacing w:after="0" w:line="35" w:lineRule="exact"/>
        <w:rPr>
          <w:rFonts w:ascii="Arial" w:cs="Arial" w:eastAsia="Arial" w:hAnsi="Arial"/>
          <w:sz w:val="20"/>
          <w:szCs w:val="20"/>
          <w:color w:val="auto"/>
        </w:rPr>
      </w:pPr>
    </w:p>
    <w:p>
      <w:pPr>
        <w:ind w:left="1080" w:hanging="360"/>
        <w:spacing w:after="0"/>
        <w:tabs>
          <w:tab w:leader="none" w:pos="10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each of our named executive officers; and</w:t>
      </w:r>
    </w:p>
    <w:p>
      <w:pPr>
        <w:spacing w:after="0" w:line="12" w:lineRule="exact"/>
        <w:rPr>
          <w:rFonts w:ascii="Arial" w:cs="Arial" w:eastAsia="Arial" w:hAnsi="Arial"/>
          <w:sz w:val="20"/>
          <w:szCs w:val="20"/>
          <w:color w:val="auto"/>
        </w:rPr>
      </w:pPr>
    </w:p>
    <w:p>
      <w:pPr>
        <w:ind w:left="1080" w:hanging="360"/>
        <w:spacing w:after="0"/>
        <w:tabs>
          <w:tab w:leader="none" w:pos="10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all directors and executive officers as a group.</w:t>
      </w:r>
    </w:p>
    <w:p>
      <w:pPr>
        <w:spacing w:after="0" w:line="217" w:lineRule="exact"/>
        <w:rPr>
          <w:sz w:val="20"/>
          <w:szCs w:val="20"/>
          <w:color w:val="auto"/>
        </w:rPr>
      </w:pPr>
    </w:p>
    <w:p>
      <w:pPr>
        <w:jc w:val="both"/>
        <w:ind w:right="100" w:firstLine="720"/>
        <w:spacing w:after="0" w:line="261" w:lineRule="auto"/>
        <w:rPr>
          <w:sz w:val="20"/>
          <w:szCs w:val="20"/>
          <w:color w:val="auto"/>
        </w:rPr>
      </w:pPr>
      <w:r>
        <w:rPr>
          <w:rFonts w:ascii="Times New Roman" w:cs="Times New Roman" w:eastAsia="Times New Roman" w:hAnsi="Times New Roman"/>
          <w:sz w:val="19"/>
          <w:szCs w:val="19"/>
          <w:color w:val="auto"/>
        </w:rPr>
        <w:t>The number of shares beneficially owned by each person is determined in accordance with the SEC’s rules and regulations, and the information is not necessarily indicative of beneficial ownership for any other purpose. Under the SEC’s rules and regulations, beneficial ownership includes any shares over which the individual has sole or shared voting power or investment power as well as any shares that the individual has the right to acquire within 60 days of February 28, 2026, through the exercise of any stock option, warrants, or other rights or the vesting of any RSU and DSU awards. Except as otherwise indicated, and subject to applicable community property laws, the persons named in the table have sole voting and investment power with respect to all shares of common stock held by that person.</w:t>
      </w:r>
    </w:p>
    <w:p>
      <w:pPr>
        <w:spacing w:after="0" w:line="188" w:lineRule="exact"/>
        <w:rPr>
          <w:sz w:val="20"/>
          <w:szCs w:val="20"/>
          <w:color w:val="auto"/>
        </w:rPr>
      </w:pPr>
    </w:p>
    <w:p>
      <w:pPr>
        <w:jc w:val="both"/>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percentage of shares beneficially owned is computed on the basis of 140,068,260 shares of our common stock outstanding as of February 28, 2026. Shares of our common stock that a person has the right to acquire within 60 days of February 28, 2026, are deemed outstanding for purposes of computing the percentage ownership of the person holding such rights, but are not deemed outstanding for purposes of computing the percentage ownership of any other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0" w:type="dxa"/>
            <w:vAlign w:val="bottom"/>
          </w:tcPr>
          <w:p>
            <w:pPr>
              <w:spacing w:after="0"/>
              <w:rPr>
                <w:sz w:val="20"/>
                <w:szCs w:val="20"/>
                <w:color w:val="auto"/>
              </w:rPr>
            </w:pPr>
          </w:p>
        </w:tc>
        <w:tc>
          <w:tcPr>
            <w:tcW w:w="166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18"/>
                <w:szCs w:val="18"/>
                <w:b w:val="1"/>
                <w:bCs w:val="1"/>
                <w:color w:val="auto"/>
                <w:w w:val="96"/>
              </w:rPr>
              <w:t>Ownership</w:t>
            </w:r>
            <w:r>
              <w:rPr>
                <w:rFonts w:ascii="Times New Roman" w:cs="Times New Roman" w:eastAsia="Times New Roman" w:hAnsi="Times New Roman"/>
                <w:sz w:val="24"/>
                <w:szCs w:val="24"/>
                <w:b w:val="1"/>
                <w:bCs w:val="1"/>
                <w:color w:val="auto"/>
                <w:w w:val="96"/>
                <w:vertAlign w:val="superscript"/>
              </w:rPr>
              <w:t>(1)</w:t>
            </w: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29"/>
        </w:trPr>
        <w:tc>
          <w:tcPr>
            <w:tcW w:w="1500" w:type="dxa"/>
            <w:vAlign w:val="bottom"/>
            <w:tcBorders>
              <w:top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Borders>
              <w:top w:val="single" w:sz="8" w:color="D9D9D9"/>
            </w:tcBorders>
            <w:shd w:val="clear" w:color="auto" w:fill="D9D9D9"/>
          </w:tcPr>
          <w:p>
            <w:pPr>
              <w:spacing w:after="0"/>
              <w:rPr>
                <w:sz w:val="19"/>
                <w:szCs w:val="19"/>
                <w:color w:val="auto"/>
              </w:rPr>
            </w:pPr>
          </w:p>
        </w:tc>
        <w:tc>
          <w:tcPr>
            <w:tcW w:w="4280" w:type="dxa"/>
            <w:vAlign w:val="bottom"/>
            <w:tcBorders>
              <w:top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John K. Bakewell</w:t>
            </w:r>
          </w:p>
        </w:tc>
        <w:tc>
          <w:tcPr>
            <w:tcW w:w="180" w:type="dxa"/>
            <w:vAlign w:val="bottom"/>
            <w:tcBorders>
              <w:top w:val="single" w:sz="8" w:color="D9D9D9"/>
            </w:tcBorders>
            <w:shd w:val="clear" w:color="auto" w:fill="D9D9D9"/>
          </w:tcPr>
          <w:p>
            <w:pPr>
              <w:spacing w:after="0"/>
              <w:rPr>
                <w:sz w:val="19"/>
                <w:szCs w:val="19"/>
                <w:color w:val="auto"/>
              </w:rPr>
            </w:pPr>
          </w:p>
        </w:tc>
        <w:tc>
          <w:tcPr>
            <w:tcW w:w="1400" w:type="dxa"/>
            <w:vAlign w:val="bottom"/>
            <w:tcBorders>
              <w:top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784,118</w:t>
            </w:r>
          </w:p>
        </w:tc>
        <w:tc>
          <w:tcPr>
            <w:tcW w:w="260" w:type="dxa"/>
            <w:vAlign w:val="bottom"/>
            <w:tcBorders>
              <w:top w:val="single" w:sz="8" w:color="D9D9D9"/>
            </w:tcBorders>
            <w:shd w:val="clear" w:color="auto" w:fill="D9D9D9"/>
          </w:tcPr>
          <w:p>
            <w:pPr>
              <w:spacing w:after="0"/>
              <w:rPr>
                <w:sz w:val="19"/>
                <w:szCs w:val="19"/>
                <w:color w:val="auto"/>
              </w:rPr>
            </w:pPr>
          </w:p>
        </w:tc>
        <w:tc>
          <w:tcPr>
            <w:tcW w:w="1660" w:type="dxa"/>
            <w:vAlign w:val="bottom"/>
            <w:tcBorders>
              <w:top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Jonn R. Beeson</w:t>
            </w:r>
          </w:p>
        </w:tc>
        <w:tc>
          <w:tcPr>
            <w:tcW w:w="18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1,656,711</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r>
      <w:tr>
        <w:trPr>
          <w:trHeight w:val="229"/>
        </w:trPr>
        <w:tc>
          <w:tcPr>
            <w:tcW w:w="1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shd w:val="clear" w:color="auto" w:fill="D9D9D9"/>
          </w:tcPr>
          <w:p>
            <w:pPr>
              <w:spacing w:after="0"/>
              <w:rPr>
                <w:sz w:val="19"/>
                <w:szCs w:val="19"/>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1840" w:type="dxa"/>
            <w:vAlign w:val="bottom"/>
            <w:gridSpan w:val="3"/>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3,652,348</w:t>
            </w:r>
          </w:p>
        </w:tc>
        <w:tc>
          <w:tcPr>
            <w:tcW w:w="1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9"/>
                <w:szCs w:val="19"/>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Abhinav Jain</w:t>
            </w:r>
          </w:p>
        </w:tc>
        <w:tc>
          <w:tcPr>
            <w:tcW w:w="18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0"/>
        </w:trPr>
        <w:tc>
          <w:tcPr>
            <w:tcW w:w="1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shd w:val="clear" w:color="auto" w:fill="D9D9D9"/>
          </w:tcPr>
          <w:p>
            <w:pPr>
              <w:spacing w:after="0"/>
              <w:rPr>
                <w:sz w:val="20"/>
                <w:szCs w:val="20"/>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Tyler P. Lipschultz</w:t>
            </w:r>
          </w:p>
        </w:tc>
        <w:tc>
          <w:tcPr>
            <w:tcW w:w="180" w:type="dxa"/>
            <w:vAlign w:val="bottom"/>
            <w:shd w:val="clear" w:color="auto" w:fill="D9D9D9"/>
          </w:tcPr>
          <w:p>
            <w:pPr>
              <w:spacing w:after="0"/>
              <w:rPr>
                <w:sz w:val="20"/>
                <w:szCs w:val="20"/>
                <w:color w:val="auto"/>
              </w:rPr>
            </w:pPr>
          </w:p>
        </w:tc>
        <w:tc>
          <w:tcPr>
            <w:tcW w:w="1660" w:type="dxa"/>
            <w:vAlign w:val="bottom"/>
            <w:gridSpan w:val="2"/>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Pr>
          <w:p>
            <w:pPr>
              <w:spacing w:after="0"/>
              <w:rPr>
                <w:sz w:val="19"/>
                <w:szCs w:val="19"/>
                <w:color w:val="auto"/>
              </w:rPr>
            </w:pPr>
          </w:p>
        </w:tc>
        <w:tc>
          <w:tcPr>
            <w:tcW w:w="42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Stavros G. Vizirgianakis</w:t>
            </w:r>
            <w:r>
              <w:rPr>
                <w:rFonts w:ascii="Times New Roman" w:cs="Times New Roman" w:eastAsia="Times New Roman" w:hAnsi="Times New Roman"/>
                <w:sz w:val="25"/>
                <w:szCs w:val="25"/>
                <w:color w:val="auto"/>
                <w:vertAlign w:val="superscript"/>
              </w:rPr>
              <w:t>(2)</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8,449,102</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19"/>
                <w:szCs w:val="19"/>
                <w:color w:val="auto"/>
              </w:rPr>
            </w:pPr>
          </w:p>
        </w:tc>
      </w:tr>
      <w:tr>
        <w:trPr>
          <w:trHeight w:val="230"/>
        </w:trPr>
        <w:tc>
          <w:tcPr>
            <w:tcW w:w="1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shd w:val="clear" w:color="auto" w:fill="D9D9D9"/>
          </w:tcPr>
          <w:p>
            <w:pPr>
              <w:spacing w:after="0"/>
              <w:rPr>
                <w:sz w:val="20"/>
                <w:szCs w:val="20"/>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Scott C. Neils</w:t>
            </w:r>
          </w:p>
        </w:tc>
        <w:tc>
          <w:tcPr>
            <w:tcW w:w="1840" w:type="dxa"/>
            <w:vAlign w:val="bottom"/>
            <w:gridSpan w:val="3"/>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color w:val="auto"/>
              </w:rPr>
              <w:t>680,781</w:t>
            </w:r>
          </w:p>
        </w:tc>
        <w:tc>
          <w:tcPr>
            <w:tcW w:w="1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Mark A. Schallenberger</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367,285</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9"/>
        </w:trPr>
        <w:tc>
          <w:tcPr>
            <w:tcW w:w="15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42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All current executive officers and directors as a</w:t>
            </w:r>
          </w:p>
        </w:tc>
        <w:tc>
          <w:tcPr>
            <w:tcW w:w="180" w:type="dxa"/>
            <w:vAlign w:val="bottom"/>
            <w:shd w:val="clear" w:color="auto" w:fill="D9D9D9"/>
          </w:tcPr>
          <w:p>
            <w:pPr>
              <w:spacing w:after="0"/>
              <w:rPr>
                <w:sz w:val="19"/>
                <w:szCs w:val="19"/>
                <w:color w:val="auto"/>
              </w:rPr>
            </w:pPr>
          </w:p>
        </w:tc>
        <w:tc>
          <w:tcPr>
            <w:tcW w:w="140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66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50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shd w:val="clear" w:color="auto" w:fill="D9D9D9"/>
          </w:tcPr>
          <w:p>
            <w:pPr>
              <w:spacing w:after="0"/>
              <w:rPr>
                <w:sz w:val="20"/>
                <w:szCs w:val="20"/>
                <w:color w:val="auto"/>
              </w:rPr>
            </w:pPr>
          </w:p>
        </w:tc>
        <w:tc>
          <w:tcPr>
            <w:tcW w:w="4280" w:type="dxa"/>
            <w:vAlign w:val="bottom"/>
            <w:shd w:val="clear" w:color="auto" w:fill="D9D9D9"/>
          </w:tcPr>
          <w:p>
            <w:pPr>
              <w:spacing w:after="0" w:line="230" w:lineRule="exact"/>
              <w:rPr>
                <w:sz w:val="20"/>
                <w:szCs w:val="20"/>
                <w:color w:val="auto"/>
              </w:rPr>
            </w:pPr>
            <w:r>
              <w:rPr>
                <w:rFonts w:ascii="Times New Roman" w:cs="Times New Roman" w:eastAsia="Times New Roman" w:hAnsi="Times New Roman"/>
                <w:sz w:val="20"/>
                <w:szCs w:val="20"/>
                <w:color w:val="auto"/>
              </w:rPr>
              <w:t>group (8 persons)</w:t>
            </w:r>
            <w:r>
              <w:rPr>
                <w:rFonts w:ascii="Times New Roman" w:cs="Times New Roman" w:eastAsia="Times New Roman" w:hAnsi="Times New Roman"/>
                <w:sz w:val="25"/>
                <w:szCs w:val="25"/>
                <w:color w:val="auto"/>
                <w:vertAlign w:val="superscript"/>
              </w:rPr>
              <w:t>(3)</w:t>
            </w:r>
          </w:p>
        </w:tc>
        <w:tc>
          <w:tcPr>
            <w:tcW w:w="180" w:type="dxa"/>
            <w:vAlign w:val="bottom"/>
            <w:shd w:val="clear" w:color="auto" w:fill="D9D9D9"/>
          </w:tcPr>
          <w:p>
            <w:pPr>
              <w:spacing w:after="0"/>
              <w:rPr>
                <w:sz w:val="20"/>
                <w:szCs w:val="20"/>
                <w:color w:val="auto"/>
              </w:rPr>
            </w:pPr>
          </w:p>
        </w:tc>
        <w:tc>
          <w:tcPr>
            <w:tcW w:w="1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15,590,345</w:t>
            </w:r>
          </w:p>
        </w:tc>
        <w:tc>
          <w:tcPr>
            <w:tcW w:w="260" w:type="dxa"/>
            <w:vAlign w:val="bottom"/>
            <w:shd w:val="clear" w:color="auto" w:fill="D9D9D9"/>
          </w:tcPr>
          <w:p>
            <w:pPr>
              <w:spacing w:after="0"/>
              <w:rPr>
                <w:sz w:val="20"/>
                <w:szCs w:val="20"/>
                <w:color w:val="auto"/>
              </w:rPr>
            </w:pPr>
          </w:p>
        </w:tc>
        <w:tc>
          <w:tcPr>
            <w:tcW w:w="16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21" w:lineRule="exact"/>
        <w:rPr>
          <w:sz w:val="20"/>
          <w:szCs w:val="20"/>
          <w:color w:val="auto"/>
        </w:rPr>
      </w:pPr>
    </w:p>
    <w:p>
      <w:pPr>
        <w:ind w:left="720" w:hanging="72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than 1% of outstanding shares of common stock.</w:t>
      </w:r>
    </w:p>
    <w:p>
      <w:pPr>
        <w:spacing w:after="0" w:line="239" w:lineRule="exact"/>
        <w:rPr>
          <w:sz w:val="20"/>
          <w:szCs w:val="20"/>
          <w:color w:val="auto"/>
        </w:rPr>
      </w:pPr>
    </w:p>
    <w:p>
      <w:pPr>
        <w:ind w:left="720" w:right="100" w:hanging="720"/>
        <w:spacing w:after="0" w:line="305" w:lineRule="auto"/>
        <w:tabs>
          <w:tab w:leader="none" w:pos="7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for the persons listed below the following shares subject to warrants, options, RSUs and DSUs held by that person that are currently exercisable or become exercisable within 60 days of February 28, 2026:</w:t>
      </w:r>
    </w:p>
    <w:p>
      <w:pPr>
        <w:spacing w:after="0" w:line="145"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 w:type="dxa"/>
            <w:vAlign w:val="bottom"/>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Borders>
              <w:bottom w:val="single" w:sz="8" w:color="D9D9D9"/>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DSUs and RSUs</w:t>
            </w:r>
          </w:p>
        </w:tc>
        <w:tc>
          <w:tcPr>
            <w:tcW w:w="20" w:type="dxa"/>
            <w:vAlign w:val="bottom"/>
          </w:tcPr>
          <w:p>
            <w:pPr>
              <w:spacing w:after="0"/>
              <w:rPr>
                <w:sz w:val="20"/>
                <w:szCs w:val="20"/>
                <w:color w:val="auto"/>
              </w:rPr>
            </w:pPr>
          </w:p>
        </w:tc>
      </w:tr>
      <w:tr>
        <w:trPr>
          <w:trHeight w:val="230"/>
        </w:trPr>
        <w:tc>
          <w:tcPr>
            <w:tcW w:w="35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John K. Bakewell</w:t>
            </w:r>
          </w:p>
        </w:tc>
        <w:tc>
          <w:tcPr>
            <w:tcW w:w="20" w:type="dxa"/>
            <w:vAlign w:val="bottom"/>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9D9D9"/>
          </w:tcPr>
          <w:p>
            <w:pPr>
              <w:spacing w:after="0"/>
              <w:rPr>
                <w:sz w:val="20"/>
                <w:szCs w:val="20"/>
                <w:color w:val="auto"/>
              </w:rPr>
            </w:pPr>
          </w:p>
        </w:tc>
        <w:tc>
          <w:tcPr>
            <w:tcW w:w="1300" w:type="dxa"/>
            <w:vAlign w:val="bottom"/>
            <w:gridSpan w:val="3"/>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28,230</w:t>
            </w:r>
          </w:p>
        </w:tc>
        <w:tc>
          <w:tcPr>
            <w:tcW w:w="140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307,342</w:t>
            </w:r>
          </w:p>
        </w:tc>
        <w:tc>
          <w:tcPr>
            <w:tcW w:w="20" w:type="dxa"/>
            <w:vAlign w:val="bottom"/>
          </w:tcPr>
          <w:p>
            <w:pPr>
              <w:spacing w:after="0"/>
              <w:rPr>
                <w:sz w:val="20"/>
                <w:szCs w:val="20"/>
                <w:color w:val="auto"/>
              </w:rPr>
            </w:pPr>
          </w:p>
        </w:tc>
      </w:tr>
      <w:tr>
        <w:trPr>
          <w:trHeight w:val="209"/>
        </w:trPr>
        <w:tc>
          <w:tcPr>
            <w:tcW w:w="35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Jonn R. Beeson</w:t>
            </w:r>
          </w:p>
        </w:tc>
        <w:tc>
          <w:tcPr>
            <w:tcW w:w="20" w:type="dxa"/>
            <w:vAlign w:val="bottom"/>
          </w:tcPr>
          <w:p>
            <w:pPr>
              <w:spacing w:after="0"/>
              <w:rPr>
                <w:sz w:val="18"/>
                <w:szCs w:val="18"/>
                <w:color w:val="auto"/>
              </w:rPr>
            </w:pPr>
          </w:p>
        </w:tc>
        <w:tc>
          <w:tcPr>
            <w:tcW w:w="160" w:type="dxa"/>
            <w:vAlign w:val="bottom"/>
            <w:tcBorders>
              <w:top w:val="single" w:sz="8" w:color="D9D9D9"/>
            </w:tcBorders>
          </w:tcPr>
          <w:p>
            <w:pPr>
              <w:spacing w:after="0"/>
              <w:rPr>
                <w:sz w:val="18"/>
                <w:szCs w:val="18"/>
                <w:color w:val="auto"/>
              </w:rPr>
            </w:pPr>
          </w:p>
        </w:tc>
        <w:tc>
          <w:tcPr>
            <w:tcW w:w="80" w:type="dxa"/>
            <w:vAlign w:val="bottom"/>
            <w:tcBorders>
              <w:top w:val="single" w:sz="8" w:color="D9D9D9"/>
            </w:tcBorders>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253,818</w:t>
            </w:r>
          </w:p>
        </w:tc>
        <w:tc>
          <w:tcPr>
            <w:tcW w:w="180" w:type="dxa"/>
            <w:vAlign w:val="bottom"/>
            <w:tcBorders>
              <w:top w:val="single" w:sz="8" w:color="D9D9D9"/>
            </w:tcBorders>
          </w:tcPr>
          <w:p>
            <w:pPr>
              <w:spacing w:after="0"/>
              <w:rPr>
                <w:sz w:val="18"/>
                <w:szCs w:val="18"/>
                <w:color w:val="auto"/>
              </w:rPr>
            </w:pPr>
          </w:p>
        </w:tc>
        <w:tc>
          <w:tcPr>
            <w:tcW w:w="80" w:type="dxa"/>
            <w:vAlign w:val="bottom"/>
            <w:tcBorders>
              <w:top w:val="single" w:sz="8" w:color="D9D9D9"/>
            </w:tcBorders>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28,230</w:t>
            </w:r>
          </w:p>
        </w:tc>
        <w:tc>
          <w:tcPr>
            <w:tcW w:w="180" w:type="dxa"/>
            <w:vAlign w:val="bottom"/>
            <w:tcBorders>
              <w:top w:val="single" w:sz="8" w:color="D9D9D9"/>
            </w:tcBorders>
          </w:tcPr>
          <w:p>
            <w:pPr>
              <w:spacing w:after="0"/>
              <w:rPr>
                <w:sz w:val="18"/>
                <w:szCs w:val="18"/>
                <w:color w:val="auto"/>
              </w:rPr>
            </w:pPr>
          </w:p>
        </w:tc>
        <w:tc>
          <w:tcPr>
            <w:tcW w:w="80" w:type="dxa"/>
            <w:vAlign w:val="bottom"/>
            <w:tcBorders>
              <w:top w:val="single" w:sz="8" w:color="D9D9D9"/>
            </w:tcBorders>
          </w:tcPr>
          <w:p>
            <w:pPr>
              <w:spacing w:after="0"/>
              <w:rPr>
                <w:sz w:val="18"/>
                <w:szCs w:val="18"/>
                <w:color w:val="auto"/>
              </w:rPr>
            </w:pPr>
          </w:p>
        </w:tc>
        <w:tc>
          <w:tcPr>
            <w:tcW w:w="13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307,342</w:t>
            </w:r>
          </w:p>
        </w:tc>
        <w:tc>
          <w:tcPr>
            <w:tcW w:w="20" w:type="dxa"/>
            <w:vAlign w:val="bottom"/>
          </w:tcPr>
          <w:p>
            <w:pPr>
              <w:spacing w:after="0"/>
              <w:rPr>
                <w:sz w:val="18"/>
                <w:szCs w:val="18"/>
                <w:color w:val="auto"/>
              </w:rPr>
            </w:pPr>
          </w:p>
        </w:tc>
      </w:tr>
      <w:tr>
        <w:trPr>
          <w:trHeight w:val="230"/>
        </w:trPr>
        <w:tc>
          <w:tcPr>
            <w:tcW w:w="35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20" w:type="dxa"/>
            <w:vAlign w:val="bottom"/>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1,924,935</w:t>
            </w:r>
          </w:p>
        </w:tc>
        <w:tc>
          <w:tcPr>
            <w:tcW w:w="1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365,816</w:t>
            </w:r>
          </w:p>
        </w:tc>
        <w:tc>
          <w:tcPr>
            <w:tcW w:w="2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Abhinav Jain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9"/>
        </w:trPr>
        <w:tc>
          <w:tcPr>
            <w:tcW w:w="35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Tyler P. Lipschultz</w:t>
            </w:r>
          </w:p>
        </w:tc>
        <w:tc>
          <w:tcPr>
            <w:tcW w:w="20" w:type="dxa"/>
            <w:vAlign w:val="bottom"/>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22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9D9D9"/>
          </w:tcPr>
          <w:p>
            <w:pPr>
              <w:spacing w:after="0"/>
              <w:rPr>
                <w:sz w:val="19"/>
                <w:szCs w:val="19"/>
                <w:color w:val="auto"/>
              </w:rPr>
            </w:pPr>
          </w:p>
        </w:tc>
        <w:tc>
          <w:tcPr>
            <w:tcW w:w="122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9D9D9"/>
          </w:tcPr>
          <w:p>
            <w:pPr>
              <w:spacing w:after="0"/>
              <w:rPr>
                <w:sz w:val="19"/>
                <w:szCs w:val="19"/>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Stavros G. Vizirgianakis</w:t>
            </w:r>
          </w:p>
        </w:tc>
        <w:tc>
          <w:tcPr>
            <w:tcW w:w="20" w:type="dxa"/>
            <w:vAlign w:val="bottom"/>
          </w:tcPr>
          <w:p>
            <w:pPr>
              <w:spacing w:after="0"/>
              <w:rPr>
                <w:sz w:val="20"/>
                <w:szCs w:val="20"/>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1,444,984</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42,345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966,418</w:t>
            </w:r>
          </w:p>
        </w:tc>
        <w:tc>
          <w:tcPr>
            <w:tcW w:w="20" w:type="dxa"/>
            <w:vAlign w:val="bottom"/>
          </w:tcPr>
          <w:p>
            <w:pPr>
              <w:spacing w:after="0"/>
              <w:rPr>
                <w:sz w:val="20"/>
                <w:szCs w:val="20"/>
                <w:color w:val="auto"/>
              </w:rPr>
            </w:pPr>
          </w:p>
        </w:tc>
      </w:tr>
      <w:tr>
        <w:trPr>
          <w:trHeight w:val="230"/>
        </w:trPr>
        <w:tc>
          <w:tcPr>
            <w:tcW w:w="35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Scott C. Neils</w:t>
            </w:r>
          </w:p>
        </w:tc>
        <w:tc>
          <w:tcPr>
            <w:tcW w:w="20" w:type="dxa"/>
            <w:vAlign w:val="bottom"/>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20" w:type="dxa"/>
            <w:vAlign w:val="bottom"/>
            <w:gridSpan w:val="2"/>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3"/>
            <w:shd w:val="clear" w:color="auto" w:fill="D9D9D9"/>
          </w:tcPr>
          <w:p>
            <w:pPr>
              <w:jc w:val="right"/>
              <w:ind w:right="180"/>
              <w:spacing w:after="0"/>
              <w:rPr>
                <w:sz w:val="20"/>
                <w:szCs w:val="20"/>
                <w:color w:val="auto"/>
              </w:rPr>
            </w:pPr>
            <w:r>
              <w:rPr>
                <w:rFonts w:ascii="Times New Roman" w:cs="Times New Roman" w:eastAsia="Times New Roman" w:hAnsi="Times New Roman"/>
                <w:sz w:val="20"/>
                <w:szCs w:val="20"/>
                <w:color w:val="auto"/>
              </w:rPr>
              <w:t>310,514</w:t>
            </w:r>
          </w:p>
        </w:tc>
        <w:tc>
          <w:tcPr>
            <w:tcW w:w="140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88,774</w:t>
            </w:r>
          </w:p>
        </w:tc>
        <w:tc>
          <w:tcPr>
            <w:tcW w:w="20" w:type="dxa"/>
            <w:vAlign w:val="bottom"/>
          </w:tcPr>
          <w:p>
            <w:pPr>
              <w:spacing w:after="0"/>
              <w:rPr>
                <w:sz w:val="20"/>
                <w:szCs w:val="20"/>
                <w:color w:val="auto"/>
              </w:rPr>
            </w:pPr>
          </w:p>
        </w:tc>
      </w:tr>
      <w:tr>
        <w:trPr>
          <w:trHeight w:val="239"/>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Mark A. Schallenberger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163,438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86,734</w:t>
            </w:r>
          </w:p>
        </w:tc>
        <w:tc>
          <w:tcPr>
            <w:tcW w:w="20" w:type="dxa"/>
            <w:vAlign w:val="bottom"/>
          </w:tcPr>
          <w:p>
            <w:pPr>
              <w:spacing w:after="0"/>
              <w:rPr>
                <w:sz w:val="20"/>
                <w:szCs w:val="20"/>
                <w:color w:val="auto"/>
              </w:rPr>
            </w:pPr>
          </w:p>
        </w:tc>
      </w:tr>
      <w:tr>
        <w:trPr>
          <w:trHeight w:val="230"/>
        </w:trPr>
        <w:tc>
          <w:tcPr>
            <w:tcW w:w="3540" w:type="dxa"/>
            <w:vAlign w:val="bottom"/>
            <w:tcBorders>
              <w:top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All current directors and executive</w:t>
            </w:r>
          </w:p>
        </w:tc>
        <w:tc>
          <w:tcPr>
            <w:tcW w:w="20" w:type="dxa"/>
            <w:vAlign w:val="bottom"/>
            <w:tcBorders>
              <w:top w:val="single" w:sz="8" w:color="D9D9D9"/>
            </w:tcBorders>
          </w:tcPr>
          <w:p>
            <w:pPr>
              <w:spacing w:after="0"/>
              <w:rPr>
                <w:sz w:val="20"/>
                <w:szCs w:val="20"/>
                <w:color w:val="auto"/>
              </w:rPr>
            </w:pPr>
          </w:p>
        </w:tc>
        <w:tc>
          <w:tcPr>
            <w:tcW w:w="16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auto"/>
            </w:tcBorders>
            <w:shd w:val="clear" w:color="auto" w:fill="D9D9D9"/>
          </w:tcPr>
          <w:p>
            <w:pPr>
              <w:spacing w:after="0"/>
              <w:rPr>
                <w:sz w:val="20"/>
                <w:szCs w:val="20"/>
                <w:color w:val="auto"/>
              </w:rPr>
            </w:pPr>
          </w:p>
        </w:tc>
        <w:tc>
          <w:tcPr>
            <w:tcW w:w="1040" w:type="dxa"/>
            <w:vAlign w:val="bottom"/>
            <w:tcBorders>
              <w:top w:val="single" w:sz="8" w:color="auto"/>
            </w:tcBorders>
            <w:shd w:val="clear" w:color="auto" w:fill="D9D9D9"/>
          </w:tcPr>
          <w:p>
            <w:pPr>
              <w:spacing w:after="0"/>
              <w:rPr>
                <w:sz w:val="20"/>
                <w:szCs w:val="20"/>
                <w:color w:val="auto"/>
              </w:rPr>
            </w:pPr>
          </w:p>
        </w:tc>
        <w:tc>
          <w:tcPr>
            <w:tcW w:w="18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auto"/>
            </w:tcBorders>
            <w:shd w:val="clear" w:color="auto" w:fill="D9D9D9"/>
          </w:tcPr>
          <w:p>
            <w:pPr>
              <w:spacing w:after="0"/>
              <w:rPr>
                <w:sz w:val="20"/>
                <w:szCs w:val="20"/>
                <w:color w:val="auto"/>
              </w:rPr>
            </w:pPr>
          </w:p>
        </w:tc>
        <w:tc>
          <w:tcPr>
            <w:tcW w:w="1040" w:type="dxa"/>
            <w:vAlign w:val="bottom"/>
            <w:tcBorders>
              <w:top w:val="single" w:sz="8" w:color="auto"/>
            </w:tcBorders>
            <w:shd w:val="clear" w:color="auto" w:fill="D9D9D9"/>
          </w:tcPr>
          <w:p>
            <w:pPr>
              <w:spacing w:after="0"/>
              <w:rPr>
                <w:sz w:val="20"/>
                <w:szCs w:val="20"/>
                <w:color w:val="auto"/>
              </w:rPr>
            </w:pPr>
          </w:p>
        </w:tc>
        <w:tc>
          <w:tcPr>
            <w:tcW w:w="18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auto"/>
            </w:tcBorders>
            <w:shd w:val="clear" w:color="auto" w:fill="D9D9D9"/>
          </w:tcPr>
          <w:p>
            <w:pPr>
              <w:spacing w:after="0"/>
              <w:rPr>
                <w:sz w:val="20"/>
                <w:szCs w:val="20"/>
                <w:color w:val="auto"/>
              </w:rPr>
            </w:pPr>
          </w:p>
        </w:tc>
        <w:tc>
          <w:tcPr>
            <w:tcW w:w="1320" w:type="dxa"/>
            <w:vAlign w:val="bottom"/>
            <w:tcBorders>
              <w:top w:val="single" w:sz="8" w:color="auto"/>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5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officers as a group (8 persons)</w:t>
            </w:r>
          </w:p>
        </w:tc>
        <w:tc>
          <w:tcPr>
            <w:tcW w:w="20" w:type="dxa"/>
            <w:vAlign w:val="bottom"/>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1,698,802</w:t>
            </w:r>
          </w:p>
        </w:tc>
        <w:tc>
          <w:tcPr>
            <w:tcW w:w="1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2,497,692</w:t>
            </w:r>
          </w:p>
        </w:tc>
        <w:tc>
          <w:tcPr>
            <w:tcW w:w="1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2,122,426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460"/>
          </w:cols>
          <w:pgMar w:left="1440" w:top="1416" w:right="1340" w:bottom="175"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460"/>
          </w:cols>
          <w:pgMar w:left="1440" w:top="1416" w:right="1340" w:bottom="175" w:gutter="0" w:footer="0" w:header="0"/>
          <w:type w:val="continuous"/>
        </w:sectPr>
      </w:pPr>
    </w:p>
    <w:bookmarkStart w:id="117" w:name="page118"/>
    <w:bookmarkEnd w:id="117"/>
    <w:p>
      <w:pPr>
        <w:jc w:val="both"/>
        <w:ind w:left="720" w:hanging="720"/>
        <w:spacing w:after="0" w:line="252"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in part on information contained in a Schedule 13D filed with the SEC on September 6, 2022 and other information available to the Company. The number of shares consists of 5,995,355 shares of our common stock, 966,418 shares of vested DSUs, 42,345 shares of our common stock issuable upon exercise of options and 1,444,984 shares of our common stock issuable upon exercise of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table below provides information about our common stock that may be issued under our equity compensation plans as of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08"/>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06"/>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06"/>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08"/>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Future</w:t>
            </w:r>
          </w:p>
        </w:tc>
      </w:tr>
      <w:tr>
        <w:trPr>
          <w:trHeight w:val="206"/>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Issuance under</w:t>
            </w:r>
          </w:p>
        </w:tc>
      </w:tr>
      <w:tr>
        <w:trPr>
          <w:trHeight w:val="208"/>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2"/>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6"/>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8"/>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340" w:type="dxa"/>
            <w:vAlign w:val="bottom"/>
            <w:gridSpan w:val="2"/>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37"/>
        </w:trPr>
        <w:tc>
          <w:tcPr>
            <w:tcW w:w="48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 w:type="dxa"/>
            <w:vAlign w:val="bottom"/>
            <w:tcBorders>
              <w:bottom w:val="single" w:sz="8" w:color="D9D9D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Borders>
              <w:bottom w:val="single" w:sz="8" w:color="D9D9D9"/>
            </w:tcBorders>
          </w:tcPr>
          <w:p>
            <w:pPr>
              <w:spacing w:after="0"/>
              <w:rPr>
                <w:sz w:val="20"/>
                <w:szCs w:val="20"/>
                <w:color w:val="auto"/>
              </w:rPr>
            </w:pPr>
          </w:p>
        </w:tc>
        <w:tc>
          <w:tcPr>
            <w:tcW w:w="160" w:type="dxa"/>
            <w:vAlign w:val="bottom"/>
            <w:tcBorders>
              <w:bottom w:val="single" w:sz="8" w:color="D9D9D9"/>
            </w:tcBorders>
          </w:tcPr>
          <w:p>
            <w:pPr>
              <w:spacing w:after="0"/>
              <w:rPr>
                <w:sz w:val="20"/>
                <w:szCs w:val="20"/>
                <w:color w:val="auto"/>
              </w:rPr>
            </w:pPr>
          </w:p>
        </w:tc>
        <w:tc>
          <w:tcPr>
            <w:tcW w:w="20" w:type="dxa"/>
            <w:vAlign w:val="bottom"/>
            <w:tcBorders>
              <w:bottom w:val="single" w:sz="8" w:color="D9D9D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Borders>
              <w:bottom w:val="single" w:sz="8" w:color="D9D9D9"/>
            </w:tcBorders>
            <w:gridSpan w:val="2"/>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60" w:type="dxa"/>
            <w:vAlign w:val="bottom"/>
            <w:tcBorders>
              <w:bottom w:val="single" w:sz="8" w:color="D9D9D9"/>
            </w:tcBorders>
          </w:tcPr>
          <w:p>
            <w:pPr>
              <w:spacing w:after="0"/>
              <w:rPr>
                <w:sz w:val="20"/>
                <w:szCs w:val="20"/>
                <w:color w:val="auto"/>
              </w:rPr>
            </w:pPr>
          </w:p>
        </w:tc>
      </w:tr>
      <w:tr>
        <w:trPr>
          <w:trHeight w:val="230"/>
        </w:trPr>
        <w:tc>
          <w:tcPr>
            <w:tcW w:w="4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6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40" w:type="dxa"/>
            <w:vAlign w:val="bottom"/>
            <w:gridSpan w:val="2"/>
            <w:shd w:val="clear" w:color="auto" w:fill="D9D9D9"/>
          </w:tcPr>
          <w:p>
            <w:pPr>
              <w:jc w:val="right"/>
              <w:spacing w:after="0" w:line="230" w:lineRule="exact"/>
              <w:rPr>
                <w:sz w:val="20"/>
                <w:szCs w:val="20"/>
                <w:color w:val="auto"/>
              </w:rPr>
            </w:pPr>
            <w:r>
              <w:rPr>
                <w:rFonts w:ascii="Times New Roman" w:cs="Times New Roman" w:eastAsia="Times New Roman" w:hAnsi="Times New Roman"/>
                <w:sz w:val="20"/>
                <w:szCs w:val="20"/>
                <w:color w:val="auto"/>
              </w:rPr>
              <w:t xml:space="preserve">14,769,724 </w:t>
            </w:r>
            <w:r>
              <w:rPr>
                <w:rFonts w:ascii="Times New Roman" w:cs="Times New Roman" w:eastAsia="Times New Roman" w:hAnsi="Times New Roman"/>
                <w:sz w:val="25"/>
                <w:szCs w:val="25"/>
                <w:color w:val="auto"/>
                <w:vertAlign w:val="superscript"/>
              </w:rPr>
              <w:t>(1)</w:t>
            </w:r>
          </w:p>
        </w:tc>
        <w:tc>
          <w:tcPr>
            <w:tcW w:w="280" w:type="dxa"/>
            <w:vAlign w:val="bottom"/>
            <w:gridSpan w:val="3"/>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shd w:val="clear" w:color="auto" w:fill="D9D9D9"/>
          </w:tcPr>
          <w:p>
            <w:pPr>
              <w:jc w:val="right"/>
              <w:ind w:right="95"/>
              <w:spacing w:after="0" w:line="230" w:lineRule="exact"/>
              <w:rPr>
                <w:sz w:val="20"/>
                <w:szCs w:val="20"/>
                <w:color w:val="auto"/>
              </w:rPr>
            </w:pPr>
            <w:r>
              <w:rPr>
                <w:rFonts w:ascii="Times New Roman" w:cs="Times New Roman" w:eastAsia="Times New Roman" w:hAnsi="Times New Roman"/>
                <w:sz w:val="20"/>
                <w:szCs w:val="20"/>
                <w:color w:val="auto"/>
              </w:rPr>
              <w:t>1.30</w:t>
            </w:r>
            <w:r>
              <w:rPr>
                <w:rFonts w:ascii="Times New Roman" w:cs="Times New Roman" w:eastAsia="Times New Roman" w:hAnsi="Times New Roman"/>
                <w:sz w:val="25"/>
                <w:szCs w:val="25"/>
                <w:color w:val="auto"/>
                <w:vertAlign w:val="superscript"/>
              </w:rPr>
              <w:t>(2)</w:t>
            </w:r>
          </w:p>
        </w:tc>
        <w:tc>
          <w:tcPr>
            <w:tcW w:w="20" w:type="dxa"/>
            <w:vAlign w:val="bottom"/>
            <w:shd w:val="clear" w:color="auto" w:fill="D9D9D9"/>
          </w:tcPr>
          <w:p>
            <w:pPr>
              <w:spacing w:after="0"/>
              <w:rPr>
                <w:sz w:val="20"/>
                <w:szCs w:val="20"/>
                <w:color w:val="auto"/>
              </w:rPr>
            </w:pPr>
          </w:p>
        </w:tc>
        <w:tc>
          <w:tcPr>
            <w:tcW w:w="1340" w:type="dxa"/>
            <w:vAlign w:val="bottom"/>
            <w:gridSpan w:val="2"/>
            <w:shd w:val="clear" w:color="auto" w:fill="D9D9D9"/>
          </w:tcPr>
          <w:p>
            <w:pPr>
              <w:jc w:val="right"/>
              <w:spacing w:after="0" w:line="230" w:lineRule="exact"/>
              <w:rPr>
                <w:sz w:val="20"/>
                <w:szCs w:val="20"/>
                <w:color w:val="auto"/>
              </w:rPr>
            </w:pPr>
            <w:r>
              <w:rPr>
                <w:rFonts w:ascii="Times New Roman" w:cs="Times New Roman" w:eastAsia="Times New Roman" w:hAnsi="Times New Roman"/>
                <w:sz w:val="20"/>
                <w:szCs w:val="20"/>
                <w:color w:val="auto"/>
              </w:rPr>
              <w:t>12,966,721</w:t>
            </w:r>
            <w:r>
              <w:rPr>
                <w:rFonts w:ascii="Times New Roman" w:cs="Times New Roman" w:eastAsia="Times New Roman" w:hAnsi="Times New Roman"/>
                <w:sz w:val="25"/>
                <w:szCs w:val="25"/>
                <w:color w:val="auto"/>
                <w:vertAlign w:val="superscript"/>
              </w:rPr>
              <w:t>(3)</w:t>
            </w: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w w:val="99"/>
              </w:rPr>
              <w:t>Equity compensation plans not approved by security holders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r>
      <w:tr>
        <w:trPr>
          <w:trHeight w:val="271"/>
        </w:trPr>
        <w:tc>
          <w:tcPr>
            <w:tcW w:w="4840" w:type="dxa"/>
            <w:vAlign w:val="bottom"/>
            <w:tcBorders>
              <w:top w:val="single" w:sz="8" w:color="D9D9D9"/>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80" w:type="dxa"/>
            <w:vAlign w:val="bottom"/>
            <w:tcBorders>
              <w:top w:val="single" w:sz="8" w:color="auto"/>
              <w:bottom w:val="single" w:sz="8" w:color="auto"/>
            </w:tcBorders>
            <w:shd w:val="clear" w:color="auto" w:fill="D9D9D9"/>
          </w:tcPr>
          <w:p>
            <w:pPr>
              <w:spacing w:after="0"/>
              <w:rPr>
                <w:sz w:val="23"/>
                <w:szCs w:val="23"/>
                <w:color w:val="auto"/>
              </w:rPr>
            </w:pPr>
          </w:p>
        </w:tc>
        <w:tc>
          <w:tcPr>
            <w:tcW w:w="1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14,769,724</w:t>
            </w:r>
          </w:p>
        </w:tc>
        <w:tc>
          <w:tcPr>
            <w:tcW w:w="140" w:type="dxa"/>
            <w:vAlign w:val="bottom"/>
            <w:tcBorders>
              <w:top w:val="single" w:sz="8" w:color="D9D9D9"/>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color w:val="auto"/>
                <w:w w:val="78"/>
              </w:rPr>
              <w:t>(1)</w:t>
            </w:r>
          </w:p>
        </w:tc>
        <w:tc>
          <w:tcPr>
            <w:tcW w:w="160" w:type="dxa"/>
            <w:vAlign w:val="bottom"/>
            <w:tcBorders>
              <w:top w:val="single" w:sz="8" w:color="D9D9D9"/>
              <w:bottom w:val="single" w:sz="8" w:color="D9D9D9"/>
            </w:tcBorders>
            <w:shd w:val="clear" w:color="auto" w:fill="D9D9D9"/>
          </w:tcPr>
          <w:p>
            <w:pPr>
              <w:spacing w:after="0"/>
              <w:rPr>
                <w:sz w:val="23"/>
                <w:szCs w:val="23"/>
                <w:color w:val="auto"/>
              </w:rPr>
            </w:pP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300" w:type="dxa"/>
            <w:vAlign w:val="bottom"/>
            <w:tcBorders>
              <w:top w:val="single" w:sz="8" w:color="D9D9D9"/>
              <w:bottom w:val="single" w:sz="8" w:color="D9D9D9"/>
            </w:tcBorders>
            <w:shd w:val="clear" w:color="auto" w:fill="D9D9D9"/>
          </w:tcPr>
          <w:p>
            <w:pPr>
              <w:jc w:val="right"/>
              <w:ind w:right="95"/>
              <w:spacing w:after="0"/>
              <w:rPr>
                <w:sz w:val="20"/>
                <w:szCs w:val="20"/>
                <w:color w:val="auto"/>
              </w:rPr>
            </w:pPr>
            <w:r>
              <w:rPr>
                <w:rFonts w:ascii="Times New Roman" w:cs="Times New Roman" w:eastAsia="Times New Roman" w:hAnsi="Times New Roman"/>
                <w:sz w:val="13"/>
                <w:szCs w:val="13"/>
                <w:color w:val="auto"/>
                <w:w w:val="78"/>
              </w:rPr>
              <w:t>(2)</w:t>
            </w:r>
          </w:p>
        </w:tc>
        <w:tc>
          <w:tcPr>
            <w:tcW w:w="20" w:type="dxa"/>
            <w:vAlign w:val="bottom"/>
            <w:tcBorders>
              <w:top w:val="single" w:sz="8" w:color="D9D9D9"/>
              <w:bottom w:val="single" w:sz="8" w:color="auto"/>
            </w:tcBorders>
            <w:shd w:val="clear" w:color="auto" w:fill="D9D9D9"/>
          </w:tcPr>
          <w:p>
            <w:pPr>
              <w:spacing w:after="0"/>
              <w:rPr>
                <w:sz w:val="23"/>
                <w:szCs w:val="23"/>
                <w:color w:val="auto"/>
              </w:rPr>
            </w:pPr>
          </w:p>
        </w:tc>
        <w:tc>
          <w:tcPr>
            <w:tcW w:w="11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12,966,721</w:t>
            </w:r>
          </w:p>
        </w:tc>
        <w:tc>
          <w:tcPr>
            <w:tcW w:w="160" w:type="dxa"/>
            <w:vAlign w:val="bottom"/>
            <w:tcBorders>
              <w:top w:val="single" w:sz="8" w:color="D9D9D9"/>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color w:val="auto"/>
                <w:w w:val="92"/>
              </w:rPr>
              <w:t>(3)</w:t>
            </w:r>
          </w:p>
        </w:tc>
      </w:tr>
      <w:tr>
        <w:trPr>
          <w:trHeight w:val="25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_____________________________</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183" w:lineRule="exact"/>
        <w:rPr>
          <w:sz w:val="20"/>
          <w:szCs w:val="20"/>
          <w:color w:val="auto"/>
        </w:rPr>
      </w:pPr>
    </w:p>
    <w:p>
      <w:pPr>
        <w:jc w:val="both"/>
        <w:ind w:left="720" w:hanging="720"/>
        <w:spacing w:after="0" w:line="244" w:lineRule="auto"/>
        <w:tabs>
          <w:tab w:leader="none" w:pos="71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1,167,713 shares of our common stock issuable upon the exercise of stock options granted under the 2023 Plan; 2,592,759 shares of our common stock issuable upon the exercise of stock options granted under the 2018 Plan, 2,847,536 shares of our common stock issuable upon the settlement of RSU awards granted under the 2023 Plan, 4,642,717 shares of our common stock issuable upon the settlement of DSU awards granted under the 2023 Plan, 3,340,111 shares of our common stock issuable upon the settlement of PSU awards granted under the 2023 Plan (assuming target performance), and 178,888 shares of our common stock issuable upon the settlement of RSU awards granted under the 2018 Plan. Maximum performance under the PSU awards would result in the issuance of an additional 3,340,111 shares of common stock upon settlement thereof.</w:t>
      </w:r>
    </w:p>
    <w:p>
      <w:pPr>
        <w:spacing w:after="0" w:line="206" w:lineRule="exact"/>
        <w:rPr>
          <w:rFonts w:ascii="Times New Roman" w:cs="Times New Roman" w:eastAsia="Times New Roman" w:hAnsi="Times New Roman"/>
          <w:sz w:val="20"/>
          <w:szCs w:val="20"/>
          <w:color w:val="auto"/>
        </w:rPr>
      </w:pPr>
    </w:p>
    <w:p>
      <w:pPr>
        <w:ind w:left="720" w:hanging="720"/>
        <w:spacing w:after="0" w:line="278" w:lineRule="auto"/>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included in the weighted-average exercise price calculation are 3,026,424 RSU awards, 4,826,926 DSU awards and 3,340,111 PSU awards (assuming target performance).</w:t>
      </w:r>
    </w:p>
    <w:p>
      <w:pPr>
        <w:spacing w:after="0" w:line="166" w:lineRule="exact"/>
        <w:rPr>
          <w:rFonts w:ascii="Times New Roman" w:cs="Times New Roman" w:eastAsia="Times New Roman" w:hAnsi="Times New Roman"/>
          <w:sz w:val="20"/>
          <w:szCs w:val="20"/>
          <w:color w:val="auto"/>
        </w:rPr>
      </w:pPr>
    </w:p>
    <w:p>
      <w:pPr>
        <w:jc w:val="both"/>
        <w:ind w:left="720" w:hanging="720"/>
        <w:spacing w:after="0" w:line="259" w:lineRule="auto"/>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12,966,721 shares of our common stock remaining available for future issuance under the 2023 Plan. No shares remain available for grant under the 2018 Plan or any other plans since such plans have been terminated with respect to future grants.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Procedures for Review and Approval of Related Party Transactions</w:t>
      </w:r>
    </w:p>
    <w:p>
      <w:pPr>
        <w:spacing w:after="0" w:line="24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Pursuant to its charter, the Audit Committee reviews and approves all related party transactions and makes recommendations to the full Board regarding approval of such transactions, unless the Board specifically delegates this responsibility to the Compensation Committee. The Audit Committee reviewed the transactions described below and determined that they were fair, just, and reasonable to the Company and in the best interests of the Company and its stockholders.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1420" w:right="1440" w:bottom="175"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Below is a description of transactions that have occurred during the past two fiscal years, or any currently proposed transactions, to which we were or are a participant and in which:</w:t>
      </w:r>
    </w:p>
    <w:p>
      <w:pPr>
        <w:spacing w:after="0" w:line="182" w:lineRule="exact"/>
        <w:rPr>
          <w:sz w:val="20"/>
          <w:szCs w:val="20"/>
          <w:color w:val="auto"/>
        </w:rPr>
      </w:pPr>
    </w:p>
    <w:p>
      <w:pPr>
        <w:ind w:left="1080" w:hanging="360"/>
        <w:spacing w:after="0" w:line="258" w:lineRule="auto"/>
        <w:tabs>
          <w:tab w:leader="none" w:pos="108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amounts involved exceeded or will exceed the lesser of: $120,000 or one percent (1%) of the average of our total assets at year end for the last two completed fiscal years; and</w:t>
      </w:r>
    </w:p>
    <w:p>
      <w:pPr>
        <w:jc w:val="both"/>
        <w:ind w:left="1080" w:hanging="360"/>
        <w:spacing w:after="0" w:line="247" w:lineRule="auto"/>
        <w:tabs>
          <w:tab w:leader="none" w:pos="108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a related person (including any director, director nominee, executive officer, holder of more than 5% of our common shares or any member of their immediate family) had or will have a direct or indirect material interest.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Shares by OrbiMed and Registration Rights Agreement</w:t>
      </w:r>
    </w:p>
    <w:p>
      <w:pPr>
        <w:spacing w:after="0" w:line="23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On April 10, 2025, ROS Acquisition Offshore LP, OrbiMed Royalty Opportunities II, LP and Royalty Opportunities S.àr.l (together, the “OrbiMed Sellers”), each of which are affiliates of OrbiMed Advisors LLC and collectively former majority stockholders of the Company, entered into a stock purchase agreement with funds affiliated with Nantahala Capital Management, LLC (a beneficial owner of more than 5% of our common stock as of April 10, 2025), Carol Ann Vizirgianakis (the mother of Stavros G. Vizirgianakis, a director of the Company and Chairman of the Board), and certain other purchasers (collectively, the “Purchasers”), pursuant to which the OrbiMed Sellers agreed to sell and sold to the Purchasers an aggregate of 73,114,592 shares of our common stock at a per share price of $0.42. We were not party to the stock purchase agreement, which was privately negotiated amongst the OrbiMed Sellers and the Purchasers. However, to facilitate the transaction, we entered into a registration rights agreement with the Purchasers pursuant to which we agreed to prepare and file a shelf resale registration statement with the SEC for purposes of registering the resale of the shares and to use commercially reasonable efforts to cause the registration statement to be declared effective by the SEC. We also agreed, among other things, to indemnify the selling stockholders from certain liabilities and to pay all fees and expenses incident to our performance of or compliance with the registration rights agreement. We filed this registration statement on May 12, 2025, and it became effective on May 19,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OrbiMed Investor Rights Agreement</w:t>
      </w:r>
    </w:p>
    <w:p>
      <w:pPr>
        <w:spacing w:after="0" w:line="23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Until April 15, 2025, we were party to an Investor Rights Agreement with OrbiMed Royalty Opportunities II, LP (“Royalty Opportunities”) and ROS Acquisition Offshore LP (“ROS”), which are funds affiliated with OrbiMed Advisors LLC. Under the Investor Rights Agreement, we had granted Royalty Opportunities and ROS certain governance and other rights, including director nomination rights, special approval rights, and rights of first refusal, so long as certain common stock ownership thresholds were maintained by Royalty Opportunities and ROS. As described above, effective April 15, 2025, Royalty Opportunities and ROS sold their shares of our common stock to funds affiliated with Nantahala Capital Management, LLC and certain other investors pursuant to a stock purchase agreement, resulting in OrbiMed Advisors LLC and its affiliates no longer being stockholders of the Company, based on beneficial ownership filings made with the SEC and other information available to us. After the closing of such transaction, on April 15, 2025, we provided Royalty Opportunities and ROS written notice of termination of the Investor Rights Agreement in accordance with Article IV thereof, which provided that the Investor Rights Agreement would terminate upon written notice of either the Company or Royalty Opportunities and ROS at such time as their ownership of our common stock, as a percentage of our outstanding common stock, is less than 10%.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Understanding with Nantahala Regarding Board Composition</w:t>
      </w:r>
    </w:p>
    <w:p>
      <w:pPr>
        <w:spacing w:after="0" w:line="2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Abhinav Jain and Tyler Lipschultz were appointed to our Board effective as of August 1, 2025 at the request of Nantahala and upon a determination by our Board that their appointment and the resulting Board composition is in the best interests of the Company and our stockholders. There is no investor rights agreement or other arrangements between us and Nantahala regarding board composition or other governance rights.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360"/>
          </w:cols>
          <w:pgMar w:left="1440" w:top="1416" w:right="1440" w:bottom="175"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i w:val="1"/>
          <w:iCs w:val="1"/>
          <w:color w:val="auto"/>
        </w:rPr>
        <w:t>Vizirgianakis Lead Investor Agreement</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As described in more detail under “</w:t>
      </w:r>
      <w:r>
        <w:rPr>
          <w:rFonts w:ascii="Times New Roman" w:cs="Times New Roman" w:eastAsia="Times New Roman" w:hAnsi="Times New Roman"/>
          <w:sz w:val="20"/>
          <w:szCs w:val="20"/>
          <w:i w:val="1"/>
          <w:iCs w:val="1"/>
          <w:color w:val="auto"/>
        </w:rPr>
        <w:t>General Information about the Board of Directors and Corporate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Governance—Termination of Investor Rights Agreement,</w:t>
      </w:r>
      <w:r>
        <w:rPr>
          <w:rFonts w:ascii="Times New Roman" w:cs="Times New Roman" w:eastAsia="Times New Roman" w:hAnsi="Times New Roman"/>
          <w:sz w:val="20"/>
          <w:szCs w:val="20"/>
          <w:color w:val="auto"/>
        </w:rPr>
        <w:t>” we are party to an agreement with Stavros G. Vizirgianakis,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director and Chairman of the Board, as the lead investor of our 2022 private placement, pursuant to which we agreed, among other things, to provide him certain director nomination rights. These director nomination rights terminated on October 7,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Family Relationships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There are no family relationships between or among our directors, executive officers, or persons nominated or chosen by the Company to become directors or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Board has affirmatively determined that John Bakewell, Jonn Beeson, Abhinav Jain, Tyler Lipschultz, and Stavros Vizirgianakis are “independent directors,” as defined under the independence standards of the NYSE American.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360"/>
          </w:cols>
          <w:pgMar w:left="1440" w:top="1420" w:right="1440" w:bottom="175"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and Non-Audit Fees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represents aggregate fees billed to the Company for the fiscal years ended December 31, 2025 and 2024 by Grant Thornton LLP.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Borders>
              <w:bottom w:val="single" w:sz="8" w:color="D9D9D9"/>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20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D9D9D9"/>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D9D9D9"/>
            </w:tcBorders>
          </w:tcPr>
          <w:p>
            <w:pPr>
              <w:spacing w:after="0"/>
              <w:rPr>
                <w:sz w:val="20"/>
                <w:szCs w:val="20"/>
                <w:color w:val="auto"/>
              </w:rPr>
            </w:pPr>
          </w:p>
        </w:tc>
      </w:tr>
      <w:tr>
        <w:trPr>
          <w:trHeight w:val="230"/>
        </w:trPr>
        <w:tc>
          <w:tcPr>
            <w:tcW w:w="28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Audit fees</w:t>
            </w:r>
          </w:p>
        </w:tc>
        <w:tc>
          <w:tcPr>
            <w:tcW w:w="100" w:type="dxa"/>
            <w:vAlign w:val="bottom"/>
            <w:shd w:val="clear" w:color="auto" w:fill="D9D9D9"/>
          </w:tcPr>
          <w:p>
            <w:pPr>
              <w:spacing w:after="0"/>
              <w:rPr>
                <w:sz w:val="20"/>
                <w:szCs w:val="20"/>
                <w:color w:val="auto"/>
              </w:rPr>
            </w:pPr>
          </w:p>
        </w:tc>
        <w:tc>
          <w:tcPr>
            <w:tcW w:w="2040" w:type="dxa"/>
            <w:vAlign w:val="bottom"/>
            <w:shd w:val="clear" w:color="auto" w:fill="D9D9D9"/>
          </w:tcPr>
          <w:p>
            <w:pPr>
              <w:jc w:val="right"/>
              <w:ind w:right="1843"/>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906,375</w:t>
            </w:r>
          </w:p>
        </w:tc>
        <w:tc>
          <w:tcPr>
            <w:tcW w:w="980" w:type="dxa"/>
            <w:vAlign w:val="bottom"/>
            <w:gridSpan w:val="2"/>
            <w:shd w:val="clear" w:color="auto" w:fill="D9D9D9"/>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764,185</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Audit-related fees</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28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Tax fees</w:t>
            </w:r>
          </w:p>
        </w:tc>
        <w:tc>
          <w:tcPr>
            <w:tcW w:w="100" w:type="dxa"/>
            <w:vAlign w:val="bottom"/>
            <w:shd w:val="clear" w:color="auto" w:fill="D9D9D9"/>
          </w:tcPr>
          <w:p>
            <w:pPr>
              <w:spacing w:after="0"/>
              <w:rPr>
                <w:sz w:val="19"/>
                <w:szCs w:val="19"/>
                <w:color w:val="auto"/>
              </w:rPr>
            </w:pPr>
          </w:p>
        </w:tc>
        <w:tc>
          <w:tcPr>
            <w:tcW w:w="2040" w:type="dxa"/>
            <w:vAlign w:val="bottom"/>
            <w:shd w:val="clear" w:color="auto" w:fill="D9D9D9"/>
          </w:tcPr>
          <w:p>
            <w:pPr>
              <w:spacing w:after="0"/>
              <w:rPr>
                <w:sz w:val="19"/>
                <w:szCs w:val="19"/>
                <w:color w:val="auto"/>
              </w:rPr>
            </w:pPr>
          </w:p>
        </w:tc>
        <w:tc>
          <w:tcPr>
            <w:tcW w:w="10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D9D9D9"/>
            </w:tcBorders>
            <w:shd w:val="clear" w:color="auto" w:fill="D9D9D9"/>
          </w:tcPr>
          <w:p>
            <w:pPr>
              <w:spacing w:after="0"/>
              <w:rPr>
                <w:sz w:val="19"/>
                <w:szCs w:val="19"/>
                <w:color w:val="auto"/>
              </w:rPr>
            </w:pPr>
          </w:p>
        </w:tc>
        <w:tc>
          <w:tcPr>
            <w:tcW w:w="780" w:type="dxa"/>
            <w:vAlign w:val="bottom"/>
            <w:shd w:val="clear" w:color="auto" w:fill="D9D9D9"/>
          </w:tcPr>
          <w:p>
            <w:pPr>
              <w:spacing w:after="0"/>
              <w:rPr>
                <w:sz w:val="19"/>
                <w:szCs w:val="19"/>
                <w:color w:val="auto"/>
              </w:rPr>
            </w:pPr>
          </w:p>
        </w:tc>
        <w:tc>
          <w:tcPr>
            <w:tcW w:w="2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9D9D9"/>
          </w:tcPr>
          <w:p>
            <w:pPr>
              <w:spacing w:after="0"/>
              <w:rPr>
                <w:sz w:val="19"/>
                <w:szCs w:val="19"/>
                <w:color w:val="auto"/>
              </w:rPr>
            </w:pPr>
          </w:p>
        </w:tc>
      </w:tr>
      <w:tr>
        <w:trPr>
          <w:trHeight w:val="240"/>
        </w:trPr>
        <w:tc>
          <w:tcPr>
            <w:tcW w:w="2880" w:type="dxa"/>
            <w:vAlign w:val="bottom"/>
            <w:tcBorders>
              <w:bottom w:val="single" w:sz="8" w:color="D9D9D9"/>
            </w:tcBorders>
          </w:tcPr>
          <w:p>
            <w:pPr>
              <w:spacing w:after="0"/>
              <w:rPr>
                <w:sz w:val="20"/>
                <w:szCs w:val="20"/>
                <w:color w:val="auto"/>
              </w:rPr>
            </w:pPr>
            <w:r>
              <w:rPr>
                <w:rFonts w:ascii="Times New Roman" w:cs="Times New Roman" w:eastAsia="Times New Roman" w:hAnsi="Times New Roman"/>
                <w:sz w:val="20"/>
                <w:szCs w:val="20"/>
                <w:color w:val="auto"/>
              </w:rPr>
              <w:t>All other fees</w:t>
            </w:r>
          </w:p>
        </w:tc>
        <w:tc>
          <w:tcPr>
            <w:tcW w:w="100" w:type="dxa"/>
            <w:vAlign w:val="bottom"/>
            <w:tcBorders>
              <w:bottom w:val="single" w:sz="8" w:color="D9D9D9"/>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9D9D9"/>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9D9D9"/>
            </w:tcBorders>
          </w:tcPr>
          <w:p>
            <w:pPr>
              <w:spacing w:after="0"/>
              <w:rPr>
                <w:sz w:val="20"/>
                <w:szCs w:val="20"/>
                <w:color w:val="auto"/>
              </w:rPr>
            </w:pPr>
          </w:p>
        </w:tc>
      </w:tr>
      <w:tr>
        <w:trPr>
          <w:trHeight w:val="251"/>
        </w:trPr>
        <w:tc>
          <w:tcPr>
            <w:tcW w:w="288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fees</w:t>
            </w:r>
          </w:p>
        </w:tc>
        <w:tc>
          <w:tcPr>
            <w:tcW w:w="100" w:type="dxa"/>
            <w:vAlign w:val="bottom"/>
            <w:shd w:val="clear" w:color="auto" w:fill="D9D9D9"/>
          </w:tcPr>
          <w:p>
            <w:pPr>
              <w:spacing w:after="0"/>
              <w:rPr>
                <w:sz w:val="21"/>
                <w:szCs w:val="21"/>
                <w:color w:val="auto"/>
              </w:rPr>
            </w:pPr>
          </w:p>
        </w:tc>
        <w:tc>
          <w:tcPr>
            <w:tcW w:w="2040" w:type="dxa"/>
            <w:vAlign w:val="bottom"/>
            <w:shd w:val="clear" w:color="auto" w:fill="D9D9D9"/>
          </w:tcPr>
          <w:p>
            <w:pPr>
              <w:jc w:val="right"/>
              <w:ind w:right="1843"/>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906,375</w:t>
            </w:r>
          </w:p>
        </w:tc>
        <w:tc>
          <w:tcPr>
            <w:tcW w:w="200" w:type="dxa"/>
            <w:vAlign w:val="bottom"/>
            <w:tcBorders>
              <w:right w:val="single" w:sz="8" w:color="D9D9D9"/>
            </w:tcBorders>
            <w:shd w:val="clear" w:color="auto" w:fill="D9D9D9"/>
          </w:tcPr>
          <w:p>
            <w:pPr>
              <w:spacing w:after="0"/>
              <w:rPr>
                <w:sz w:val="21"/>
                <w:szCs w:val="21"/>
                <w:color w:val="auto"/>
              </w:rPr>
            </w:pPr>
          </w:p>
        </w:tc>
        <w:tc>
          <w:tcPr>
            <w:tcW w:w="780" w:type="dxa"/>
            <w:vAlign w:val="bottom"/>
            <w:shd w:val="clear" w:color="auto" w:fill="D9D9D9"/>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gridSpan w:val="2"/>
            <w:shd w:val="clear" w:color="auto" w:fill="D9D9D9"/>
          </w:tcPr>
          <w:p>
            <w:pPr>
              <w:jc w:val="right"/>
              <w:ind w:right="100"/>
              <w:spacing w:after="0"/>
              <w:rPr>
                <w:sz w:val="20"/>
                <w:szCs w:val="20"/>
                <w:color w:val="auto"/>
              </w:rPr>
            </w:pPr>
            <w:r>
              <w:rPr>
                <w:rFonts w:ascii="Times New Roman" w:cs="Times New Roman" w:eastAsia="Times New Roman" w:hAnsi="Times New Roman"/>
                <w:sz w:val="20"/>
                <w:szCs w:val="20"/>
                <w:color w:val="auto"/>
              </w:rPr>
              <w:t>764,185</w:t>
            </w:r>
          </w:p>
        </w:tc>
      </w:tr>
      <w:tr>
        <w:trPr>
          <w:trHeight w:val="20"/>
        </w:trPr>
        <w:tc>
          <w:tcPr>
            <w:tcW w:w="288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2040" w:type="dxa"/>
            <w:vAlign w:val="bottom"/>
            <w:tcBorders>
              <w:top w:val="single" w:sz="8" w:color="D9D9D9"/>
            </w:tcBorders>
            <w:shd w:val="clear" w:color="auto" w:fill="D9D9D9"/>
          </w:tcPr>
          <w:p>
            <w:pPr>
              <w:spacing w:after="0" w:line="20" w:lineRule="exact"/>
              <w:rPr>
                <w:sz w:val="1"/>
                <w:szCs w:val="1"/>
                <w:color w:val="auto"/>
              </w:rPr>
            </w:pPr>
          </w:p>
        </w:tc>
        <w:tc>
          <w:tcPr>
            <w:tcW w:w="10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r>
    </w:tbl>
    <w:p>
      <w:pPr>
        <w:spacing w:after="0" w:line="21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the foregoing table, “audit fees” are fees billed for services provided related to the audit of our annual financial statements, quarterly reviews of our interim financial statements, and services normally provided by the independent accountant in connection with statutory and regulatory filings or engagements for those fiscal periods. “Audit-related fees” are fees not included in audit fees that are billed by the independent accountant for assurance and related services that are reasonably related to the performance of the audit or review of our financial statements. These audit-related fees also consist of the review of our registration statements filed with the SEC and related services normally provided in connection with statutory and regulatory filings or engagements. “Tax fees” are fees billed by the independent accountant for professional services rendered for tax compliance, tax advice, and tax planning. “All other fees” are fees billed by the independent accountant for products and services not included in the foregoing categories.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Policy</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It is the Audit Committee’s policy to approve in advance the types and amounts of audit, audit-related, tax, and any other services to be provided by our independent registered public accounting firm. In situations where it is not practicable to obtain full Audit Committee approval, the Audit Committee has delegated authority to the Chair of the Audit Committee to grant pre-approval of auditing, audit-related, tax, and all other services up to $25,000. Any pre-approved decisions by the Chair are required to be reviewed with the Audit Committee at its next scheduled meeting. The Audit Committee approved 100% of all services provided by Grant Thornton during 2025 and 2024.</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1416" w:right="1440" w:bottom="175" w:gutter="0" w:footer="0" w:header="0"/>
          <w:type w:val="continuous"/>
        </w:sectPr>
      </w:pPr>
    </w:p>
    <w:bookmarkStart w:id="121" w:name="page122"/>
    <w:bookmarkEnd w:id="121"/>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 and Financial Statement Schedules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Our consolidated financial statements are included in “Part II, Item 8. Financial Statements and Supplementary Data.”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 Schedules</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All financial statement schedules are omitted because they are inapplicable since we are a smaller reporting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exhibits being filed or furnished with this report are listed below, along with an indication as to each management contract or compensatory plan or arrangement.</w:t>
      </w:r>
    </w:p>
    <w:p>
      <w:pPr>
        <w:spacing w:after="0" w:line="16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 copy of any exhibits listed or referred to herein will be furnished at a reasonable cost to any person who is a stockholder upon receipt from any such person of a written request for any such exhibit. Such request should be sent to: Scott Neils, Chief Financial Officer, Xtant Medical Holdings, Inc., 664 Cruiser Lane, Belgrade, MT 59714, Attn: Stockholder Information.</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7" w:lineRule="exact"/>
        <w:rPr>
          <w:sz w:val="20"/>
          <w:szCs w:val="20"/>
          <w:color w:val="auto"/>
        </w:rPr>
      </w:pPr>
    </w:p>
    <w:p>
      <w:pPr>
        <w:ind w:left="300"/>
        <w:spacing w:after="0"/>
        <w:tabs>
          <w:tab w:leader="none" w:pos="4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539115" cy="58420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584200"/>
                        </a:xfrm>
                        <a:prstGeom prst="rect">
                          <a:avLst/>
                        </a:prstGeom>
                        <a:solidFill>
                          <a:srgbClr val="D9D9D9"/>
                        </a:solidFill>
                      </wps:spPr>
                      <wps:bodyPr/>
                    </wps:wsp>
                  </a:graphicData>
                </a:graphic>
              </wp:anchor>
            </w:drawing>
          </mc:Choice>
          <mc:Fallback>
            <w:pict>
              <v:rect id="Shape 78" o:spid="_x0000_s1103" style="position:absolute;margin-left:0pt;margin-top:1.1pt;width:42.4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5943600" cy="5842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584200"/>
                        </a:xfrm>
                        <a:prstGeom prst="rect">
                          <a:avLst/>
                        </a:prstGeom>
                        <a:solidFill>
                          <a:srgbClr val="D9D9D9"/>
                        </a:solidFill>
                      </wps:spPr>
                      <wps:bodyPr/>
                    </wps:wsp>
                  </a:graphicData>
                </a:graphic>
              </wp:anchor>
            </w:drawing>
          </mc:Choice>
          <mc:Fallback>
            <w:pict>
              <v:rect id="Shape 79" o:spid="_x0000_s1104" style="position:absolute;margin-left:0pt;margin-top:1.1pt;width:468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13970</wp:posOffset>
                </wp:positionV>
                <wp:extent cx="5369560" cy="5842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584200"/>
                        </a:xfrm>
                        <a:prstGeom prst="rect">
                          <a:avLst/>
                        </a:prstGeom>
                        <a:solidFill>
                          <a:srgbClr val="D9D9D9"/>
                        </a:solidFill>
                      </wps:spPr>
                      <wps:bodyPr/>
                    </wps:wsp>
                  </a:graphicData>
                </a:graphic>
              </wp:anchor>
            </w:drawing>
          </mc:Choice>
          <mc:Fallback>
            <w:pict>
              <v:rect id="Shape 80" o:spid="_x0000_s1105" style="position:absolute;margin-left:45.2pt;margin-top:1.1pt;width:422.8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3911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5pt" to="42.45pt,0.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556895</wp:posOffset>
                </wp:positionH>
                <wp:positionV relativeFrom="paragraph">
                  <wp:posOffset>-4445</wp:posOffset>
                </wp:positionV>
                <wp:extent cx="0" cy="17970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9705"/>
                        </a:xfrm>
                        <a:prstGeom prst="line">
                          <a:avLst/>
                        </a:prstGeom>
                        <a:solidFill>
                          <a:srgbClr val="FFFFFF"/>
                        </a:solidFill>
                        <a:ln w="35051">
                          <a:solidFill>
                            <a:srgbClr val="D9D9D9"/>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0.3499pt" to="43.85pt,13.8pt" o:allowincell="f" strokecolor="#D9D9D9" strokeweight="2.7599pt"/>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4445</wp:posOffset>
                </wp:positionV>
                <wp:extent cx="536956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0.35pt" to="468pt,0.35pt" o:allowincell="f" strokecolor="#000000" strokeweight="1.5pt"/>
            </w:pict>
          </mc:Fallback>
        </mc:AlternateContent>
      </w:r>
    </w:p>
    <w:p>
      <w:pPr>
        <w:jc w:val="both"/>
        <w:ind w:left="900" w:hanging="904"/>
        <w:spacing w:after="0" w:line="249" w:lineRule="auto"/>
        <w:tabs>
          <w:tab w:leader="none" w:pos="8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Equity Purchase Agreement, dated February 28, 2023, among Xtant Medical Holdings, Inc, Surgalign SPV, Inc., Surgalign Spine Technologies, Inc., and Surgalign Holdings, Inc. (filed as Exhibit 2.1 to the Registrant’s Current Report on Form 8-K filed with the SEC on March 1, 2023 (SEC File No. 001-34951) and incorporated by reference herein)</w:t>
      </w:r>
    </w:p>
    <w:p>
      <w:pPr>
        <w:spacing w:after="0" w:line="210" w:lineRule="exact"/>
        <w:rPr>
          <w:sz w:val="20"/>
          <w:szCs w:val="20"/>
          <w:color w:val="auto"/>
        </w:rPr>
      </w:pPr>
    </w:p>
    <w:p>
      <w:pPr>
        <w:jc w:val="both"/>
        <w:ind w:left="900" w:hanging="904"/>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Asset Purchase Agreement, dated as of June 18, 2023, between Surgalign Holdings, Inc. and Xtant Medical Holdings, Inc. (filed as Exhibit 2.1 to the Registrant’s Current Report on Form 8-K filed with the SEC on June 20, 2023 (SEC File No. 001-34951) and incorporated by reference herein)</w:t>
      </w:r>
    </w:p>
    <w:p>
      <w:pPr>
        <w:spacing w:after="0" w:line="202" w:lineRule="exact"/>
        <w:rPr>
          <w:sz w:val="20"/>
          <w:szCs w:val="20"/>
          <w:color w:val="auto"/>
        </w:rPr>
      </w:pPr>
    </w:p>
    <w:p>
      <w:pPr>
        <w:jc w:val="both"/>
        <w:ind w:left="900" w:hanging="904"/>
        <w:spacing w:after="0"/>
        <w:rPr>
          <w:sz w:val="20"/>
          <w:szCs w:val="20"/>
          <w:color w:val="auto"/>
        </w:rPr>
      </w:pPr>
      <w:r>
        <w:rPr>
          <w:rFonts w:ascii="Times New Roman" w:cs="Times New Roman" w:eastAsia="Times New Roman" w:hAnsi="Times New Roman"/>
          <w:sz w:val="20"/>
          <w:szCs w:val="20"/>
          <w:color w:val="auto"/>
        </w:rPr>
        <w:t xml:space="preserve">2.3 </w:t>
      </w:r>
      <w:r>
        <w:rPr>
          <w:sz w:val="1"/>
          <w:szCs w:val="1"/>
          <w:color w:val="auto"/>
        </w:rPr>
        <w:drawing>
          <wp:inline distT="0" distB="0" distL="0" distR="0">
            <wp:extent cx="34925" cy="1511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
                      <a:extLst>
                        <a:ext uri="{28A0092B-C50C-407E-A947-70E740481C1C}"/>
                      </a:extLst>
                    </a:blip>
                    <a:srcRect/>
                    <a:stretch>
                      <a:fillRect/>
                    </a:stretch>
                  </pic:blipFill>
                  <pic:spPr bwMode="auto">
                    <a:xfrm>
                      <a:off x="0" y="0"/>
                      <a:ext cx="34925" cy="151130"/>
                    </a:xfrm>
                    <a:prstGeom prst="rect">
                      <a:avLst/>
                    </a:prstGeom>
                    <a:noFill/>
                    <a:ln>
                      <a:noFill/>
                    </a:ln>
                  </pic:spPr>
                </pic:pic>
              </a:graphicData>
            </a:graphic>
          </wp:inline>
        </w:drawing>
      </w:r>
      <w:r>
        <w:rPr>
          <w:rFonts w:ascii="Times New Roman" w:cs="Times New Roman" w:eastAsia="Times New Roman" w:hAnsi="Times New Roman"/>
          <w:sz w:val="20"/>
          <w:szCs w:val="20"/>
          <w:color w:val="auto"/>
        </w:rPr>
        <w:t>First Amendment to Asset Purchase Agreement, dated as of July 10, 2023, between Xtant Medical Holdings, Inc. and Surgalign Holdings, Inc. (filed as Exhibit 2.1 to the Registrant’s Current Report on Form 8-K filed with the Securities and Exchange Commission on July 11, 2023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-594995</wp:posOffset>
                </wp:positionV>
                <wp:extent cx="5943600" cy="58483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584835"/>
                        </a:xfrm>
                        <a:prstGeom prst="rect">
                          <a:avLst/>
                        </a:prstGeom>
                        <a:solidFill>
                          <a:srgbClr val="D9D9D9"/>
                        </a:solidFill>
                      </wps:spPr>
                      <wps:bodyPr/>
                    </wps:wsp>
                  </a:graphicData>
                </a:graphic>
              </wp:anchor>
            </w:drawing>
          </mc:Choice>
          <mc:Fallback>
            <w:pict>
              <v:rect id="Shape 85" o:spid="_x0000_s1110" style="position:absolute;margin-left:0pt;margin-top:-46.8499pt;width:468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96" w:lineRule="exact"/>
        <w:rPr>
          <w:sz w:val="20"/>
          <w:szCs w:val="20"/>
          <w:color w:val="auto"/>
        </w:rPr>
      </w:pPr>
    </w:p>
    <w:p>
      <w:pPr>
        <w:jc w:val="both"/>
        <w:ind w:left="900" w:hanging="904"/>
        <w:spacing w:after="0" w:line="252" w:lineRule="auto"/>
        <w:tabs>
          <w:tab w:leader="none" w:pos="8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Second Amendment to Asset Purchase Agreement, dated as of July 20, 2023, between Xtant Medical Holdings, Inc. and Surgalign Holdings, Inc. (filed as Exhibit 2.4 to the Registrant’s Annual Report on Form 10-K for the year ended December 31, 2023 (SEC File No. 001-34951) and incorporated by reference herein)</w:t>
      </w:r>
    </w:p>
    <w:p>
      <w:pPr>
        <w:spacing w:after="0" w:line="206" w:lineRule="exact"/>
        <w:rPr>
          <w:sz w:val="20"/>
          <w:szCs w:val="20"/>
          <w:color w:val="auto"/>
        </w:rPr>
      </w:pPr>
    </w:p>
    <w:p>
      <w:pPr>
        <w:jc w:val="both"/>
        <w:ind w:left="900" w:hanging="904"/>
        <w:spacing w:after="0"/>
        <w:rPr>
          <w:sz w:val="20"/>
          <w:szCs w:val="20"/>
          <w:color w:val="auto"/>
        </w:rPr>
      </w:pPr>
      <w:r>
        <w:rPr>
          <w:rFonts w:ascii="Times New Roman" w:cs="Times New Roman" w:eastAsia="Times New Roman" w:hAnsi="Times New Roman"/>
          <w:sz w:val="20"/>
          <w:szCs w:val="20"/>
          <w:color w:val="auto"/>
        </w:rPr>
        <w:t xml:space="preserve">2.5 </w:t>
      </w:r>
      <w:r>
        <w:rPr>
          <w:sz w:val="1"/>
          <w:szCs w:val="1"/>
          <w:color w:val="auto"/>
        </w:rPr>
        <w:drawing>
          <wp:inline distT="0" distB="0" distL="0" distR="0">
            <wp:extent cx="34925" cy="1511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
                      <a:extLst>
                        <a:ext uri="{28A0092B-C50C-407E-A947-70E740481C1C}"/>
                      </a:extLst>
                    </a:blip>
                    <a:srcRect/>
                    <a:stretch>
                      <a:fillRect/>
                    </a:stretch>
                  </pic:blipFill>
                  <pic:spPr bwMode="auto">
                    <a:xfrm>
                      <a:off x="0" y="0"/>
                      <a:ext cx="34925" cy="151130"/>
                    </a:xfrm>
                    <a:prstGeom prst="rect">
                      <a:avLst/>
                    </a:prstGeom>
                    <a:noFill/>
                    <a:ln>
                      <a:noFill/>
                    </a:ln>
                  </pic:spPr>
                </pic:pic>
              </a:graphicData>
            </a:graphic>
          </wp:inline>
        </w:drawing>
      </w:r>
      <w:r>
        <w:rPr>
          <w:rFonts w:ascii="Times New Roman" w:cs="Times New Roman" w:eastAsia="Times New Roman" w:hAnsi="Times New Roman"/>
          <w:sz w:val="20"/>
          <w:szCs w:val="20"/>
          <w:color w:val="auto"/>
        </w:rPr>
        <w:t>Third Amendment to Asset Purchase Agreement, dated as of July 24, 2023, between Xtant Medical Holdings, Inc. and Surgalign Holdings, Inc. (filed as Exhibit 2.5 to the Registrant’s Annual Report on Form 10-K for the year ended December 31, 2023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-594360</wp:posOffset>
                </wp:positionV>
                <wp:extent cx="5943600" cy="5842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584200"/>
                        </a:xfrm>
                        <a:prstGeom prst="rect">
                          <a:avLst/>
                        </a:prstGeom>
                        <a:solidFill>
                          <a:srgbClr val="D9D9D9"/>
                        </a:solidFill>
                      </wps:spPr>
                      <wps:bodyPr/>
                    </wps:wsp>
                  </a:graphicData>
                </a:graphic>
              </wp:anchor>
            </w:drawing>
          </mc:Choice>
          <mc:Fallback>
            <w:pict>
              <v:rect id="Shape 87" o:spid="_x0000_s1112" style="position:absolute;margin-left:0pt;margin-top:-46.7999pt;width:468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-302260</wp:posOffset>
                </wp:positionV>
                <wp:extent cx="5369560" cy="2921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2100"/>
                        </a:xfrm>
                        <a:prstGeom prst="rect">
                          <a:avLst/>
                        </a:prstGeom>
                        <a:solidFill>
                          <a:srgbClr val="D9D9D9"/>
                        </a:solidFill>
                      </wps:spPr>
                      <wps:bodyPr/>
                    </wps:wsp>
                  </a:graphicData>
                </a:graphic>
              </wp:anchor>
            </w:drawing>
          </mc:Choice>
          <mc:Fallback>
            <w:pict>
              <v:rect id="Shape 88" o:spid="_x0000_s1113" style="position:absolute;margin-left:45.2pt;margin-top:-23.7999pt;width:422.8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97" w:lineRule="exact"/>
        <w:rPr>
          <w:sz w:val="20"/>
          <w:szCs w:val="20"/>
          <w:color w:val="auto"/>
        </w:rPr>
      </w:pPr>
    </w:p>
    <w:p>
      <w:pPr>
        <w:jc w:val="both"/>
        <w:ind w:left="900" w:hanging="904"/>
        <w:spacing w:after="0" w:line="252" w:lineRule="auto"/>
        <w:tabs>
          <w:tab w:leader="none" w:pos="8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0"/>
          <w:szCs w:val="20"/>
          <w:color w:val="auto"/>
        </w:rPr>
        <w:t>Asset Purchase Agreement, dated July 7, 2025, among Xtant Medical Holdings, Inc., Surgalign SPV, Inc., and Companion Spine, LLC, or its Affiliate designee (filed as Exhibit 2.1 to the Registrant’s Current Report on Form 8-K filed with the SEC on July 8, 2025 (SEC File No. 001-34951) and incorporated by reference herein)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360"/>
          </w:cols>
          <w:pgMar w:left="1440" w:top="1416" w:right="1440" w:bottom="175"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84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0"/>
        </w:trPr>
        <w:tc>
          <w:tcPr>
            <w:tcW w:w="840" w:type="dxa"/>
            <w:vAlign w:val="bottom"/>
            <w:tcBorders>
              <w:top w:val="single" w:sz="8" w:color="auto"/>
            </w:tcBorders>
            <w:shd w:val="clear" w:color="auto" w:fill="D9D9D9"/>
          </w:tcPr>
          <w:p>
            <w:pPr>
              <w:spacing w:after="0" w:line="180" w:lineRule="exact"/>
              <w:rPr>
                <w:sz w:val="20"/>
                <w:szCs w:val="20"/>
                <w:color w:val="auto"/>
              </w:rPr>
            </w:pPr>
            <w:r>
              <w:rPr>
                <w:rFonts w:ascii="Times New Roman" w:cs="Times New Roman" w:eastAsia="Times New Roman" w:hAnsi="Times New Roman"/>
                <w:sz w:val="20"/>
                <w:szCs w:val="20"/>
                <w:color w:val="auto"/>
              </w:rPr>
              <w:t>2.7†</w:t>
            </w:r>
          </w:p>
        </w:tc>
        <w:tc>
          <w:tcPr>
            <w:tcW w:w="60" w:type="dxa"/>
            <w:vAlign w:val="bottom"/>
            <w:tcBorders>
              <w:top w:val="single" w:sz="8" w:color="D9D9D9"/>
            </w:tcBorders>
            <w:shd w:val="clear" w:color="auto" w:fill="D9D9D9"/>
          </w:tcPr>
          <w:p>
            <w:pPr>
              <w:spacing w:after="0"/>
              <w:rPr>
                <w:sz w:val="15"/>
                <w:szCs w:val="15"/>
                <w:color w:val="auto"/>
              </w:rPr>
            </w:pPr>
          </w:p>
        </w:tc>
        <w:tc>
          <w:tcPr>
            <w:tcW w:w="8460" w:type="dxa"/>
            <w:vAlign w:val="bottom"/>
            <w:tcBorders>
              <w:top w:val="single" w:sz="8" w:color="auto"/>
            </w:tcBorders>
            <w:shd w:val="clear" w:color="auto" w:fill="D9D9D9"/>
          </w:tcPr>
          <w:p>
            <w:pPr>
              <w:spacing w:after="0" w:line="180" w:lineRule="exact"/>
              <w:rPr>
                <w:sz w:val="20"/>
                <w:szCs w:val="20"/>
                <w:color w:val="auto"/>
              </w:rPr>
            </w:pPr>
            <w:r>
              <w:rPr>
                <w:rFonts w:ascii="Times New Roman" w:cs="Times New Roman" w:eastAsia="Times New Roman" w:hAnsi="Times New Roman"/>
                <w:sz w:val="20"/>
                <w:szCs w:val="20"/>
                <w:color w:val="auto"/>
                <w:w w:val="98"/>
              </w:rPr>
              <w:t>Amendment to Asset Purchase Agreement, dated as November 30, 2025, between Xtant Medical Holdings,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Inc., Surgalign SPV, Inc., and Companion Spine, LLC or its Affiliate designee (filed as Exhibit 2.3 to the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Registrant’s Current Report on Form 8-K filed with the SEC on December 3, 2025 (SEC File No. 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34951) and incorporated by reference 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Amendment to Asset Purchase Agreement, dated January 14, 2026, between Xtant Medical</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Holdings, Inc. and Companion Spine France SAS, as assignee of Companion Spine, LLC</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rPr>
              <w:t>2.9†</w:t>
            </w: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rPr>
              <w:t>Equity Purchase Agreement, dated July 7, 2025, among Xtant Medical Holdings, Inc., Paradigm Spine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GmbH, and Companion Spine, LLC (filed as Exhibit 2.2 to the Registrant’s Current Report on Form 8-K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filed with the SEC on July 8, 2025 (SEC File No. 001-34951) and incorporated by reference herein)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and Assignment of Equity Purchase Agreement, dated November 30, 2025, among Xtant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Medical Holdings, Inc., Paradigm Spine GmbH, Companion Spine, LLC and Companion Spine France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SAS (filed as Exhibit 2.3 to the Registrant’s Current Report on Form 8-K filed with the SEC on December</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 2025 (SEC File No. 001-34951) and incorporated by reference herein)</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Restated Certificate of Incorporation of Xtant Medical Holdings, Inc. (filed as Exhibit 3.1 to the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w w:val="99"/>
              </w:rPr>
              <w:t>Registrant’s Quarterly Report on Form 10-Q for the quarterly period ended September 30, 2023 (SEC File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No. 001-34951) and incorporated by reference 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Third Amended and Restated Bylaws of Xtant Medical Holdings, Inc. (Effective as of June 1, 2023) (filed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Exhibit 3.1 to the Registrant’s Current Report on Form 8-K filed with the SEC on May 19, 2023 (SEC</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 No. 001-34951) and incorporated by reference herein)</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Common Stock Certificate (filed as Exhibit 4.2 to the Registrant’s Annual Report on Form 10-K</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the year ended December 31, 2021 (SEC File No. 001-34951) and incorporated by reference herein)</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Registration Rights Agreement, dated as of February 24, 2021, between Xtant Medical Holdings, Inc. and</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the investor party thereto (filed as Exhibit 4.4 to the Registrant’s Registration Statement on Form S-3 filed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with the SEC on April 6, 2021 (Sec File No. 333-255074) and incorporated by reference herein)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Registration Rights Agreement, dated as of August 25, 2022, among Xtant Medical Holdings, Inc. and the</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investors party thereto (filed as Exhibit 10.2 to the Registrant’s Current Report on Form 8-K filed with the</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 on August 31, 2022 (SEC File No. 001-34951) and incorporated by reference herein)</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Form of Warrant (filed as Exhibit 4.1 to the Registrant’s Current Report on Form 8-K filed with the SEC</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on August 24, 2022 (SEC File No. 001-34951) and incorporated by reference herein)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Rights Agreement, dated as of July 6, 2023, among Xtant Medical Holdings, Inc. and the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investors party thereto (filed as Exhibit 4.9 to the Registrant’s Registration Statement on Form S-3 filed</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with the SEC on July 7, 2023 (SEC File No. 333-273169) and incorporated by reference herein)</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Registration Rights Agreement, dated as of August 9, 2024, by and among Xtant Medical Holdings, Inc.</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w w:val="99"/>
              </w:rPr>
              <w:t>and the investors party thereto (filed as Exhibit 4.11 to the Registrant’s Registration Statement on Form 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3 filed with the SEC on September 3, 2024 (SEC File No. 333-281910) and incorporated by reference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360"/>
          </w:cols>
          <w:pgMar w:left="1440" w:top="1419" w:right="1440" w:bottom="175"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84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0"/>
        </w:trPr>
        <w:tc>
          <w:tcPr>
            <w:tcW w:w="84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15"/>
                <w:szCs w:val="15"/>
                <w:color w:val="auto"/>
              </w:rPr>
            </w:pPr>
          </w:p>
        </w:tc>
        <w:tc>
          <w:tcPr>
            <w:tcW w:w="846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20"/>
                <w:szCs w:val="20"/>
                <w:color w:val="auto"/>
                <w:w w:val="99"/>
              </w:rPr>
              <w:t>Registration Rights Agreement, dated as of April 10, 2025, among Xtant Medical Holdings, Inc. and each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the several purchasers signatory thereto (filed as Exhibit 10.1 to the Registrant’s Current Report 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8-K filed with the SEC on April 11, 2025 (SEC File No. 001-34951) and incorporated by reference</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herein)</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Form of Vendor Common Stock Purchase Warrant (filed as Exhibit 4.1 to the Registrant’s Quarterly</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Report on Form 10-Q for the quarterly period ended June 30, 2024 (SEC File No. 001-34951) 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incorporated by reference herein)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PMingLiU" w:cs="PMingLiU" w:eastAsia="PMingLiU" w:hAnsi="PMingLiU"/>
                <w:sz w:val="20"/>
                <w:szCs w:val="20"/>
                <w:color w:val="auto"/>
              </w:rPr>
              <w:t xml:space="preserve"> </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Xtant Medical Equity Incentive Plan (filed as Exhibit 10.8 to the Registrant’s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Quarterly Report on Form 10-Q for the quarterly period ended September 30, 2015 (SEC File No. 001-</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34951) and incorporated by reference herein)</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line="230" w:lineRule="exact"/>
              <w:rPr>
                <w:sz w:val="20"/>
                <w:szCs w:val="20"/>
                <w:color w:val="auto"/>
              </w:rPr>
            </w:pPr>
            <w:r>
              <w:rPr>
                <w:rFonts w:ascii="PMingLiU" w:cs="PMingLiU" w:eastAsia="PMingLiU" w:hAnsi="PMingLiU"/>
                <w:sz w:val="20"/>
                <w:szCs w:val="20"/>
                <w:color w:val="auto"/>
              </w:rPr>
              <w:t xml:space="preserve"> </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Xtant Medical Holdings, Inc. 2018 Equity Incentive Plan (filed as Exhibit 10.1 to the Registrant’s Current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Report on Form 8-K filed with the SEC on August 3, 2018 (SEC File No. 001-34951) and incorporated 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reference herein)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PMingLiU" w:cs="PMingLiU" w:eastAsia="PMingLiU" w:hAnsi="PMingLiU"/>
                <w:sz w:val="20"/>
                <w:szCs w:val="20"/>
                <w:color w:val="auto"/>
              </w:rPr>
              <w:t xml:space="preserve"> </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Xtant Medical Holdings, Inc. Amended and Restated 2018 Equity Incentive Plan (filed as Exhibit 10.1 to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Registrant’s Current Report on Form 8-K filed with the SEC on October 28, 2020 (SEC File No. 001-</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34951) and incorporated by reference herein)</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line="229" w:lineRule="exact"/>
              <w:rPr>
                <w:sz w:val="20"/>
                <w:szCs w:val="20"/>
                <w:color w:val="auto"/>
              </w:rPr>
            </w:pPr>
            <w:r>
              <w:rPr>
                <w:rFonts w:ascii="PMingLiU" w:cs="PMingLiU" w:eastAsia="PMingLiU" w:hAnsi="PMingLiU"/>
                <w:sz w:val="20"/>
                <w:szCs w:val="20"/>
                <w:color w:val="auto"/>
              </w:rPr>
              <w:t xml:space="preserve"> </w:t>
            </w: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Xtant Medical Holdings, Inc. Second Amended and Restated 2018 Equity Incentive Plan (filed as Exhibit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11" w:lineRule="exact"/>
              <w:rPr>
                <w:sz w:val="20"/>
                <w:szCs w:val="20"/>
                <w:color w:val="auto"/>
              </w:rPr>
            </w:pPr>
            <w:r>
              <w:rPr>
                <w:rFonts w:ascii="Times New Roman" w:cs="Times New Roman" w:eastAsia="Times New Roman" w:hAnsi="Times New Roman"/>
                <w:sz w:val="20"/>
                <w:szCs w:val="20"/>
                <w:color w:val="auto"/>
              </w:rPr>
              <w:t>10.1 to the Registrant’s Current Report on Form 8-K filed with the SEC on October 28, 2022 (SEC File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No. 001-34951) and incorporated by reference 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PMingLiU" w:cs="PMingLiU" w:eastAsia="PMingLiU" w:hAnsi="PMingLiU"/>
                <w:sz w:val="20"/>
                <w:szCs w:val="20"/>
                <w:color w:val="auto"/>
              </w:rPr>
              <w:t xml:space="preserve"> </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Employee Stock Option Award Agreement for use with the Xtant Medical Holdings, Inc. 2018</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Incentive Plan (filed as Exhibit 10.2 to the Registrant’s Current Report on Form 8-K filed with the</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 on August 3, 2018 (SEC File No. 001-34951) and incorporated by reference herein)</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line="229" w:lineRule="exact"/>
              <w:rPr>
                <w:sz w:val="20"/>
                <w:szCs w:val="20"/>
                <w:color w:val="auto"/>
              </w:rPr>
            </w:pPr>
            <w:r>
              <w:rPr>
                <w:rFonts w:ascii="PMingLiU" w:cs="PMingLiU" w:eastAsia="PMingLiU" w:hAnsi="PMingLiU"/>
                <w:sz w:val="20"/>
                <w:szCs w:val="20"/>
                <w:color w:val="auto"/>
              </w:rPr>
              <w:t xml:space="preserve"> </w:t>
            </w: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Form of Employee Restricted Stock Unit Award Agreement for use with the Xtant Medical Holdings, Inc.</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11" w:lineRule="exact"/>
              <w:rPr>
                <w:sz w:val="20"/>
                <w:szCs w:val="20"/>
                <w:color w:val="auto"/>
              </w:rPr>
            </w:pPr>
            <w:r>
              <w:rPr>
                <w:rFonts w:ascii="Times New Roman" w:cs="Times New Roman" w:eastAsia="Times New Roman" w:hAnsi="Times New Roman"/>
                <w:sz w:val="20"/>
                <w:szCs w:val="20"/>
                <w:color w:val="auto"/>
              </w:rPr>
              <w:t>2018 Equity Incentive Plan (filed as Exhibit 10.3 to the Registrant’s Current Report on Form 8-K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with the SEC on August 3, 2018 (SEC File No. 001-34951) and incorporated by reference 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PMingLiU" w:cs="PMingLiU" w:eastAsia="PMingLiU" w:hAnsi="PMingLiU"/>
                <w:sz w:val="20"/>
                <w:szCs w:val="20"/>
                <w:color w:val="auto"/>
              </w:rPr>
              <w:t xml:space="preserve"> </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Non-Employee Director Restricted Stock Unit Award Agreement for use with the Xtant Medical</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Holdings, Inc. 2018 Equity Incentive Plan (filed as Exhibit 10.2 to the Registrant’s Quarterly Report 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10-Q for the quarterly period ended September 30, 2019 (SEC File No. 001-34951) and incorporated</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reference herein)</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line="229" w:lineRule="exact"/>
              <w:rPr>
                <w:sz w:val="20"/>
                <w:szCs w:val="20"/>
                <w:color w:val="auto"/>
              </w:rPr>
            </w:pPr>
            <w:r>
              <w:rPr>
                <w:rFonts w:ascii="PMingLiU" w:cs="PMingLiU" w:eastAsia="PMingLiU" w:hAnsi="PMingLiU"/>
                <w:sz w:val="20"/>
                <w:szCs w:val="20"/>
                <w:color w:val="auto"/>
              </w:rPr>
              <w:t xml:space="preserve"> </w:t>
            </w: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w w:val="99"/>
              </w:rPr>
              <w:t>Xtant Medical Holdings, Inc. 2023 Equity Incentive Plan (filed as Exhibit 10.1 to the Registrant’s Current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11" w:lineRule="exact"/>
              <w:rPr>
                <w:sz w:val="20"/>
                <w:szCs w:val="20"/>
                <w:color w:val="auto"/>
              </w:rPr>
            </w:pPr>
            <w:r>
              <w:rPr>
                <w:rFonts w:ascii="Times New Roman" w:cs="Times New Roman" w:eastAsia="Times New Roman" w:hAnsi="Times New Roman"/>
                <w:sz w:val="20"/>
                <w:szCs w:val="20"/>
                <w:color w:val="auto"/>
              </w:rPr>
              <w:t>Report on Form 8-K filed with the SEC on July 28, 2023 (SEC File No. 001-34951) and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reference 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PMingLiU" w:cs="PMingLiU" w:eastAsia="PMingLiU" w:hAnsi="PMingLiU"/>
                <w:sz w:val="20"/>
                <w:szCs w:val="20"/>
                <w:color w:val="auto"/>
              </w:rPr>
              <w:t xml:space="preserve"> </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Xtant Medical Holdings, Inc. Amended and Restated 2023 Equity Incentive Plan (as Amended on</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7, 2025) (filed as Exhibit 10.1 to the Registrant’s Current Report on Form 8-K filed with the</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 on November 10, 2025 (SEC File No. 001-34951) and incorporated by reference herein)</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line="230" w:lineRule="exact"/>
              <w:rPr>
                <w:sz w:val="20"/>
                <w:szCs w:val="20"/>
                <w:color w:val="auto"/>
              </w:rPr>
            </w:pPr>
            <w:r>
              <w:rPr>
                <w:rFonts w:ascii="PMingLiU" w:cs="PMingLiU" w:eastAsia="PMingLiU" w:hAnsi="PMingLiU"/>
                <w:sz w:val="20"/>
                <w:szCs w:val="20"/>
                <w:color w:val="auto"/>
              </w:rPr>
              <w:t xml:space="preserve"> </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Form of Employee Stock Option Award Agreement for use with the Xtant Medical Holdings, Inc. 2023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60" w:type="dxa"/>
            <w:vAlign w:val="bottom"/>
            <w:shd w:val="clear" w:color="auto" w:fill="D9D9D9"/>
          </w:tcPr>
          <w:p>
            <w:pPr>
              <w:spacing w:after="0" w:line="210" w:lineRule="exact"/>
              <w:rPr>
                <w:sz w:val="20"/>
                <w:szCs w:val="20"/>
                <w:color w:val="auto"/>
              </w:rPr>
            </w:pPr>
            <w:r>
              <w:rPr>
                <w:rFonts w:ascii="Times New Roman" w:cs="Times New Roman" w:eastAsia="Times New Roman" w:hAnsi="Times New Roman"/>
                <w:sz w:val="20"/>
                <w:szCs w:val="20"/>
                <w:color w:val="auto"/>
                <w:w w:val="99"/>
              </w:rPr>
              <w:t>Equity Incentive Plan (filed as Exhibit 10.2 to the Registrant’s Current Report on Form 8-K filed with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SEC on July 28, 2023 (SEC File No. 001-34951) and incorporated by reference herein)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PMingLiU" w:cs="PMingLiU" w:eastAsia="PMingLiU" w:hAnsi="PMingLiU"/>
                <w:sz w:val="20"/>
                <w:szCs w:val="20"/>
                <w:color w:val="auto"/>
              </w:rPr>
              <w:t xml:space="preserve"> </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Form of Employee Restricted Stock Unit Award Agreement for use with the Xtant Medical Holdings, Inc.</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2023 Equity Incentive Plan (filed as Exhibit 10.3 to the Registrant’s Current Report on Form 8-K filed</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with the SEC on July 28, 2023 (SEC File No. 001-34951) and incorporated by reference herein)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360"/>
          </w:cols>
          <w:pgMar w:left="1440" w:top="1419" w:right="1440" w:bottom="175" w:gutter="0" w:footer="0" w:header="0"/>
          <w:type w:val="continuous"/>
        </w:sectPr>
      </w:pPr>
    </w:p>
    <w:bookmarkStart w:id="124" w:name="page125"/>
    <w:bookmarkEnd w:id="124"/>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7" w:lineRule="exact"/>
        <w:rPr>
          <w:sz w:val="20"/>
          <w:szCs w:val="20"/>
          <w:color w:val="auto"/>
        </w:rPr>
      </w:pPr>
    </w:p>
    <w:p>
      <w:pPr>
        <w:ind w:left="300"/>
        <w:spacing w:after="0"/>
        <w:tabs>
          <w:tab w:leader="none" w:pos="4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943600" cy="43751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37515"/>
                        </a:xfrm>
                        <a:prstGeom prst="rect">
                          <a:avLst/>
                        </a:prstGeom>
                        <a:solidFill>
                          <a:srgbClr val="D9D9D9"/>
                        </a:solidFill>
                      </wps:spPr>
                      <wps:bodyPr/>
                    </wps:wsp>
                  </a:graphicData>
                </a:graphic>
              </wp:anchor>
            </w:drawing>
          </mc:Choice>
          <mc:Fallback>
            <w:pict>
              <v:rect id="Shape 89" o:spid="_x0000_s1114" style="position:absolute;margin-left:0pt;margin-top:-0.3499pt;width:468pt;height:3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3911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5pt" to="42.45pt,0.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4445</wp:posOffset>
                </wp:positionV>
                <wp:extent cx="536956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0.35pt" to="468pt,0.35pt" o:allowincell="f" strokecolor="#000000" strokeweight="1.5pt"/>
            </w:pict>
          </mc:Fallback>
        </mc:AlternateContent>
      </w:r>
    </w:p>
    <w:p>
      <w:pPr>
        <w:jc w:val="both"/>
        <w:ind w:left="900" w:hanging="899"/>
        <w:spacing w:after="0" w:line="256" w:lineRule="auto"/>
        <w:tabs>
          <w:tab w:leader="none" w:pos="880" w:val="left"/>
        </w:tabs>
        <w:rPr>
          <w:sz w:val="20"/>
          <w:szCs w:val="20"/>
          <w:color w:val="auto"/>
        </w:rPr>
      </w:pPr>
      <w:r>
        <w:rPr>
          <w:rFonts w:ascii="PMingLiU" w:cs="PMingLiU" w:eastAsia="PMingLiU" w:hAnsi="PMingLiU"/>
          <w:sz w:val="19"/>
          <w:szCs w:val="19"/>
          <w:color w:val="auto"/>
        </w:rPr>
        <w:t xml:space="preserve"> </w:t>
      </w:r>
      <w:r>
        <w:rPr>
          <w:sz w:val="20"/>
          <w:szCs w:val="20"/>
          <w:color w:val="auto"/>
        </w:rPr>
        <w:tab/>
      </w:r>
      <w:r>
        <w:rPr>
          <w:rFonts w:ascii="Times New Roman" w:cs="Times New Roman" w:eastAsia="Times New Roman" w:hAnsi="Times New Roman"/>
          <w:sz w:val="19"/>
          <w:szCs w:val="19"/>
          <w:color w:val="auto"/>
          <w:highlight w:val="lightGray"/>
        </w:rPr>
        <w:t xml:space="preserve">Form of Non-Employee Director Restricted Stock Unit Award Agreement for use with the Xtant Medical </w:t>
      </w:r>
      <w:r>
        <w:rPr>
          <w:rFonts w:ascii="Times New Roman" w:cs="Times New Roman" w:eastAsia="Times New Roman" w:hAnsi="Times New Roman"/>
          <w:sz w:val="19"/>
          <w:szCs w:val="19"/>
          <w:color w:val="auto"/>
        </w:rPr>
        <w:t>Holdings, Inc. 2023 Equity Incentive Plan (filed as Exhibit 10.4 to the Registrant’s Current Report on Form 8-K filed with the SEC on July 28, 2023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574040</wp:posOffset>
                </wp:positionH>
                <wp:positionV relativeFrom="paragraph">
                  <wp:posOffset>-311150</wp:posOffset>
                </wp:positionV>
                <wp:extent cx="5369560" cy="29146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1465"/>
                        </a:xfrm>
                        <a:prstGeom prst="rect">
                          <a:avLst/>
                        </a:prstGeom>
                        <a:solidFill>
                          <a:srgbClr val="D9D9D9"/>
                        </a:solidFill>
                      </wps:spPr>
                      <wps:bodyPr/>
                    </wps:wsp>
                  </a:graphicData>
                </a:graphic>
              </wp:anchor>
            </w:drawing>
          </mc:Choice>
          <mc:Fallback>
            <w:pict>
              <v:rect id="Shape 92" o:spid="_x0000_s1117" style="position:absolute;margin-left:45.2pt;margin-top:-24.4999pt;width:422.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59" w:lineRule="exact"/>
        <w:rPr>
          <w:sz w:val="20"/>
          <w:szCs w:val="20"/>
          <w:color w:val="auto"/>
        </w:rPr>
      </w:pPr>
    </w:p>
    <w:p>
      <w:pPr>
        <w:jc w:val="both"/>
        <w:ind w:left="900" w:hanging="899"/>
        <w:spacing w:after="0" w:line="271" w:lineRule="auto"/>
        <w:tabs>
          <w:tab w:leader="none" w:pos="880" w:val="left"/>
        </w:tabs>
        <w:rPr>
          <w:sz w:val="20"/>
          <w:szCs w:val="20"/>
          <w:color w:val="auto"/>
        </w:rPr>
      </w:pPr>
      <w:r>
        <w:rPr>
          <w:rFonts w:ascii="PMingLiU" w:cs="PMingLiU" w:eastAsia="PMingLiU" w:hAnsi="PMingLiU"/>
          <w:sz w:val="19"/>
          <w:szCs w:val="19"/>
          <w:color w:val="auto"/>
        </w:rPr>
        <w:t xml:space="preserve"> </w:t>
      </w:r>
      <w:r>
        <w:rPr>
          <w:sz w:val="20"/>
          <w:szCs w:val="20"/>
          <w:color w:val="auto"/>
        </w:rPr>
        <w:tab/>
      </w:r>
      <w:r>
        <w:rPr>
          <w:rFonts w:ascii="Times New Roman" w:cs="Times New Roman" w:eastAsia="Times New Roman" w:hAnsi="Times New Roman"/>
          <w:sz w:val="19"/>
          <w:szCs w:val="19"/>
          <w:color w:val="auto"/>
        </w:rPr>
        <w:t>Form of Non-Employee Director Deferred Stock Unit Award Agreement for use with the Xtant Medical Holdings, Inc. 2023 Equity Incentive Plan (filed as Exhibit 10.5 to the Registrant’s Current Report on Form 8-K filed with the SEC on July 28, 2023 (SEC File No. 001-34951) and incorporated by reference herein)</w:t>
      </w:r>
    </w:p>
    <w:p>
      <w:pPr>
        <w:spacing w:after="0" w:line="166" w:lineRule="exact"/>
        <w:rPr>
          <w:sz w:val="20"/>
          <w:szCs w:val="20"/>
          <w:color w:val="auto"/>
        </w:rPr>
      </w:pPr>
    </w:p>
    <w:p>
      <w:pPr>
        <w:jc w:val="both"/>
        <w:ind w:left="900" w:hanging="899"/>
        <w:spacing w:after="0" w:line="247" w:lineRule="auto"/>
        <w:tabs>
          <w:tab w:leader="none" w:pos="88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highlight w:val="lightGray"/>
        </w:rPr>
        <w:t xml:space="preserve">Form of 2024 Employee Performance Share Unit Award Agreement for use with the Xtant Medical </w:t>
      </w:r>
      <w:r>
        <w:rPr>
          <w:rFonts w:ascii="Times New Roman" w:cs="Times New Roman" w:eastAsia="Times New Roman" w:hAnsi="Times New Roman"/>
          <w:sz w:val="20"/>
          <w:szCs w:val="20"/>
          <w:color w:val="auto"/>
        </w:rPr>
        <w:t>Holdings, Inc. 2023 Equity Incentive Plan (filed as Exhibit 10.13 to the Registrant’s Annual Report on Form 10-K for the year ended December 31, 2023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-597535</wp:posOffset>
                </wp:positionV>
                <wp:extent cx="5943600" cy="58483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584835"/>
                        </a:xfrm>
                        <a:prstGeom prst="rect">
                          <a:avLst/>
                        </a:prstGeom>
                        <a:solidFill>
                          <a:srgbClr val="D9D9D9"/>
                        </a:solidFill>
                      </wps:spPr>
                      <wps:bodyPr/>
                    </wps:wsp>
                  </a:graphicData>
                </a:graphic>
              </wp:anchor>
            </w:drawing>
          </mc:Choice>
          <mc:Fallback>
            <w:pict>
              <v:rect id="Shape 93" o:spid="_x0000_s1118" style="position:absolute;margin-left:0pt;margin-top:-47.0499pt;width:468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-450850</wp:posOffset>
                </wp:positionV>
                <wp:extent cx="5369560" cy="43815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38150"/>
                        </a:xfrm>
                        <a:prstGeom prst="rect">
                          <a:avLst/>
                        </a:prstGeom>
                        <a:solidFill>
                          <a:srgbClr val="D9D9D9"/>
                        </a:solidFill>
                      </wps:spPr>
                      <wps:bodyPr/>
                    </wps:wsp>
                  </a:graphicData>
                </a:graphic>
              </wp:anchor>
            </w:drawing>
          </mc:Choice>
          <mc:Fallback>
            <w:pict>
              <v:rect id="Shape 94" o:spid="_x0000_s1119" style="position:absolute;margin-left:45.2pt;margin-top:-35.4999pt;width:422.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69" w:lineRule="exact"/>
        <w:rPr>
          <w:sz w:val="20"/>
          <w:szCs w:val="20"/>
          <w:color w:val="auto"/>
        </w:rPr>
      </w:pPr>
    </w:p>
    <w:p>
      <w:pPr>
        <w:jc w:val="both"/>
        <w:ind w:left="900" w:hanging="904"/>
        <w:spacing w:after="0" w:line="239" w:lineRule="exact"/>
        <w:tabs>
          <w:tab w:leader="none" w:pos="880" w:val="left"/>
        </w:tabs>
        <w:rPr>
          <w:sz w:val="20"/>
          <w:szCs w:val="20"/>
          <w:color w:val="auto"/>
        </w:rPr>
      </w:pPr>
      <w:r>
        <w:rPr>
          <w:rFonts w:ascii="Times New Roman" w:cs="Times New Roman" w:eastAsia="Times New Roman" w:hAnsi="Times New Roman"/>
          <w:sz w:val="20"/>
          <w:szCs w:val="20"/>
          <w:color w:val="auto"/>
        </w:rPr>
        <w:t>10.15</w:t>
      </w:r>
      <w:r>
        <w:rPr>
          <w:rFonts w:ascii="Arial Unicode MS" w:cs="Arial Unicode MS" w:eastAsia="Arial Unicode MS" w:hAnsi="Arial Unicode MS"/>
          <w:sz w:val="20"/>
          <w:szCs w:val="20"/>
          <w:color w:val="auto"/>
        </w:rPr>
        <w:t>Ɣ</w:t>
      </w:r>
      <w:r>
        <w:rPr>
          <w:sz w:val="20"/>
          <w:szCs w:val="20"/>
          <w:color w:val="auto"/>
        </w:rPr>
        <w:tab/>
      </w:r>
      <w:r>
        <w:rPr>
          <w:rFonts w:ascii="Times New Roman" w:cs="Times New Roman" w:eastAsia="Times New Roman" w:hAnsi="Times New Roman"/>
          <w:sz w:val="20"/>
          <w:szCs w:val="20"/>
          <w:color w:val="auto"/>
        </w:rPr>
        <w:t>Form of Executive Officer Deferred Stock Unit Award Agreement for use with the Xtant Medical Holdings, Inc. 2023 Equity Incentive Plan (filed as Exhibit 10.1 to the Registrant’s Quarterly Report on Form 10-Q for the quarterly period ended March 31, 2024 (SEC File No. 001-34951) and incorporated by reference herein)</w:t>
      </w:r>
    </w:p>
    <w:p>
      <w:pPr>
        <w:spacing w:after="0" w:line="195" w:lineRule="exact"/>
        <w:rPr>
          <w:sz w:val="20"/>
          <w:szCs w:val="20"/>
          <w:color w:val="auto"/>
        </w:rPr>
      </w:pPr>
    </w:p>
    <w:p>
      <w:pPr>
        <w:jc w:val="both"/>
        <w:ind w:left="900" w:hanging="899"/>
        <w:spacing w:after="0" w:line="264" w:lineRule="auto"/>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Times New Roman" w:cs="Times New Roman" w:eastAsia="Times New Roman" w:hAnsi="Times New Roman"/>
          <w:sz w:val="20"/>
          <w:szCs w:val="20"/>
          <w:color w:val="auto"/>
          <w:highlight w:val="lightGray"/>
        </w:rPr>
        <w:t xml:space="preserve">Form of Employee Performance Share Unit Award Agreement for use with the Xtant Medical Holdings, </w:t>
      </w:r>
      <w:r>
        <w:rPr>
          <w:rFonts w:ascii="Times New Roman" w:cs="Times New Roman" w:eastAsia="Times New Roman" w:hAnsi="Times New Roman"/>
          <w:sz w:val="20"/>
          <w:szCs w:val="20"/>
          <w:color w:val="auto"/>
        </w:rPr>
        <w:t>Inc. Amended and Restated 2023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-316865</wp:posOffset>
                </wp:positionV>
                <wp:extent cx="5943600" cy="29146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291465"/>
                        </a:xfrm>
                        <a:prstGeom prst="rect">
                          <a:avLst/>
                        </a:prstGeom>
                        <a:solidFill>
                          <a:srgbClr val="D9D9D9"/>
                        </a:solidFill>
                      </wps:spPr>
                      <wps:bodyPr/>
                    </wps:wsp>
                  </a:graphicData>
                </a:graphic>
              </wp:anchor>
            </w:drawing>
          </mc:Choice>
          <mc:Fallback>
            <w:pict>
              <v:rect id="Shape 95" o:spid="_x0000_s1120" style="position:absolute;margin-left:0pt;margin-top:-24.9499pt;width:46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-171450</wp:posOffset>
                </wp:positionV>
                <wp:extent cx="5369560" cy="14605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146050"/>
                        </a:xfrm>
                        <a:prstGeom prst="rect">
                          <a:avLst/>
                        </a:prstGeom>
                        <a:solidFill>
                          <a:srgbClr val="D9D9D9"/>
                        </a:solidFill>
                      </wps:spPr>
                      <wps:bodyPr/>
                    </wps:wsp>
                  </a:graphicData>
                </a:graphic>
              </wp:anchor>
            </w:drawing>
          </mc:Choice>
          <mc:Fallback>
            <w:pict>
              <v:rect id="Shape 96" o:spid="_x0000_s1121" style="position:absolute;margin-left:45.2pt;margin-top:-13.4999pt;width:42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49" w:lineRule="exact"/>
        <w:rPr>
          <w:sz w:val="20"/>
          <w:szCs w:val="20"/>
          <w:color w:val="auto"/>
        </w:rPr>
      </w:pPr>
    </w:p>
    <w:p>
      <w:pPr>
        <w:jc w:val="both"/>
        <w:ind w:left="900" w:hanging="899"/>
        <w:spacing w:after="0" w:line="252" w:lineRule="auto"/>
        <w:tabs>
          <w:tab w:leader="none" w:pos="88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Form of Indemnification Agreement for Directors and Officers (filed as Exhibit 10.14 to the Registrant’s Annual Report on Form 10-K for the year ended December 31, 2023 (SEC File No. 001-34951) and incorporated by reference herein)</w:t>
      </w:r>
    </w:p>
    <w:p>
      <w:pPr>
        <w:spacing w:after="0" w:line="182" w:lineRule="exact"/>
        <w:rPr>
          <w:sz w:val="20"/>
          <w:szCs w:val="20"/>
          <w:color w:val="auto"/>
        </w:rPr>
      </w:pPr>
    </w:p>
    <w:p>
      <w:pPr>
        <w:jc w:val="both"/>
        <w:ind w:left="900" w:hanging="899"/>
        <w:spacing w:after="0" w:line="251" w:lineRule="auto"/>
        <w:tabs>
          <w:tab w:leader="none" w:pos="88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highlight w:val="lightGray"/>
        </w:rPr>
        <w:t xml:space="preserve">Employment Agreement, effective as of October 7, 2019, between Xtant Medical Holdings, Inc. and Sean </w:t>
      </w:r>
      <w:r>
        <w:rPr>
          <w:rFonts w:ascii="Times New Roman" w:cs="Times New Roman" w:eastAsia="Times New Roman" w:hAnsi="Times New Roman"/>
          <w:sz w:val="20"/>
          <w:szCs w:val="20"/>
          <w:color w:val="auto"/>
        </w:rPr>
        <w:t>E. Browne (filed as Exhibit 10.1 to the Registrant’s Current Report on Form 8-K filed with the SEC on October 7, 2019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-454660</wp:posOffset>
                </wp:positionV>
                <wp:extent cx="5943600" cy="43815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38150"/>
                        </a:xfrm>
                        <a:prstGeom prst="rect">
                          <a:avLst/>
                        </a:prstGeom>
                        <a:solidFill>
                          <a:srgbClr val="D9D9D9"/>
                        </a:solidFill>
                      </wps:spPr>
                      <wps:bodyPr/>
                    </wps:wsp>
                  </a:graphicData>
                </a:graphic>
              </wp:anchor>
            </w:drawing>
          </mc:Choice>
          <mc:Fallback>
            <w:pict>
              <v:rect id="Shape 97" o:spid="_x0000_s1122" style="position:absolute;margin-left:0pt;margin-top:-35.7999pt;width:46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-307975</wp:posOffset>
                </wp:positionV>
                <wp:extent cx="5369560" cy="29146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1465"/>
                        </a:xfrm>
                        <a:prstGeom prst="rect">
                          <a:avLst/>
                        </a:prstGeom>
                        <a:solidFill>
                          <a:srgbClr val="D9D9D9"/>
                        </a:solidFill>
                      </wps:spPr>
                      <wps:bodyPr/>
                    </wps:wsp>
                  </a:graphicData>
                </a:graphic>
              </wp:anchor>
            </w:drawing>
          </mc:Choice>
          <mc:Fallback>
            <w:pict>
              <v:rect id="Shape 98" o:spid="_x0000_s1123" style="position:absolute;margin-left:45.2pt;margin-top:-24.2499pt;width:422.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64" w:lineRule="exact"/>
        <w:rPr>
          <w:sz w:val="20"/>
          <w:szCs w:val="20"/>
          <w:color w:val="auto"/>
        </w:rPr>
      </w:pPr>
    </w:p>
    <w:p>
      <w:pPr>
        <w:jc w:val="both"/>
        <w:ind w:left="900" w:hanging="904"/>
        <w:spacing w:after="0" w:line="239" w:lineRule="exact"/>
        <w:tabs>
          <w:tab w:leader="none" w:pos="880" w:val="left"/>
        </w:tabs>
        <w:rPr>
          <w:sz w:val="20"/>
          <w:szCs w:val="20"/>
          <w:color w:val="auto"/>
        </w:rPr>
      </w:pPr>
      <w:r>
        <w:rPr>
          <w:rFonts w:ascii="Times New Roman" w:cs="Times New Roman" w:eastAsia="Times New Roman" w:hAnsi="Times New Roman"/>
          <w:sz w:val="20"/>
          <w:szCs w:val="20"/>
          <w:color w:val="auto"/>
        </w:rPr>
        <w:t>10.19</w:t>
      </w:r>
      <w:r>
        <w:rPr>
          <w:rFonts w:ascii="Arial Unicode MS" w:cs="Arial Unicode MS" w:eastAsia="Arial Unicode MS" w:hAnsi="Arial Unicode MS"/>
          <w:sz w:val="20"/>
          <w:szCs w:val="20"/>
          <w:color w:val="auto"/>
        </w:rPr>
        <w:t>Ɣ</w:t>
      </w:r>
      <w:r>
        <w:rPr>
          <w:sz w:val="20"/>
          <w:szCs w:val="20"/>
          <w:color w:val="auto"/>
        </w:rPr>
        <w:tab/>
      </w:r>
      <w:r>
        <w:rPr>
          <w:rFonts w:ascii="Times New Roman" w:cs="Times New Roman" w:eastAsia="Times New Roman" w:hAnsi="Times New Roman"/>
          <w:sz w:val="20"/>
          <w:szCs w:val="20"/>
          <w:color w:val="auto"/>
        </w:rPr>
        <w:t>Amendment No. 1 to Employment Agreement effective as of August 8, 2024 between Xtant Medical Holdings, Inc. and Sean E. Browne (filed as Exhibit 10.2 to the Registrant’s Quarterly Report on Form 10-Q for the quarterly period ended June 30, 2024 (SEC File No. 001-34951) and incorporated by reference herein)</w:t>
      </w:r>
    </w:p>
    <w:p>
      <w:pPr>
        <w:spacing w:after="0" w:line="196" w:lineRule="exact"/>
        <w:rPr>
          <w:sz w:val="20"/>
          <w:szCs w:val="20"/>
          <w:color w:val="auto"/>
        </w:rPr>
      </w:pPr>
    </w:p>
    <w:p>
      <w:pPr>
        <w:jc w:val="both"/>
        <w:ind w:left="900" w:hanging="899"/>
        <w:spacing w:after="0" w:line="251" w:lineRule="auto"/>
        <w:tabs>
          <w:tab w:leader="none" w:pos="88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highlight w:val="lightGray"/>
        </w:rPr>
        <w:t xml:space="preserve">Employment Agreement, effective as of June 1, 2022, between Xtant Medical Holdings, Inc. and Scott Neils (filed as Exhibit 10.1 to the Registrant’s Current Report on Form 8-K filed with the SEC on May 2, </w:t>
      </w:r>
      <w:r>
        <w:rPr>
          <w:rFonts w:ascii="Times New Roman" w:cs="Times New Roman" w:eastAsia="Times New Roman" w:hAnsi="Times New Roman"/>
          <w:sz w:val="20"/>
          <w:szCs w:val="20"/>
          <w:color w:val="auto"/>
        </w:rPr>
        <w:t>2022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-454660</wp:posOffset>
                </wp:positionV>
                <wp:extent cx="5943600" cy="43815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38150"/>
                        </a:xfrm>
                        <a:prstGeom prst="rect">
                          <a:avLst/>
                        </a:prstGeom>
                        <a:solidFill>
                          <a:srgbClr val="D9D9D9"/>
                        </a:solidFill>
                      </wps:spPr>
                      <wps:bodyPr/>
                    </wps:wsp>
                  </a:graphicData>
                </a:graphic>
              </wp:anchor>
            </w:drawing>
          </mc:Choice>
          <mc:Fallback>
            <w:pict>
              <v:rect id="Shape 99" o:spid="_x0000_s1124" style="position:absolute;margin-left:0pt;margin-top:-35.7999pt;width:46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-162560</wp:posOffset>
                </wp:positionV>
                <wp:extent cx="5369560" cy="14605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146050"/>
                        </a:xfrm>
                        <a:prstGeom prst="rect">
                          <a:avLst/>
                        </a:prstGeom>
                        <a:solidFill>
                          <a:srgbClr val="D9D9D9"/>
                        </a:solidFill>
                      </wps:spPr>
                      <wps:bodyPr/>
                    </wps:wsp>
                  </a:graphicData>
                </a:graphic>
              </wp:anchor>
            </w:drawing>
          </mc:Choice>
          <mc:Fallback>
            <w:pict>
              <v:rect id="Shape 100" o:spid="_x0000_s1125" style="position:absolute;margin-left:45.2pt;margin-top:-12.7999pt;width:42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64" w:lineRule="exact"/>
        <w:rPr>
          <w:sz w:val="20"/>
          <w:szCs w:val="20"/>
          <w:color w:val="auto"/>
        </w:rPr>
      </w:pPr>
    </w:p>
    <w:p>
      <w:pPr>
        <w:jc w:val="both"/>
        <w:ind w:left="900" w:hanging="899"/>
        <w:spacing w:after="0" w:line="252" w:lineRule="auto"/>
        <w:tabs>
          <w:tab w:leader="none" w:pos="88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Employment Agreement, effective as of January 16, 2023, between Xtant Medical Holdings, Inc. and Mark A. Schallenberger (filed as Exhibit 10.1 to the Registrant’s Current Report on Form 8-K filed with the SEC on January 9, 2023 (SEC File No. 001-34951) and incorporated by reference herein)</w:t>
      </w:r>
    </w:p>
    <w:p>
      <w:pPr>
        <w:spacing w:after="0" w:line="182" w:lineRule="exact"/>
        <w:rPr>
          <w:sz w:val="20"/>
          <w:szCs w:val="20"/>
          <w:color w:val="auto"/>
        </w:rPr>
      </w:pPr>
    </w:p>
    <w:p>
      <w:pPr>
        <w:jc w:val="both"/>
        <w:ind w:left="900" w:hanging="899"/>
        <w:spacing w:after="0" w:line="251" w:lineRule="auto"/>
        <w:tabs>
          <w:tab w:leader="none" w:pos="88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highlight w:val="lightGray"/>
        </w:rPr>
        <w:t xml:space="preserve">Letter Agreement, dated August 25, 2022, between Xtant Medical Holdings, Inc. and Stavros Vizirgianakis </w:t>
      </w:r>
      <w:r>
        <w:rPr>
          <w:rFonts w:ascii="Times New Roman" w:cs="Times New Roman" w:eastAsia="Times New Roman" w:hAnsi="Times New Roman"/>
          <w:sz w:val="20"/>
          <w:szCs w:val="20"/>
          <w:color w:val="auto"/>
        </w:rPr>
        <w:t>(filed as Exhibit 10.3 to the Registrant’s Current Report on Form 8-K filed with the SEC on August 31, 2022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-454660</wp:posOffset>
                </wp:positionV>
                <wp:extent cx="5943600" cy="43815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38150"/>
                        </a:xfrm>
                        <a:prstGeom prst="rect">
                          <a:avLst/>
                        </a:prstGeom>
                        <a:solidFill>
                          <a:srgbClr val="D9D9D9"/>
                        </a:solidFill>
                      </wps:spPr>
                      <wps:bodyPr/>
                    </wps:wsp>
                  </a:graphicData>
                </a:graphic>
              </wp:anchor>
            </w:drawing>
          </mc:Choice>
          <mc:Fallback>
            <w:pict>
              <v:rect id="Shape 101" o:spid="_x0000_s1126" style="position:absolute;margin-left:0pt;margin-top:-35.7999pt;width:46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-307975</wp:posOffset>
                </wp:positionV>
                <wp:extent cx="5369560" cy="29146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1465"/>
                        </a:xfrm>
                        <a:prstGeom prst="rect">
                          <a:avLst/>
                        </a:prstGeom>
                        <a:solidFill>
                          <a:srgbClr val="D9D9D9"/>
                        </a:solidFill>
                      </wps:spPr>
                      <wps:bodyPr/>
                    </wps:wsp>
                  </a:graphicData>
                </a:graphic>
              </wp:anchor>
            </w:drawing>
          </mc:Choice>
          <mc:Fallback>
            <w:pict>
              <v:rect id="Shape 102" o:spid="_x0000_s1127" style="position:absolute;margin-left:45.2pt;margin-top:-24.2499pt;width:422.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65" w:lineRule="exact"/>
        <w:rPr>
          <w:sz w:val="20"/>
          <w:szCs w:val="20"/>
          <w:color w:val="auto"/>
        </w:rPr>
      </w:pPr>
    </w:p>
    <w:p>
      <w:pPr>
        <w:jc w:val="both"/>
        <w:ind w:left="900" w:hanging="904"/>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Securities Purchase Agreement, dated as of August 23, 2022, among Xtant Medical Holdings, Inc. and the investors party thereto (filed as Exhibit 10.1 to the Registrant’s Current Report on Form 8-K filed with the SEC on August 24, 2022 (SEC File No. 001-34951) and incorporated by reference herein)</w:t>
      </w:r>
    </w:p>
    <w:p>
      <w:pPr>
        <w:spacing w:after="0" w:line="178" w:lineRule="exact"/>
        <w:rPr>
          <w:sz w:val="20"/>
          <w:szCs w:val="20"/>
          <w:color w:val="auto"/>
        </w:rPr>
      </w:pPr>
    </w:p>
    <w:p>
      <w:pPr>
        <w:jc w:val="both"/>
        <w:ind w:left="900" w:hanging="904"/>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highlight w:val="lightGray"/>
        </w:rPr>
        <w:t xml:space="preserve">Securities Purchase Agreement, dated as of July 3, 2023, among Xtant Medical Holdings, Inc. and the </w:t>
      </w:r>
      <w:r>
        <w:rPr>
          <w:rFonts w:ascii="Times New Roman" w:cs="Times New Roman" w:eastAsia="Times New Roman" w:hAnsi="Times New Roman"/>
          <w:sz w:val="20"/>
          <w:szCs w:val="20"/>
          <w:color w:val="auto"/>
        </w:rPr>
        <w:t>investors party thereto (filed as Exhibit 10.1 to the Registrant’s Current Report on Form 8-K filed with the SEC on July 3, 2023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-458470</wp:posOffset>
                </wp:positionV>
                <wp:extent cx="5943600" cy="43815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38150"/>
                        </a:xfrm>
                        <a:prstGeom prst="rect">
                          <a:avLst/>
                        </a:prstGeom>
                        <a:solidFill>
                          <a:srgbClr val="D9D9D9"/>
                        </a:solidFill>
                      </wps:spPr>
                      <wps:bodyPr/>
                    </wps:wsp>
                  </a:graphicData>
                </a:graphic>
              </wp:anchor>
            </w:drawing>
          </mc:Choice>
          <mc:Fallback>
            <w:pict>
              <v:rect id="Shape 103" o:spid="_x0000_s1128" style="position:absolute;margin-left:0pt;margin-top:-36.0999pt;width:46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-311785</wp:posOffset>
                </wp:positionV>
                <wp:extent cx="5369560" cy="29146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1465"/>
                        </a:xfrm>
                        <a:prstGeom prst="rect">
                          <a:avLst/>
                        </a:prstGeom>
                        <a:solidFill>
                          <a:srgbClr val="D9D9D9"/>
                        </a:solidFill>
                      </wps:spPr>
                      <wps:bodyPr/>
                    </wps:wsp>
                  </a:graphicData>
                </a:graphic>
              </wp:anchor>
            </w:drawing>
          </mc:Choice>
          <mc:Fallback>
            <w:pict>
              <v:rect id="Shape 104" o:spid="_x0000_s1129" style="position:absolute;margin-left:45.2pt;margin-top:-24.5499pt;width:422.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360"/>
          </w:cols>
          <w:pgMar w:left="1440" w:top="1419" w:right="1440" w:bottom="175" w:gutter="0" w:footer="0" w:header="0"/>
          <w:type w:val="continuous"/>
        </w:sectPr>
      </w:pPr>
    </w:p>
    <w:bookmarkStart w:id="125" w:name="page126"/>
    <w:bookmarkEnd w:id="125"/>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7" w:lineRule="exact"/>
        <w:rPr>
          <w:sz w:val="20"/>
          <w:szCs w:val="20"/>
          <w:color w:val="auto"/>
        </w:rPr>
      </w:pPr>
    </w:p>
    <w:p>
      <w:pPr>
        <w:ind w:left="300"/>
        <w:spacing w:after="0"/>
        <w:tabs>
          <w:tab w:leader="none" w:pos="4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3911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5pt" to="42.45pt,0.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4445</wp:posOffset>
                </wp:positionV>
                <wp:extent cx="536956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0.35pt" to="468pt,0.35pt" o:allowincell="f" strokecolor="#000000" strokeweight="1.5pt"/>
            </w:pict>
          </mc:Fallback>
        </mc:AlternateContent>
      </w:r>
    </w:p>
    <w:p>
      <w:pPr>
        <w:jc w:val="both"/>
        <w:ind w:left="900" w:hanging="904"/>
        <w:spacing w:after="0" w:line="244" w:lineRule="auto"/>
        <w:tabs>
          <w:tab w:leader="none" w:pos="88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Securities Purchase Agreement, dated as of August 7, 2024, among Xtant Medical Holdings, Inc. and the investors party thereto (filed as Exhibit 10.1 to the Registrant’s Current Report on Form 8-K filed with the SEC on August 8, 2024 (SEC File No. 001-34951) and incorporated by reference herein)</w:t>
      </w:r>
    </w:p>
    <w:p>
      <w:pPr>
        <w:spacing w:after="0" w:line="190" w:lineRule="exact"/>
        <w:rPr>
          <w:sz w:val="20"/>
          <w:szCs w:val="20"/>
          <w:color w:val="auto"/>
        </w:rPr>
      </w:pPr>
    </w:p>
    <w:p>
      <w:pPr>
        <w:jc w:val="both"/>
        <w:ind w:left="900" w:hanging="904"/>
        <w:spacing w:after="0" w:line="263" w:lineRule="auto"/>
        <w:tabs>
          <w:tab w:leader="none" w:pos="88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19"/>
          <w:szCs w:val="19"/>
          <w:color w:val="auto"/>
          <w:highlight w:val="lightGray"/>
        </w:rPr>
        <w:t xml:space="preserve">Amended and Restated Credit, Security and Guaranty Agreement (Term Loan), dated as of March 7, 2024, among Xtant Medical, Inc., Bacterin International, Inc., X-spine Systems, Inc., Surgalign SPV, Inc., and any additional borrower that hereafter becomes party thereto, Xtant Medical Holdings, Inc., and any </w:t>
      </w:r>
      <w:r>
        <w:rPr>
          <w:rFonts w:ascii="Times New Roman" w:cs="Times New Roman" w:eastAsia="Times New Roman" w:hAnsi="Times New Roman"/>
          <w:sz w:val="19"/>
          <w:szCs w:val="19"/>
          <w:color w:val="auto"/>
        </w:rPr>
        <w:t>additional guarantor that hereafter becomes party thereto, and MidCap Financial Trust, as agent, and the lenders from time to time party thereto (filed as Exhibit 10.1 to the Registrant’s Current Report on Form 8-K filed with the SEC on March 7, 2024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-898525</wp:posOffset>
                </wp:positionV>
                <wp:extent cx="539115" cy="87503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875030"/>
                        </a:xfrm>
                        <a:prstGeom prst="rect">
                          <a:avLst/>
                        </a:prstGeom>
                        <a:solidFill>
                          <a:srgbClr val="D9D9D9"/>
                        </a:solidFill>
                      </wps:spPr>
                      <wps:bodyPr/>
                    </wps:wsp>
                  </a:graphicData>
                </a:graphic>
              </wp:anchor>
            </w:drawing>
          </mc:Choice>
          <mc:Fallback>
            <w:pict>
              <v:rect id="Shape 107" o:spid="_x0000_s1132" style="position:absolute;margin-left:0pt;margin-top:-70.7499pt;width:42.45pt;height:6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-898525</wp:posOffset>
                </wp:positionV>
                <wp:extent cx="5943600" cy="87503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875030"/>
                        </a:xfrm>
                        <a:prstGeom prst="rect">
                          <a:avLst/>
                        </a:prstGeom>
                        <a:solidFill>
                          <a:srgbClr val="D9D9D9"/>
                        </a:solidFill>
                      </wps:spPr>
                      <wps:bodyPr/>
                    </wps:wsp>
                  </a:graphicData>
                </a:graphic>
              </wp:anchor>
            </w:drawing>
          </mc:Choice>
          <mc:Fallback>
            <w:pict>
              <v:rect id="Shape 108" o:spid="_x0000_s1133" style="position:absolute;margin-left:0pt;margin-top:-70.7499pt;width:468pt;height:6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-460375</wp:posOffset>
                </wp:positionV>
                <wp:extent cx="5369560" cy="43688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36880"/>
                        </a:xfrm>
                        <a:prstGeom prst="rect">
                          <a:avLst/>
                        </a:prstGeom>
                        <a:solidFill>
                          <a:srgbClr val="D9D9D9"/>
                        </a:solidFill>
                      </wps:spPr>
                      <wps:bodyPr/>
                    </wps:wsp>
                  </a:graphicData>
                </a:graphic>
              </wp:anchor>
            </w:drawing>
          </mc:Choice>
          <mc:Fallback>
            <w:pict>
              <v:rect id="Shape 109" o:spid="_x0000_s1134" style="position:absolute;margin-left:45.2pt;margin-top:-36.2499pt;width:422.8pt;height:3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54" w:lineRule="exact"/>
        <w:rPr>
          <w:sz w:val="20"/>
          <w:szCs w:val="20"/>
          <w:color w:val="auto"/>
        </w:rPr>
      </w:pPr>
    </w:p>
    <w:p>
      <w:pPr>
        <w:jc w:val="both"/>
        <w:ind w:left="900" w:hanging="904"/>
        <w:spacing w:after="0" w:line="263" w:lineRule="auto"/>
        <w:tabs>
          <w:tab w:leader="none" w:pos="88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19"/>
          <w:szCs w:val="19"/>
          <w:color w:val="auto"/>
        </w:rPr>
        <w:t>Amended and Restated Credit, Security and Guaranty Agreement (Revolving Loan), dated as of March 7, 2024, among Xtant Medical, Inc., Bacterin International, Inc., X-spine Systems, Inc., Surgalign SPV, Inc., and any additional borrower that hereafter becomes party thereto, Xtant Medical Holdings, Inc., and any additional guarantor that hereafter becomes party thereto, and MidCap Funding IV Trust, as agent, and the lenders from time to time party thereto (filed as Exhibit 10.2 to the Registrant’s Current Report on Form 8-K filed with the SEC on March 7, 2024 (SEC File No. 001-34951) and incorporated by reference herein)</w:t>
      </w:r>
    </w:p>
    <w:p>
      <w:pPr>
        <w:spacing w:after="0" w:line="173" w:lineRule="exact"/>
        <w:rPr>
          <w:sz w:val="20"/>
          <w:szCs w:val="20"/>
          <w:color w:val="auto"/>
        </w:rPr>
      </w:pPr>
    </w:p>
    <w:p>
      <w:pPr>
        <w:jc w:val="both"/>
        <w:ind w:left="900" w:hanging="904"/>
        <w:spacing w:after="0" w:line="246" w:lineRule="auto"/>
        <w:tabs>
          <w:tab w:leader="none" w:pos="88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highlight w:val="lightGray"/>
        </w:rPr>
        <w:t xml:space="preserve">Amendment No. 1 to Amended and Restated Credit, Security and Guaranty Agreement (Term Loan), dated </w:t>
      </w:r>
      <w:r>
        <w:rPr>
          <w:rFonts w:ascii="Times New Roman" w:cs="Times New Roman" w:eastAsia="Times New Roman" w:hAnsi="Times New Roman"/>
          <w:sz w:val="20"/>
          <w:szCs w:val="20"/>
          <w:color w:val="auto"/>
        </w:rPr>
        <w:t>as of May 14, 2024, among Xtant Medical, Inc., Bacterin International, Inc., X-spine Systems, Inc., Surgalign SPV, Inc., and any additional borrower that hereafter becomes party thereto, Xtant Medical Holdings, Inc., as a guarantor, MidCap Financial Trust, as agent, and the other financial institutions or other entities from time to time parties thereto (filed as Exhibit 10.4 to the Registrant’s Quarterly Report on Form 10-Q for the quarterly period ended March 31, 2024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-1034415</wp:posOffset>
                </wp:positionV>
                <wp:extent cx="5943600" cy="102171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021715"/>
                        </a:xfrm>
                        <a:prstGeom prst="rect">
                          <a:avLst/>
                        </a:prstGeom>
                        <a:solidFill>
                          <a:srgbClr val="D9D9D9"/>
                        </a:solidFill>
                      </wps:spPr>
                      <wps:bodyPr/>
                    </wps:wsp>
                  </a:graphicData>
                </a:graphic>
              </wp:anchor>
            </w:drawing>
          </mc:Choice>
          <mc:Fallback>
            <w:pict>
              <v:rect id="Shape 110" o:spid="_x0000_s1135" style="position:absolute;margin-left:0pt;margin-top:-81.4499pt;width:468pt;height:80.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-889000</wp:posOffset>
                </wp:positionV>
                <wp:extent cx="5369560" cy="58483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584835"/>
                        </a:xfrm>
                        <a:prstGeom prst="rect">
                          <a:avLst/>
                        </a:prstGeom>
                        <a:solidFill>
                          <a:srgbClr val="D9D9D9"/>
                        </a:solidFill>
                      </wps:spPr>
                      <wps:bodyPr/>
                    </wps:wsp>
                  </a:graphicData>
                </a:graphic>
              </wp:anchor>
            </w:drawing>
          </mc:Choice>
          <mc:Fallback>
            <w:pict>
              <v:rect id="Shape 111" o:spid="_x0000_s1136" style="position:absolute;margin-left:45.2pt;margin-top:-70pt;width:422.8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-304165</wp:posOffset>
                </wp:positionV>
                <wp:extent cx="5369560" cy="29146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1465"/>
                        </a:xfrm>
                        <a:prstGeom prst="rect">
                          <a:avLst/>
                        </a:prstGeom>
                        <a:solidFill>
                          <a:srgbClr val="D9D9D9"/>
                        </a:solidFill>
                      </wps:spPr>
                      <wps:bodyPr/>
                    </wps:wsp>
                  </a:graphicData>
                </a:graphic>
              </wp:anchor>
            </w:drawing>
          </mc:Choice>
          <mc:Fallback>
            <w:pict>
              <v:rect id="Shape 112" o:spid="_x0000_s1137" style="position:absolute;margin-left:45.2pt;margin-top:-23.9499pt;width:422.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1" w:lineRule="exact"/>
        <w:rPr>
          <w:sz w:val="20"/>
          <w:szCs w:val="20"/>
          <w:color w:val="auto"/>
        </w:rPr>
      </w:pPr>
    </w:p>
    <w:p>
      <w:pPr>
        <w:jc w:val="both"/>
        <w:ind w:left="900" w:hanging="904"/>
        <w:spacing w:after="0" w:line="246" w:lineRule="auto"/>
        <w:tabs>
          <w:tab w:leader="none" w:pos="88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Amendment No. 1 to Amended and Restated Credit, Security and Guaranty Agreement (Revolving Loan), dated as of May 14, 2024, among Xtant Medical, Inc., Bacterin International, Inc., X-spine Systems, Inc., Surgalign SPV, Inc., and any additional borrower that hereafter becomes party thereto, Xtant Medical Holdings, Inc., as a guarantor, MidCap Funding IV Trust, as agent, and the other financial institutions or other entities from time to time parties thereto (filed as Exhibit 10.5 to the Registrant’s Quarterly Report on Form 10-Q for the quarterly period ended March 31, 2024 (SEC File No. 001-34951) and incorporated by reference herein)</w:t>
      </w:r>
    </w:p>
    <w:p>
      <w:pPr>
        <w:spacing w:after="0" w:line="190" w:lineRule="exact"/>
        <w:rPr>
          <w:sz w:val="20"/>
          <w:szCs w:val="20"/>
          <w:color w:val="auto"/>
        </w:rPr>
      </w:pPr>
    </w:p>
    <w:p>
      <w:pPr>
        <w:jc w:val="both"/>
        <w:ind w:left="900" w:hanging="904"/>
        <w:spacing w:after="0" w:line="246" w:lineRule="auto"/>
        <w:tabs>
          <w:tab w:leader="none" w:pos="88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highlight w:val="lightGray"/>
        </w:rPr>
        <w:t xml:space="preserve">Amendment No. 2 to Amended and Restated Credit, Security and Guaranty Agreement (Term Loan), dated </w:t>
      </w:r>
      <w:r>
        <w:rPr>
          <w:rFonts w:ascii="Times New Roman" w:cs="Times New Roman" w:eastAsia="Times New Roman" w:hAnsi="Times New Roman"/>
          <w:sz w:val="20"/>
          <w:szCs w:val="20"/>
          <w:color w:val="auto"/>
        </w:rPr>
        <w:t>as of April 9, 2025, among Xtant Medical, Inc., Bacterin International, Inc., X-spine Systems, Inc., Surgalign SPV, Inc., and any additional borrower that hereafter becomes party thereto, Xtant Medical Holdings, Inc., as a guarantor, MidCap Financial Trust, as agent, and the other financial institutions or other entities from time to time parties thereto (filed as Exhibit 10.2 to the Registrant’s Current Report on Form 8-K filed with the SEC on April 11, 2025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-1035050</wp:posOffset>
                </wp:positionV>
                <wp:extent cx="5943600" cy="10223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022350"/>
                        </a:xfrm>
                        <a:prstGeom prst="rect">
                          <a:avLst/>
                        </a:prstGeom>
                        <a:solidFill>
                          <a:srgbClr val="D9D9D9"/>
                        </a:solidFill>
                      </wps:spPr>
                      <wps:bodyPr/>
                    </wps:wsp>
                  </a:graphicData>
                </a:graphic>
              </wp:anchor>
            </w:drawing>
          </mc:Choice>
          <mc:Fallback>
            <w:pict>
              <v:rect id="Shape 113" o:spid="_x0000_s1138" style="position:absolute;margin-left:0pt;margin-top:-81.4999pt;width:468pt;height:8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-889000</wp:posOffset>
                </wp:positionV>
                <wp:extent cx="5369560" cy="8763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876300"/>
                        </a:xfrm>
                        <a:prstGeom prst="rect">
                          <a:avLst/>
                        </a:prstGeom>
                        <a:solidFill>
                          <a:srgbClr val="D9D9D9"/>
                        </a:solidFill>
                      </wps:spPr>
                      <wps:bodyPr/>
                    </wps:wsp>
                  </a:graphicData>
                </a:graphic>
              </wp:anchor>
            </w:drawing>
          </mc:Choice>
          <mc:Fallback>
            <w:pict>
              <v:rect id="Shape 114" o:spid="_x0000_s1139" style="position:absolute;margin-left:45.2pt;margin-top:-70pt;width:422.8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0" w:lineRule="exact"/>
        <w:rPr>
          <w:sz w:val="20"/>
          <w:szCs w:val="20"/>
          <w:color w:val="auto"/>
        </w:rPr>
      </w:pPr>
    </w:p>
    <w:p>
      <w:pPr>
        <w:jc w:val="both"/>
        <w:ind w:left="900" w:hanging="904"/>
        <w:spacing w:after="0" w:line="246" w:lineRule="auto"/>
        <w:tabs>
          <w:tab w:leader="none" w:pos="88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Amendment No. 2 to Amended and Restated Credit, Security and Guaranty Agreement (Revolving Loan), dated as of April 9, 2025, among Xtant Medical, Inc., Bacterin International, Inc., X-spine Systems, Inc., Surgalign SPV, Inc., and any additional borrower that hereafter becomes party thereto, Xtant Medical Holdings, Inc., as a guarantor, MidCap Funding IV Trust, as agent, and the other financial institutions or other entities from time to time parties thereto (filed as Exhibit 10.3 to the Registrant’s Current Report on Form 8-K filed with the SEC on April 11, 2025 (SEC File No. 001-34951) and incorporated by reference herein)</w:t>
      </w: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360"/>
          </w:cols>
          <w:pgMar w:left="1440" w:top="1419" w:right="1440" w:bottom="175" w:gutter="0" w:footer="0" w:header="0"/>
          <w:type w:val="continuous"/>
        </w:sectPr>
      </w:pPr>
    </w:p>
    <w:bookmarkStart w:id="126" w:name="page127"/>
    <w:bookmarkEnd w:id="126"/>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7" w:lineRule="exact"/>
        <w:rPr>
          <w:sz w:val="20"/>
          <w:szCs w:val="20"/>
          <w:color w:val="auto"/>
        </w:rPr>
      </w:pPr>
    </w:p>
    <w:p>
      <w:pPr>
        <w:ind w:left="300"/>
        <w:spacing w:after="0"/>
        <w:tabs>
          <w:tab w:leader="none" w:pos="4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943600" cy="102235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022350"/>
                        </a:xfrm>
                        <a:prstGeom prst="rect">
                          <a:avLst/>
                        </a:prstGeom>
                        <a:solidFill>
                          <a:srgbClr val="D9D9D9"/>
                        </a:solidFill>
                      </wps:spPr>
                      <wps:bodyPr/>
                    </wps:wsp>
                  </a:graphicData>
                </a:graphic>
              </wp:anchor>
            </w:drawing>
          </mc:Choice>
          <mc:Fallback>
            <w:pict>
              <v:rect id="Shape 115" o:spid="_x0000_s1140" style="position:absolute;margin-left:0pt;margin-top:-0.3499pt;width:468pt;height:8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3911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5pt" to="42.45pt,0.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4445</wp:posOffset>
                </wp:positionV>
                <wp:extent cx="536956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0.35pt" to="468pt,0.35pt" o:allowincell="f" strokecolor="#000000" strokeweight="1.5pt"/>
            </w:pict>
          </mc:Fallback>
        </mc:AlternateContent>
      </w:r>
    </w:p>
    <w:p>
      <w:pPr>
        <w:jc w:val="both"/>
        <w:ind w:left="900" w:hanging="904"/>
        <w:spacing w:after="0" w:line="241" w:lineRule="auto"/>
        <w:tabs>
          <w:tab w:leader="none" w:pos="88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highlight w:val="lightGray"/>
        </w:rPr>
        <w:t xml:space="preserve">Limited Consent and Amendment No. 3 to Amended and Restated Credit, Security and Guaranty </w:t>
      </w:r>
      <w:r>
        <w:rPr>
          <w:rFonts w:ascii="Times New Roman" w:cs="Times New Roman" w:eastAsia="Times New Roman" w:hAnsi="Times New Roman"/>
          <w:sz w:val="20"/>
          <w:szCs w:val="20"/>
          <w:color w:val="auto"/>
        </w:rPr>
        <w:t>Agreement (Term Loan), dated as of July 7, 2025, among Xtant Medical, Inc., Bacterin International, Inc., X-spine Systems, Inc., Surgalign SPV, Inc., and any additional borrower that hereafter becomes party thereto, Xtant Medical Holdings, Inc., as a guarantor, MidCap Financial Trust, as agent, and the other financial institutions or other entities from time to time parties thereto (filed as Exhibit 10.1 to the Registrant’s Current Report on Form 8-K as filed with the SEC on July 8, 2025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574040</wp:posOffset>
                </wp:positionH>
                <wp:positionV relativeFrom="paragraph">
                  <wp:posOffset>-885190</wp:posOffset>
                </wp:positionV>
                <wp:extent cx="5369560" cy="43815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38150"/>
                        </a:xfrm>
                        <a:prstGeom prst="rect">
                          <a:avLst/>
                        </a:prstGeom>
                        <a:solidFill>
                          <a:srgbClr val="D9D9D9"/>
                        </a:solidFill>
                      </wps:spPr>
                      <wps:bodyPr/>
                    </wps:wsp>
                  </a:graphicData>
                </a:graphic>
              </wp:anchor>
            </w:drawing>
          </mc:Choice>
          <mc:Fallback>
            <w:pict>
              <v:rect id="Shape 118" o:spid="_x0000_s1143" style="position:absolute;margin-left:45.2pt;margin-top:-69.6999pt;width:422.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-447040</wp:posOffset>
                </wp:positionV>
                <wp:extent cx="5369560" cy="43815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38150"/>
                        </a:xfrm>
                        <a:prstGeom prst="rect">
                          <a:avLst/>
                        </a:prstGeom>
                        <a:solidFill>
                          <a:srgbClr val="D9D9D9"/>
                        </a:solidFill>
                      </wps:spPr>
                      <wps:bodyPr/>
                    </wps:wsp>
                  </a:graphicData>
                </a:graphic>
              </wp:anchor>
            </w:drawing>
          </mc:Choice>
          <mc:Fallback>
            <w:pict>
              <v:rect id="Shape 119" o:spid="_x0000_s1144" style="position:absolute;margin-left:45.2pt;margin-top:-35.1999pt;width:422.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5" w:lineRule="exact"/>
        <w:rPr>
          <w:sz w:val="20"/>
          <w:szCs w:val="20"/>
          <w:color w:val="auto"/>
        </w:rPr>
      </w:pPr>
    </w:p>
    <w:p>
      <w:pPr>
        <w:jc w:val="both"/>
        <w:ind w:left="900" w:hanging="904"/>
        <w:spacing w:after="0" w:line="246" w:lineRule="auto"/>
        <w:tabs>
          <w:tab w:leader="none" w:pos="88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Limited Consent and Amendment No. 3 to Amended and Restated Credit, Security and Guaranty Agreement (Revolving Loan), dated as of July 7, 2025, among Xtant Medical, Inc., Bacterin International, Inc., X- spine Systems, Inc., Surgalign SPV, Inc., and any additional borrower that hereafter becomes party thereto, Xtant Medical Holdings, Inc., as a guarantor, MidCap Funding IV Trust, as agent, and the other financial institutions or other entities from time to time parties thereto (filed as Exhibit 10.2 to the Registrant’s Current Report on Form 8-K as filed with the SEC on July 8, 2025 (SEC File No. 001-34951) and incorporated by reference herein)</w:t>
      </w:r>
    </w:p>
    <w:p>
      <w:pPr>
        <w:spacing w:after="0" w:line="190" w:lineRule="exact"/>
        <w:rPr>
          <w:sz w:val="20"/>
          <w:szCs w:val="20"/>
          <w:color w:val="auto"/>
        </w:rPr>
      </w:pPr>
    </w:p>
    <w:p>
      <w:pPr>
        <w:jc w:val="both"/>
        <w:ind w:left="900" w:hanging="904"/>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highlight w:val="lightGray"/>
        </w:rPr>
        <w:t xml:space="preserve">Commercial Lease, dated February 1, 2012, between Cruiser Lane, LLC and Bacterin International Holdings, Inc. (filed as Exhibit 10.30 to the Registrant’s Annual Report on Form 10-K for the year ended </w:t>
      </w:r>
      <w:r>
        <w:rPr>
          <w:rFonts w:ascii="Times New Roman" w:cs="Times New Roman" w:eastAsia="Times New Roman" w:hAnsi="Times New Roman"/>
          <w:sz w:val="20"/>
          <w:szCs w:val="20"/>
          <w:color w:val="auto"/>
        </w:rPr>
        <w:t>December 31, 2022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-458470</wp:posOffset>
                </wp:positionV>
                <wp:extent cx="5943600" cy="43815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38150"/>
                        </a:xfrm>
                        <a:prstGeom prst="rect">
                          <a:avLst/>
                        </a:prstGeom>
                        <a:solidFill>
                          <a:srgbClr val="D9D9D9"/>
                        </a:solidFill>
                      </wps:spPr>
                      <wps:bodyPr/>
                    </wps:wsp>
                  </a:graphicData>
                </a:graphic>
              </wp:anchor>
            </w:drawing>
          </mc:Choice>
          <mc:Fallback>
            <w:pict>
              <v:rect id="Shape 120" o:spid="_x0000_s1145" style="position:absolute;margin-left:0pt;margin-top:-36.0999pt;width:46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-165735</wp:posOffset>
                </wp:positionV>
                <wp:extent cx="5369560" cy="14541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145415"/>
                        </a:xfrm>
                        <a:prstGeom prst="rect">
                          <a:avLst/>
                        </a:prstGeom>
                        <a:solidFill>
                          <a:srgbClr val="D9D9D9"/>
                        </a:solidFill>
                      </wps:spPr>
                      <wps:bodyPr/>
                    </wps:wsp>
                  </a:graphicData>
                </a:graphic>
              </wp:anchor>
            </w:drawing>
          </mc:Choice>
          <mc:Fallback>
            <w:pict>
              <v:rect id="Shape 121" o:spid="_x0000_s1146" style="position:absolute;margin-left:45.2pt;margin-top:-13.0499pt;width:422.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59" w:lineRule="exact"/>
        <w:rPr>
          <w:sz w:val="20"/>
          <w:szCs w:val="20"/>
          <w:color w:val="auto"/>
        </w:rPr>
      </w:pPr>
    </w:p>
    <w:p>
      <w:pPr>
        <w:jc w:val="both"/>
        <w:ind w:left="900" w:hanging="904"/>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color w:val="auto"/>
        </w:rPr>
        <w:t>Addendum to Commercial Lease, dated December 3, 2018, between Cruiser Lane, LLC and Bacterin International Holdings, Inc. (filed as Exhibit 10.31 to the Registrant’s Annual Report on Form 10-K for the year ended December 31, 2022 (SEC File No. 001-34951) and incorporated by reference herein)</w:t>
      </w:r>
    </w:p>
    <w:p>
      <w:pPr>
        <w:spacing w:after="0" w:line="178" w:lineRule="exact"/>
        <w:rPr>
          <w:sz w:val="20"/>
          <w:szCs w:val="20"/>
          <w:color w:val="auto"/>
        </w:rPr>
      </w:pPr>
    </w:p>
    <w:p>
      <w:pPr>
        <w:jc w:val="both"/>
        <w:ind w:left="900" w:hanging="904"/>
        <w:spacing w:after="0" w:line="252" w:lineRule="auto"/>
        <w:tabs>
          <w:tab w:leader="none" w:pos="88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20"/>
          <w:szCs w:val="20"/>
          <w:color w:val="auto"/>
          <w:highlight w:val="lightGray"/>
        </w:rPr>
        <w:t xml:space="preserve">Addendum to Commercial Lease, dated July 29, 2022, between Cruiser Lane, LLC and Xtant Medical, Inc. f/k/a Bacterin International Holdings, Inc. (filed as Exhibit 10.32 to the Registrant’s Annual Report </w:t>
      </w:r>
      <w:r>
        <w:rPr>
          <w:rFonts w:ascii="Times New Roman" w:cs="Times New Roman" w:eastAsia="Times New Roman" w:hAnsi="Times New Roman"/>
          <w:sz w:val="20"/>
          <w:szCs w:val="20"/>
          <w:color w:val="auto"/>
        </w:rPr>
        <w:t>on Form 10-K for the year ended December 31, 2022 (SEC File No. 001-34951) and incorporated by reference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-600075</wp:posOffset>
                </wp:positionV>
                <wp:extent cx="5943600" cy="58356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583565"/>
                        </a:xfrm>
                        <a:prstGeom prst="rect">
                          <a:avLst/>
                        </a:prstGeom>
                        <a:solidFill>
                          <a:srgbClr val="D9D9D9"/>
                        </a:solidFill>
                      </wps:spPr>
                      <wps:bodyPr/>
                    </wps:wsp>
                  </a:graphicData>
                </a:graphic>
              </wp:anchor>
            </w:drawing>
          </mc:Choice>
          <mc:Fallback>
            <w:pict>
              <v:rect id="Shape 122" o:spid="_x0000_s1147" style="position:absolute;margin-left:0pt;margin-top:-47.2499pt;width:468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-307975</wp:posOffset>
                </wp:positionV>
                <wp:extent cx="5369560" cy="29146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291465"/>
                        </a:xfrm>
                        <a:prstGeom prst="rect">
                          <a:avLst/>
                        </a:prstGeom>
                        <a:solidFill>
                          <a:srgbClr val="D9D9D9"/>
                        </a:solidFill>
                      </wps:spPr>
                      <wps:bodyPr/>
                    </wps:wsp>
                  </a:graphicData>
                </a:graphic>
              </wp:anchor>
            </w:drawing>
          </mc:Choice>
          <mc:Fallback>
            <w:pict>
              <v:rect id="Shape 123" o:spid="_x0000_s1148" style="position:absolute;margin-left:45.2pt;margin-top:-24.2499pt;width:422.8pt;height:2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64" w:lineRule="exact"/>
        <w:rPr>
          <w:sz w:val="20"/>
          <w:szCs w:val="20"/>
          <w:color w:val="auto"/>
        </w:rPr>
      </w:pPr>
    </w:p>
    <w:p>
      <w:pPr>
        <w:jc w:val="both"/>
        <w:ind w:left="900" w:hanging="904"/>
        <w:spacing w:after="0" w:line="255" w:lineRule="auto"/>
        <w:tabs>
          <w:tab w:leader="none" w:pos="88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20"/>
          <w:szCs w:val="20"/>
          <w:color w:val="auto"/>
        </w:rPr>
        <w:t>Addendum to Commercial Lease, dated September 8, 2025, between Cruiser Lane, LLC and Xtant Medical, Inc.</w:t>
      </w:r>
    </w:p>
    <w:p>
      <w:pPr>
        <w:ind w:left="8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5943600" cy="14541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45415"/>
                        </a:xfrm>
                        <a:prstGeom prst="rect">
                          <a:avLst/>
                        </a:prstGeom>
                        <a:solidFill>
                          <a:srgbClr val="D9D9D9"/>
                        </a:solidFill>
                      </wps:spPr>
                      <wps:bodyPr/>
                    </wps:wsp>
                  </a:graphicData>
                </a:graphic>
              </wp:anchor>
            </w:drawing>
          </mc:Choice>
          <mc:Fallback>
            <w:pict>
              <v:rect id="Shape 124" o:spid="_x0000_s1149" style="position:absolute;margin-left:0pt;margin-top:-0.3999pt;width:46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20"/>
          <w:szCs w:val="20"/>
          <w:color w:val="auto"/>
        </w:rPr>
        <w:t>Lease Agreement, dated August 12, 2025, between McClellan Farm and Xtant Medical, Inc.</w:t>
      </w:r>
    </w:p>
    <w:p>
      <w:pPr>
        <w:spacing w:after="0" w:line="203" w:lineRule="exact"/>
        <w:rPr>
          <w:sz w:val="20"/>
          <w:szCs w:val="20"/>
          <w:color w:val="auto"/>
        </w:rPr>
      </w:pPr>
    </w:p>
    <w:p>
      <w:pPr>
        <w:jc w:val="both"/>
        <w:ind w:left="900" w:hanging="904"/>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10.39</w:t>
      </w:r>
      <w:r>
        <w:rPr>
          <w:sz w:val="20"/>
          <w:szCs w:val="20"/>
          <w:color w:val="auto"/>
        </w:rPr>
        <w:tab/>
      </w:r>
      <w:r>
        <w:rPr>
          <w:rFonts w:ascii="Times New Roman" w:cs="Times New Roman" w:eastAsia="Times New Roman" w:hAnsi="Times New Roman"/>
          <w:sz w:val="20"/>
          <w:szCs w:val="20"/>
          <w:color w:val="auto"/>
        </w:rPr>
        <w:t>Triple Net Commercial Lease, dated October 23, 2015, between Shep Does Stuff LLC and Bacterin International, Inc. (filed as Exhibit 10.34 to the Registrant’s Annual Report on Form 10-K for the year ended December 31, 2022 (SEC File No. 001-34951) and incorporated by reference herein)</w:t>
      </w:r>
    </w:p>
    <w:p>
      <w:pPr>
        <w:spacing w:after="0" w:line="178" w:lineRule="exact"/>
        <w:rPr>
          <w:sz w:val="20"/>
          <w:szCs w:val="20"/>
          <w:color w:val="auto"/>
        </w:rPr>
      </w:pPr>
    </w:p>
    <w:p>
      <w:pPr>
        <w:jc w:val="both"/>
        <w:ind w:left="900" w:hanging="904"/>
        <w:spacing w:after="0" w:line="278" w:lineRule="auto"/>
        <w:tabs>
          <w:tab w:leader="none" w:pos="880" w:val="left"/>
        </w:tabs>
        <w:rPr>
          <w:sz w:val="20"/>
          <w:szCs w:val="20"/>
          <w:color w:val="auto"/>
        </w:rPr>
      </w:pPr>
      <w:r>
        <w:rPr>
          <w:rFonts w:ascii="Times New Roman" w:cs="Times New Roman" w:eastAsia="Times New Roman" w:hAnsi="Times New Roman"/>
          <w:sz w:val="20"/>
          <w:szCs w:val="20"/>
          <w:color w:val="auto"/>
        </w:rPr>
        <w:t>10.40*</w:t>
      </w:r>
      <w:r>
        <w:rPr>
          <w:sz w:val="20"/>
          <w:szCs w:val="20"/>
          <w:color w:val="auto"/>
        </w:rPr>
        <w:tab/>
      </w:r>
      <w:r>
        <w:rPr>
          <w:rFonts w:ascii="Times New Roman" w:cs="Times New Roman" w:eastAsia="Times New Roman" w:hAnsi="Times New Roman"/>
          <w:sz w:val="20"/>
          <w:szCs w:val="20"/>
          <w:color w:val="auto"/>
          <w:highlight w:val="lightGray"/>
        </w:rPr>
        <w:t xml:space="preserve">Lease Modification Agreement, dated September 8, 2025, between Step Does Stuff LLC and Bacterin </w:t>
      </w:r>
      <w:r>
        <w:rPr>
          <w:rFonts w:ascii="Times New Roman" w:cs="Times New Roman" w:eastAsia="Times New Roman" w:hAnsi="Times New Roman"/>
          <w:sz w:val="20"/>
          <w:szCs w:val="20"/>
          <w:color w:val="auto"/>
        </w:rPr>
        <w:t>International, Inc., now known as Xtant Medical,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-325120</wp:posOffset>
                </wp:positionV>
                <wp:extent cx="539115" cy="29210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292100"/>
                        </a:xfrm>
                        <a:prstGeom prst="rect">
                          <a:avLst/>
                        </a:prstGeom>
                        <a:solidFill>
                          <a:srgbClr val="D9D9D9"/>
                        </a:solidFill>
                      </wps:spPr>
                      <wps:bodyPr/>
                    </wps:wsp>
                  </a:graphicData>
                </a:graphic>
              </wp:anchor>
            </w:drawing>
          </mc:Choice>
          <mc:Fallback>
            <w:pict>
              <v:rect id="Shape 125" o:spid="_x0000_s1150" style="position:absolute;margin-left:0pt;margin-top:-25.5999pt;width:42.4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-325120</wp:posOffset>
                </wp:positionV>
                <wp:extent cx="5943600" cy="29210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292100"/>
                        </a:xfrm>
                        <a:prstGeom prst="rect">
                          <a:avLst/>
                        </a:prstGeom>
                        <a:solidFill>
                          <a:srgbClr val="D9D9D9"/>
                        </a:solidFill>
                      </wps:spPr>
                      <wps:bodyPr/>
                    </wps:wsp>
                  </a:graphicData>
                </a:graphic>
              </wp:anchor>
            </w:drawing>
          </mc:Choice>
          <mc:Fallback>
            <w:pict>
              <v:rect id="Shape 126" o:spid="_x0000_s1151" style="position:absolute;margin-left:0pt;margin-top:-25.5999pt;width:468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-179705</wp:posOffset>
                </wp:positionV>
                <wp:extent cx="5369560" cy="14668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146685"/>
                        </a:xfrm>
                        <a:prstGeom prst="rect">
                          <a:avLst/>
                        </a:prstGeom>
                        <a:solidFill>
                          <a:srgbClr val="D9D9D9"/>
                        </a:solidFill>
                      </wps:spPr>
                      <wps:bodyPr/>
                    </wps:wsp>
                  </a:graphicData>
                </a:graphic>
              </wp:anchor>
            </w:drawing>
          </mc:Choice>
          <mc:Fallback>
            <w:pict>
              <v:rect id="Shape 127" o:spid="_x0000_s1152" style="position:absolute;margin-left:45.2pt;margin-top:-14.1499pt;width:422.8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37" w:lineRule="exact"/>
        <w:rPr>
          <w:sz w:val="20"/>
          <w:szCs w:val="20"/>
          <w:color w:val="auto"/>
        </w:rPr>
      </w:pPr>
    </w:p>
    <w:p>
      <w:pPr>
        <w:jc w:val="both"/>
        <w:ind w:left="900" w:hanging="904"/>
        <w:spacing w:after="0" w:line="278" w:lineRule="auto"/>
        <w:tabs>
          <w:tab w:leader="none" w:pos="88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20"/>
          <w:szCs w:val="20"/>
          <w:color w:val="auto"/>
        </w:rPr>
        <w:t>Commercial Lease, dated April 25, 2025, between Clair W Daines and Sharon R Daines Trustees and Xtant Medical, Inc.</w:t>
      </w:r>
    </w:p>
    <w:p>
      <w:pPr>
        <w:spacing w:after="0" w:line="157" w:lineRule="exact"/>
        <w:rPr>
          <w:sz w:val="20"/>
          <w:szCs w:val="20"/>
          <w:color w:val="auto"/>
        </w:rPr>
      </w:pPr>
    </w:p>
    <w:p>
      <w:pPr>
        <w:jc w:val="both"/>
        <w:ind w:left="900" w:hanging="904"/>
        <w:spacing w:after="0" w:line="249" w:lineRule="auto"/>
        <w:tabs>
          <w:tab w:leader="none" w:pos="88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20"/>
          <w:szCs w:val="20"/>
          <w:color w:val="auto"/>
          <w:highlight w:val="lightGray"/>
        </w:rPr>
        <w:t xml:space="preserve">Amendment No. 4 to Amended and Restated Credit, Security and Guaranty Agreement (Term Loan), dated </w:t>
      </w:r>
      <w:r>
        <w:rPr>
          <w:rFonts w:ascii="Times New Roman" w:cs="Times New Roman" w:eastAsia="Times New Roman" w:hAnsi="Times New Roman"/>
          <w:sz w:val="20"/>
          <w:szCs w:val="20"/>
          <w:color w:val="auto"/>
        </w:rPr>
        <w:t>as of March 26, 2026, among Xtant Medical, Inc., Bacterin International, Inc., X-spine Systems, Inc., Surgalign SPV, Inc., and any additional borrower that hereafter becomes party thereto, Xtant Medical Holdings, Inc., as a guarantor, MidCap Financial Trust, as agent, and the other financial institutions or other entities from time to time parties thereto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-744220</wp:posOffset>
                </wp:positionV>
                <wp:extent cx="5943600" cy="73025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730250"/>
                        </a:xfrm>
                        <a:prstGeom prst="rect">
                          <a:avLst/>
                        </a:prstGeom>
                        <a:solidFill>
                          <a:srgbClr val="D9D9D9"/>
                        </a:solidFill>
                      </wps:spPr>
                      <wps:bodyPr/>
                    </wps:wsp>
                  </a:graphicData>
                </a:graphic>
              </wp:anchor>
            </w:drawing>
          </mc:Choice>
          <mc:Fallback>
            <w:pict>
              <v:rect id="Shape 128" o:spid="_x0000_s1153" style="position:absolute;margin-left:0pt;margin-top:-58.5999pt;width:468pt;height: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-598805</wp:posOffset>
                </wp:positionV>
                <wp:extent cx="5369560" cy="43815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438150"/>
                        </a:xfrm>
                        <a:prstGeom prst="rect">
                          <a:avLst/>
                        </a:prstGeom>
                        <a:solidFill>
                          <a:srgbClr val="D9D9D9"/>
                        </a:solidFill>
                      </wps:spPr>
                      <wps:bodyPr/>
                    </wps:wsp>
                  </a:graphicData>
                </a:graphic>
              </wp:anchor>
            </w:drawing>
          </mc:Choice>
          <mc:Fallback>
            <w:pict>
              <v:rect id="Shape 129" o:spid="_x0000_s1154" style="position:absolute;margin-left:45.2pt;margin-top:-47.1499pt;width:422.8pt;height: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-160655</wp:posOffset>
                </wp:positionV>
                <wp:extent cx="5369560" cy="14668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9560" cy="146685"/>
                        </a:xfrm>
                        <a:prstGeom prst="rect">
                          <a:avLst/>
                        </a:prstGeom>
                        <a:solidFill>
                          <a:srgbClr val="D9D9D9"/>
                        </a:solidFill>
                      </wps:spPr>
                      <wps:bodyPr/>
                    </wps:wsp>
                  </a:graphicData>
                </a:graphic>
              </wp:anchor>
            </w:drawing>
          </mc:Choice>
          <mc:Fallback>
            <w:pict>
              <v:rect id="Shape 130" o:spid="_x0000_s1155" style="position:absolute;margin-left:45.2pt;margin-top:-12.6499pt;width:422.8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1419" w:right="1440" w:bottom="175"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84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0"/>
        </w:trPr>
        <w:tc>
          <w:tcPr>
            <w:tcW w:w="84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20"/>
                <w:szCs w:val="20"/>
                <w:color w:val="auto"/>
              </w:rPr>
              <w:t>10.43*</w:t>
            </w:r>
          </w:p>
        </w:tc>
        <w:tc>
          <w:tcPr>
            <w:tcW w:w="60" w:type="dxa"/>
            <w:vAlign w:val="bottom"/>
          </w:tcPr>
          <w:p>
            <w:pPr>
              <w:spacing w:after="0"/>
              <w:rPr>
                <w:sz w:val="15"/>
                <w:szCs w:val="15"/>
                <w:color w:val="auto"/>
              </w:rPr>
            </w:pPr>
          </w:p>
        </w:tc>
        <w:tc>
          <w:tcPr>
            <w:tcW w:w="846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20"/>
                <w:szCs w:val="20"/>
                <w:color w:val="auto"/>
                <w:w w:val="99"/>
              </w:rPr>
              <w:t>Amendment No. 4 to Amended and Restated Credit, Security and Guaranty Agreement (Revolving Loan),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as of March 26, 2026, among Xtant Medical, Inc., Bacterin International, Inc., X-spine Systems,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Inc., Surgalign SPV, Inc., and any additional borrower that hereafter becomes party thereto, Xtant Medical</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Holdings, Inc., as a guarantor, MidCap Funding IV Trust, as agent, and the other financial institutions or</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entities from time to time parties thereto</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Xtant Medical Holdings, Inc. Insider Trading Policy (filed as Exhibit 19.1 to the Registrant’s Annual</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Report on Form 10-K for the year ended December 31, 2024 (SEC File No. 001-34951) and incorporated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by reference herein)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Subsidiaries of the Registrant</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 Grant Thornton LLP</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 Rule 13a-14(a), as adopted pursuant to Section</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302 of the Sarbanes-Oxley Act of 2002</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Certification of Chief Financial Officer Pursuant to SEC Rule 13a-14(a), as adopted pursuant to Section</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Chief Executive Officer Pursuant to Rule 18 U.S.C. Section 1350, as adopted pursuant to</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Certification of Chief Financial Officer Pursuant to Rule 18 U.S.C. Section 1350, as adopted pursuant to</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Xtant Medical Holdings, Inc. Clawback Policy (filed as Exhibit 97.1 to the Registrant’s Annual Report 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10-K for the year ended December 31, 2023 (SEC File No. 001-34951) and incorporated by reference</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herein)</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101.INS*</w:t>
            </w: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highlight w:val="lightGray"/>
              </w:rPr>
              <w:t>Inline XBRL INSTANCE DOCUMENT (the instance document does not appear in the interactive data</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846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color w:val="auto"/>
              </w:rPr>
              <w:t>file because its XBRL tags are embedded within the inline XBRL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101.SCH* Inline XBRL TAXONOMY EXTENSION SCHEMA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101.CAL* Inline XBRL TAXONOMY EXTENSION CALCULATION LINKBASE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5943600" cy="14478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44780"/>
                        </a:xfrm>
                        <a:prstGeom prst="rect">
                          <a:avLst/>
                        </a:prstGeom>
                        <a:solidFill>
                          <a:srgbClr val="D9D9D9"/>
                        </a:solidFill>
                      </wps:spPr>
                      <wps:bodyPr/>
                    </wps:wsp>
                  </a:graphicData>
                </a:graphic>
              </wp:anchor>
            </w:drawing>
          </mc:Choice>
          <mc:Fallback>
            <w:pict>
              <v:rect id="Shape 131" o:spid="_x0000_s1156" style="position:absolute;margin-left:0pt;margin-top:-10.4499pt;width:468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101.DEF* Inline XBRL TAXONOMY EXTENSION DEFINITION LINKBASE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101.LAB* Inline XBRL TAXONOMY EXTENSION LABEL LINKBASE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5943600" cy="14541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45415"/>
                        </a:xfrm>
                        <a:prstGeom prst="rect">
                          <a:avLst/>
                        </a:prstGeom>
                        <a:solidFill>
                          <a:srgbClr val="D9D9D9"/>
                        </a:solidFill>
                      </wps:spPr>
                      <wps:bodyPr/>
                    </wps:wsp>
                  </a:graphicData>
                </a:graphic>
              </wp:anchor>
            </w:drawing>
          </mc:Choice>
          <mc:Fallback>
            <w:pict>
              <v:rect id="Shape 132" o:spid="_x0000_s1157" style="position:absolute;margin-left:0pt;margin-top:-10.4999pt;width:46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101.PRE* Inline XBRL TAXONOMY EXTENSION PRESENTATION LINKBASE</w:t>
      </w:r>
    </w:p>
    <w:p>
      <w:pPr>
        <w:spacing w:after="0" w:line="2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in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5943600" cy="14541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45415"/>
                        </a:xfrm>
                        <a:prstGeom prst="rect">
                          <a:avLst/>
                        </a:prstGeom>
                        <a:solidFill>
                          <a:srgbClr val="D9D9D9"/>
                        </a:solidFill>
                      </wps:spPr>
                      <wps:bodyPr/>
                    </wps:wsp>
                  </a:graphicData>
                </a:graphic>
              </wp:anchor>
            </w:drawing>
          </mc:Choice>
          <mc:Fallback>
            <w:pict>
              <v:rect id="Shape 133" o:spid="_x0000_s1158" style="position:absolute;margin-left:0pt;margin-top:-10.4999pt;width:46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32" w:lineRule="exact"/>
        <w:rPr>
          <w:sz w:val="20"/>
          <w:szCs w:val="20"/>
          <w:color w:val="auto"/>
        </w:rPr>
      </w:pPr>
    </w:p>
    <w:p>
      <w:pPr>
        <w:ind w:left="720" w:hanging="720"/>
        <w:spacing w:after="0"/>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Filed herewith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exhibits and schedules to this exhibit have been omitted pursuant to Item 601(b)(2) of Regulation S-K.</w:t>
      </w: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furnish the omitted exhibits and schedules to the SEC upon request by the SEC.</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Optional disclosure, not included in this Annual Report on Form 10-K.</w:t>
      </w:r>
    </w:p>
    <w:p>
      <w:pPr>
        <w:sectPr>
          <w:pgSz w:w="12240" w:h="15840" w:orient="portrait"/>
          <w:cols w:equalWidth="0" w:num="1">
            <w:col w:w="9360"/>
          </w:cols>
          <w:pgMar w:left="1440" w:top="1419" w:right="1440" w:bottom="175"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360"/>
          </w:cols>
          <w:pgMar w:left="1440" w:top="1419" w:right="1440" w:bottom="175" w:gutter="0" w:footer="0" w:header="0"/>
          <w:type w:val="continuous"/>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XTANT MEDICAL HOLDINGS, INC.</w:t>
      </w:r>
    </w:p>
    <w:p>
      <w:pPr>
        <w:spacing w:after="0" w:line="234" w:lineRule="exact"/>
        <w:rPr>
          <w:sz w:val="20"/>
          <w:szCs w:val="20"/>
          <w:color w:val="auto"/>
        </w:rPr>
      </w:pPr>
    </w:p>
    <w:p>
      <w:pPr>
        <w:spacing w:after="0"/>
        <w:tabs>
          <w:tab w:leader="none" w:pos="4620" w:val="left"/>
          <w:tab w:leader="none" w:pos="5160" w:val="left"/>
        </w:tabs>
        <w:rPr>
          <w:sz w:val="20"/>
          <w:szCs w:val="20"/>
          <w:color w:val="auto"/>
        </w:rPr>
      </w:pPr>
      <w:r>
        <w:rPr>
          <w:rFonts w:ascii="Times New Roman" w:cs="Times New Roman" w:eastAsia="Times New Roman" w:hAnsi="Times New Roman"/>
          <w:sz w:val="20"/>
          <w:szCs w:val="20"/>
          <w:color w:val="auto"/>
        </w:rPr>
        <w:t>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color w:val="auto"/>
        </w:rPr>
        <w:t>/s/ Sean E. Browne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3289935</wp:posOffset>
                </wp:positionH>
                <wp:positionV relativeFrom="paragraph">
                  <wp:posOffset>21590</wp:posOffset>
                </wp:positionV>
                <wp:extent cx="265366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3665" cy="4763"/>
                        </a:xfrm>
                        <a:prstGeom prst="line">
                          <a:avLst/>
                        </a:prstGeom>
                        <a:solidFill>
                          <a:srgbClr val="FFFFFF"/>
                        </a:solidFill>
                        <a:ln w="19051">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05pt,1.7pt" to="468pt,1.7pt" o:allowincell="f" strokecolor="#000000" strokeweight="1.5001pt"/>
            </w:pict>
          </mc:Fallback>
        </mc:AlternateContent>
      </w:r>
    </w:p>
    <w:p>
      <w:pPr>
        <w:spacing w:after="0" w:line="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Name:Sean E. Browne</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Sean E. Browne and Scott C. Neils, or either of them, as such person’s true and lawful attorneys-in-fact and agents, with full power of substitution and re-substitution, for such person and in such person’s name, place and stead, in any and all capacities, to sign any and all amendments to this Annual Report on Form 10-K and any documents related to this report and filed pursuant to the Securities Exchange Act of 1934,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09"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March 31, 2026.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Pr>
          <w:p>
            <w:pPr>
              <w:spacing w:after="0"/>
              <w:rPr>
                <w:sz w:val="22"/>
                <w:szCs w:val="22"/>
                <w:color w:val="auto"/>
              </w:rPr>
            </w:pPr>
          </w:p>
        </w:tc>
        <w:tc>
          <w:tcPr>
            <w:tcW w:w="4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47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Sean E. Browne</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Sean E. Browne</w:t>
            </w:r>
          </w:p>
        </w:tc>
        <w:tc>
          <w:tcPr>
            <w:tcW w:w="200" w:type="dxa"/>
            <w:vAlign w:val="bottom"/>
          </w:tcPr>
          <w:p>
            <w:pPr>
              <w:spacing w:after="0"/>
              <w:rPr>
                <w:sz w:val="23"/>
                <w:szCs w:val="2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4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Scott C. Neils</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Scott C. Neils</w:t>
            </w:r>
          </w:p>
        </w:tc>
        <w:tc>
          <w:tcPr>
            <w:tcW w:w="200" w:type="dxa"/>
            <w:vAlign w:val="bottom"/>
          </w:tcPr>
          <w:p>
            <w:pPr>
              <w:spacing w:after="0"/>
              <w:rPr>
                <w:sz w:val="23"/>
                <w:szCs w:val="2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r>
        <w:trPr>
          <w:trHeight w:val="4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John K. Bakewell</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John K. Bakewell</w:t>
            </w:r>
          </w:p>
        </w:tc>
        <w:tc>
          <w:tcPr>
            <w:tcW w:w="20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4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Jonn R. Beeson</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Jonn R. Beeson</w:t>
            </w:r>
          </w:p>
        </w:tc>
        <w:tc>
          <w:tcPr>
            <w:tcW w:w="20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4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Abhinav Jain</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Abhinav Jain</w:t>
            </w:r>
          </w:p>
        </w:tc>
        <w:tc>
          <w:tcPr>
            <w:tcW w:w="20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4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Tyler P. Lipschultz</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Tyler P. Lipschultz</w:t>
            </w:r>
          </w:p>
        </w:tc>
        <w:tc>
          <w:tcPr>
            <w:tcW w:w="20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4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Stavros G. Vizirgianakis</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Stavros G. Vizirgianakis</w:t>
            </w:r>
          </w:p>
        </w:tc>
        <w:tc>
          <w:tcPr>
            <w:tcW w:w="200" w:type="dxa"/>
            <w:vAlign w:val="bottom"/>
          </w:tcPr>
          <w:p>
            <w:pPr>
              <w:spacing w:after="0"/>
              <w:rPr>
                <w:sz w:val="23"/>
                <w:szCs w:val="23"/>
                <w:color w:val="auto"/>
              </w:rPr>
            </w:pPr>
          </w:p>
        </w:tc>
        <w:tc>
          <w:tcPr>
            <w:tcW w:w="458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80"/>
          </w:cols>
          <w:pgMar w:left="1440" w:top="1416"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380"/>
          </w:cols>
          <w:pgMar w:left="1440" w:top="1416" w:right="1420" w:bottom="175"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30" w:name="page131"/>
    <w:bookmarkEnd w:id="130"/>
    <w:p>
      <w:pPr>
        <w:spacing w:after="0"/>
        <w:rPr>
          <w:sz w:val="20"/>
          <w:szCs w:val="20"/>
          <w:color w:val="auto"/>
        </w:rPr>
      </w:pPr>
      <w:r>
        <w:rPr>
          <w:rFonts w:ascii="Tahoma" w:cs="Tahoma" w:eastAsia="Tahoma" w:hAnsi="Tahoma"/>
          <w:sz w:val="20"/>
          <w:szCs w:val="20"/>
          <w:b w:val="1"/>
          <w:bCs w:val="1"/>
          <w:color w:val="auto"/>
        </w:rPr>
        <w:t>BOARD OF DIRECTORS</w:t>
      </w:r>
    </w:p>
    <w:p>
      <w:pPr>
        <w:spacing w:after="0" w:line="269"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Stavros G. Vizirgianakis</w:t>
      </w:r>
    </w:p>
    <w:p>
      <w:pPr>
        <w:spacing w:after="0" w:line="30" w:lineRule="exact"/>
        <w:rPr>
          <w:sz w:val="20"/>
          <w:szCs w:val="20"/>
          <w:color w:val="auto"/>
        </w:rPr>
      </w:pPr>
    </w:p>
    <w:p>
      <w:pPr>
        <w:spacing w:after="0"/>
        <w:rPr>
          <w:sz w:val="20"/>
          <w:szCs w:val="20"/>
          <w:color w:val="auto"/>
        </w:rPr>
      </w:pPr>
      <w:r>
        <w:rPr>
          <w:rFonts w:ascii="Tahoma" w:cs="Tahoma" w:eastAsia="Tahoma" w:hAnsi="Tahoma"/>
          <w:sz w:val="20"/>
          <w:szCs w:val="20"/>
          <w:color w:val="auto"/>
        </w:rPr>
        <w:t>Chairman of the Board</w:t>
      </w:r>
    </w:p>
    <w:p>
      <w:pPr>
        <w:spacing w:after="0" w:line="267"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John K. Bakewell</w:t>
      </w:r>
    </w:p>
    <w:p>
      <w:pPr>
        <w:spacing w:after="0" w:line="278"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Jonn R. Beeson</w:t>
      </w:r>
    </w:p>
    <w:p>
      <w:pPr>
        <w:spacing w:after="0" w:line="278"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Sean E. Browne</w:t>
      </w:r>
    </w:p>
    <w:p>
      <w:pPr>
        <w:spacing w:after="0" w:line="279"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Abhinav Jain</w:t>
      </w:r>
    </w:p>
    <w:p>
      <w:pPr>
        <w:spacing w:after="0" w:line="278"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Tyler P. Lipschultz</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EXECUTIVE OFFICERS</w:t>
      </w:r>
    </w:p>
    <w:p>
      <w:pPr>
        <w:spacing w:after="0" w:line="279"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Sean E. Browne</w:t>
      </w:r>
    </w:p>
    <w:p>
      <w:pPr>
        <w:spacing w:after="0" w:line="31" w:lineRule="exact"/>
        <w:rPr>
          <w:sz w:val="20"/>
          <w:szCs w:val="20"/>
          <w:color w:val="auto"/>
        </w:rPr>
      </w:pPr>
    </w:p>
    <w:p>
      <w:pPr>
        <w:spacing w:after="0"/>
        <w:rPr>
          <w:sz w:val="20"/>
          <w:szCs w:val="20"/>
          <w:color w:val="auto"/>
        </w:rPr>
      </w:pPr>
      <w:r>
        <w:rPr>
          <w:rFonts w:ascii="Tahoma" w:cs="Tahoma" w:eastAsia="Tahoma" w:hAnsi="Tahoma"/>
          <w:sz w:val="20"/>
          <w:szCs w:val="20"/>
          <w:color w:val="auto"/>
        </w:rPr>
        <w:t>President and Chief Executive Officer</w:t>
      </w:r>
    </w:p>
    <w:p>
      <w:pPr>
        <w:spacing w:after="0" w:line="266"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Scott C. Neils</w:t>
      </w:r>
    </w:p>
    <w:p>
      <w:pPr>
        <w:spacing w:after="0" w:line="31" w:lineRule="exact"/>
        <w:rPr>
          <w:sz w:val="20"/>
          <w:szCs w:val="20"/>
          <w:color w:val="auto"/>
        </w:rPr>
      </w:pPr>
    </w:p>
    <w:p>
      <w:pPr>
        <w:spacing w:after="0"/>
        <w:rPr>
          <w:sz w:val="20"/>
          <w:szCs w:val="20"/>
          <w:color w:val="auto"/>
        </w:rPr>
      </w:pPr>
      <w:r>
        <w:rPr>
          <w:rFonts w:ascii="Tahoma" w:cs="Tahoma" w:eastAsia="Tahoma" w:hAnsi="Tahoma"/>
          <w:sz w:val="20"/>
          <w:szCs w:val="20"/>
          <w:color w:val="auto"/>
        </w:rPr>
        <w:t>Chief Financial Officer and Assistant Secretary</w:t>
      </w:r>
    </w:p>
    <w:p>
      <w:pPr>
        <w:spacing w:after="0" w:line="266"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Mark A. Schallenberger</w:t>
      </w:r>
    </w:p>
    <w:p>
      <w:pPr>
        <w:spacing w:after="0" w:line="31" w:lineRule="exact"/>
        <w:rPr>
          <w:sz w:val="20"/>
          <w:szCs w:val="20"/>
          <w:color w:val="auto"/>
        </w:rPr>
      </w:pPr>
    </w:p>
    <w:p>
      <w:pPr>
        <w:spacing w:after="0"/>
        <w:rPr>
          <w:sz w:val="20"/>
          <w:szCs w:val="20"/>
          <w:color w:val="auto"/>
        </w:rPr>
      </w:pPr>
      <w:r>
        <w:rPr>
          <w:rFonts w:ascii="Tahoma" w:cs="Tahoma" w:eastAsia="Tahoma" w:hAnsi="Tahoma"/>
          <w:sz w:val="20"/>
          <w:szCs w:val="20"/>
          <w:color w:val="auto"/>
        </w:rPr>
        <w:t>Chief Operating Officer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CORPORATE INFORMATION</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b w:val="1"/>
          <w:bCs w:val="1"/>
          <w:i w:val="1"/>
          <w:iCs w:val="1"/>
          <w:color w:val="auto"/>
        </w:rPr>
        <w:t>Corporate Headquarters</w:t>
      </w:r>
    </w:p>
    <w:p>
      <w:pPr>
        <w:spacing w:after="0" w:line="12" w:lineRule="exact"/>
        <w:rPr>
          <w:sz w:val="20"/>
          <w:szCs w:val="20"/>
          <w:color w:val="auto"/>
        </w:rPr>
      </w:pPr>
    </w:p>
    <w:p>
      <w:pPr>
        <w:spacing w:after="0"/>
        <w:rPr>
          <w:sz w:val="20"/>
          <w:szCs w:val="20"/>
          <w:color w:val="auto"/>
        </w:rPr>
      </w:pPr>
      <w:r>
        <w:rPr>
          <w:rFonts w:ascii="Tahoma" w:cs="Tahoma" w:eastAsia="Tahoma" w:hAnsi="Tahoma"/>
          <w:sz w:val="20"/>
          <w:szCs w:val="20"/>
          <w:color w:val="auto"/>
        </w:rPr>
        <w:t>Xtant Medical Holdings, Inc.</w:t>
      </w:r>
    </w:p>
    <w:p>
      <w:pPr>
        <w:spacing w:after="0"/>
        <w:rPr>
          <w:sz w:val="20"/>
          <w:szCs w:val="20"/>
          <w:color w:val="auto"/>
        </w:rPr>
      </w:pPr>
      <w:r>
        <w:rPr>
          <w:rFonts w:ascii="Tahoma" w:cs="Tahoma" w:eastAsia="Tahoma" w:hAnsi="Tahoma"/>
          <w:sz w:val="20"/>
          <w:szCs w:val="20"/>
          <w:color w:val="auto"/>
        </w:rPr>
        <w:t>664 Cruiser Lane</w:t>
      </w:r>
    </w:p>
    <w:p>
      <w:pPr>
        <w:spacing w:after="0"/>
        <w:rPr>
          <w:sz w:val="20"/>
          <w:szCs w:val="20"/>
          <w:color w:val="auto"/>
        </w:rPr>
      </w:pPr>
      <w:r>
        <w:rPr>
          <w:rFonts w:ascii="Tahoma" w:cs="Tahoma" w:eastAsia="Tahoma" w:hAnsi="Tahoma"/>
          <w:sz w:val="20"/>
          <w:szCs w:val="20"/>
          <w:color w:val="auto"/>
        </w:rPr>
        <w:t>Belgrade, Montana 59714</w:t>
      </w:r>
    </w:p>
    <w:p>
      <w:pPr>
        <w:spacing w:after="0"/>
        <w:rPr>
          <w:sz w:val="20"/>
          <w:szCs w:val="20"/>
          <w:color w:val="auto"/>
        </w:rPr>
      </w:pPr>
      <w:r>
        <w:rPr>
          <w:rFonts w:ascii="Tahoma" w:cs="Tahoma" w:eastAsia="Tahoma" w:hAnsi="Tahoma"/>
          <w:sz w:val="20"/>
          <w:szCs w:val="20"/>
          <w:color w:val="auto"/>
        </w:rPr>
        <w:t>Telephone: (406) 388-0480</w:t>
      </w:r>
    </w:p>
    <w:p>
      <w:pPr>
        <w:spacing w:after="0" w:line="1" w:lineRule="exact"/>
        <w:rPr>
          <w:sz w:val="20"/>
          <w:szCs w:val="20"/>
          <w:color w:val="auto"/>
        </w:rPr>
      </w:pPr>
    </w:p>
    <w:p>
      <w:pPr>
        <w:spacing w:after="0"/>
        <w:rPr>
          <w:sz w:val="20"/>
          <w:szCs w:val="20"/>
          <w:color w:val="auto"/>
        </w:rPr>
      </w:pPr>
      <w:r>
        <w:rPr>
          <w:rFonts w:ascii="Tahoma" w:cs="Tahoma" w:eastAsia="Tahoma" w:hAnsi="Tahoma"/>
          <w:sz w:val="20"/>
          <w:szCs w:val="20"/>
          <w:color w:val="auto"/>
        </w:rPr>
        <w:t>Facsimile: (406) 220-0722</w:t>
      </w:r>
    </w:p>
    <w:p>
      <w:pPr>
        <w:spacing w:after="0"/>
        <w:rPr>
          <w:sz w:val="20"/>
          <w:szCs w:val="20"/>
          <w:color w:val="auto"/>
        </w:rPr>
      </w:pPr>
      <w:r>
        <w:rPr>
          <w:rFonts w:ascii="Tahoma" w:cs="Tahoma" w:eastAsia="Tahoma" w:hAnsi="Tahoma"/>
          <w:sz w:val="20"/>
          <w:szCs w:val="20"/>
          <w:color w:val="auto"/>
        </w:rPr>
        <w:t>Web Site: www.xtantmedical.com</w:t>
      </w:r>
    </w:p>
    <w:p>
      <w:pPr>
        <w:spacing w:after="0" w:line="229" w:lineRule="exact"/>
        <w:rPr>
          <w:sz w:val="20"/>
          <w:szCs w:val="20"/>
          <w:color w:val="auto"/>
        </w:rPr>
      </w:pPr>
    </w:p>
    <w:p>
      <w:pPr>
        <w:spacing w:after="0"/>
        <w:rPr>
          <w:sz w:val="20"/>
          <w:szCs w:val="20"/>
          <w:color w:val="auto"/>
        </w:rPr>
      </w:pPr>
      <w:r>
        <w:rPr>
          <w:rFonts w:ascii="Tahoma" w:cs="Tahoma" w:eastAsia="Tahoma" w:hAnsi="Tahoma"/>
          <w:sz w:val="20"/>
          <w:szCs w:val="20"/>
          <w:b w:val="1"/>
          <w:bCs w:val="1"/>
          <w:i w:val="1"/>
          <w:iCs w:val="1"/>
          <w:color w:val="auto"/>
        </w:rPr>
        <w:t>Transfer Agent and Registrar</w:t>
      </w:r>
    </w:p>
    <w:p>
      <w:pPr>
        <w:spacing w:after="0" w:line="12" w:lineRule="exact"/>
        <w:rPr>
          <w:sz w:val="20"/>
          <w:szCs w:val="20"/>
          <w:color w:val="auto"/>
        </w:rPr>
      </w:pPr>
    </w:p>
    <w:p>
      <w:pPr>
        <w:spacing w:after="0"/>
        <w:rPr>
          <w:sz w:val="20"/>
          <w:szCs w:val="20"/>
          <w:color w:val="auto"/>
        </w:rPr>
      </w:pPr>
      <w:r>
        <w:rPr>
          <w:rFonts w:ascii="Tahoma" w:cs="Tahoma" w:eastAsia="Tahoma" w:hAnsi="Tahoma"/>
          <w:sz w:val="20"/>
          <w:szCs w:val="20"/>
          <w:color w:val="auto"/>
        </w:rPr>
        <w:t>Broadridge Corporate Issuer Solutions, Inc.</w:t>
      </w:r>
    </w:p>
    <w:p>
      <w:pPr>
        <w:spacing w:after="0"/>
        <w:rPr>
          <w:sz w:val="20"/>
          <w:szCs w:val="20"/>
          <w:color w:val="auto"/>
        </w:rPr>
      </w:pPr>
      <w:r>
        <w:rPr>
          <w:rFonts w:ascii="Tahoma" w:cs="Tahoma" w:eastAsia="Tahoma" w:hAnsi="Tahoma"/>
          <w:sz w:val="20"/>
          <w:szCs w:val="20"/>
          <w:color w:val="auto"/>
        </w:rPr>
        <w:t>Attn: BCIS IWS</w:t>
      </w:r>
    </w:p>
    <w:p>
      <w:pPr>
        <w:spacing w:after="0" w:line="1" w:lineRule="exact"/>
        <w:rPr>
          <w:sz w:val="20"/>
          <w:szCs w:val="20"/>
          <w:color w:val="auto"/>
        </w:rPr>
      </w:pPr>
    </w:p>
    <w:p>
      <w:pPr>
        <w:spacing w:after="0"/>
        <w:rPr>
          <w:sz w:val="20"/>
          <w:szCs w:val="20"/>
          <w:color w:val="auto"/>
        </w:rPr>
      </w:pPr>
      <w:r>
        <w:rPr>
          <w:rFonts w:ascii="Tahoma" w:cs="Tahoma" w:eastAsia="Tahoma" w:hAnsi="Tahoma"/>
          <w:sz w:val="20"/>
          <w:szCs w:val="20"/>
          <w:color w:val="auto"/>
        </w:rPr>
        <w:t>51 Mercedes Way</w:t>
      </w:r>
    </w:p>
    <w:p>
      <w:pPr>
        <w:spacing w:after="0"/>
        <w:rPr>
          <w:sz w:val="20"/>
          <w:szCs w:val="20"/>
          <w:color w:val="auto"/>
        </w:rPr>
      </w:pPr>
      <w:r>
        <w:rPr>
          <w:rFonts w:ascii="Tahoma" w:cs="Tahoma" w:eastAsia="Tahoma" w:hAnsi="Tahoma"/>
          <w:sz w:val="20"/>
          <w:szCs w:val="20"/>
          <w:color w:val="auto"/>
        </w:rPr>
        <w:t>Edgewood, New York 11717</w:t>
      </w:r>
    </w:p>
    <w:p>
      <w:pPr>
        <w:spacing w:after="0"/>
        <w:rPr>
          <w:sz w:val="20"/>
          <w:szCs w:val="20"/>
          <w:color w:val="auto"/>
        </w:rPr>
      </w:pPr>
      <w:r>
        <w:rPr>
          <w:rFonts w:ascii="Tahoma" w:cs="Tahoma" w:eastAsia="Tahoma" w:hAnsi="Tahoma"/>
          <w:sz w:val="20"/>
          <w:szCs w:val="20"/>
          <w:color w:val="auto"/>
        </w:rPr>
        <w:t>Telephone: (877) 830-4936</w:t>
      </w:r>
    </w:p>
    <w:p>
      <w:pPr>
        <w:spacing w:after="0"/>
        <w:rPr>
          <w:sz w:val="20"/>
          <w:szCs w:val="20"/>
          <w:color w:val="auto"/>
        </w:rPr>
      </w:pPr>
      <w:r>
        <w:rPr>
          <w:rFonts w:ascii="Tahoma" w:cs="Tahoma" w:eastAsia="Tahoma" w:hAnsi="Tahoma"/>
          <w:sz w:val="20"/>
          <w:szCs w:val="20"/>
          <w:color w:val="auto"/>
        </w:rPr>
        <w:t>Email: shareholder@broadridge.com</w:t>
      </w:r>
    </w:p>
    <w:p>
      <w:pPr>
        <w:spacing w:after="0" w:line="229" w:lineRule="exact"/>
        <w:rPr>
          <w:sz w:val="20"/>
          <w:szCs w:val="20"/>
          <w:color w:val="auto"/>
        </w:rPr>
      </w:pPr>
    </w:p>
    <w:p>
      <w:pPr>
        <w:spacing w:after="0"/>
        <w:rPr>
          <w:sz w:val="20"/>
          <w:szCs w:val="20"/>
          <w:color w:val="auto"/>
        </w:rPr>
      </w:pPr>
      <w:r>
        <w:rPr>
          <w:rFonts w:ascii="Tahoma" w:cs="Tahoma" w:eastAsia="Tahoma" w:hAnsi="Tahoma"/>
          <w:sz w:val="20"/>
          <w:szCs w:val="20"/>
          <w:b w:val="1"/>
          <w:bCs w:val="1"/>
          <w:i w:val="1"/>
          <w:iCs w:val="1"/>
          <w:color w:val="auto"/>
        </w:rPr>
        <w:t>Legal Counsel</w:t>
      </w:r>
    </w:p>
    <w:p>
      <w:pPr>
        <w:spacing w:after="0" w:line="13" w:lineRule="exact"/>
        <w:rPr>
          <w:sz w:val="20"/>
          <w:szCs w:val="20"/>
          <w:color w:val="auto"/>
        </w:rPr>
      </w:pPr>
    </w:p>
    <w:p>
      <w:pPr>
        <w:spacing w:after="0"/>
        <w:rPr>
          <w:sz w:val="20"/>
          <w:szCs w:val="20"/>
          <w:color w:val="auto"/>
        </w:rPr>
      </w:pPr>
      <w:r>
        <w:rPr>
          <w:rFonts w:ascii="Tahoma" w:cs="Tahoma" w:eastAsia="Tahoma" w:hAnsi="Tahoma"/>
          <w:sz w:val="20"/>
          <w:szCs w:val="20"/>
          <w:color w:val="auto"/>
        </w:rPr>
        <w:t>Fox Rothschild LLP</w:t>
      </w:r>
    </w:p>
    <w:p>
      <w:pPr>
        <w:spacing w:after="0"/>
        <w:rPr>
          <w:sz w:val="20"/>
          <w:szCs w:val="20"/>
          <w:color w:val="auto"/>
        </w:rPr>
      </w:pPr>
      <w:r>
        <w:rPr>
          <w:rFonts w:ascii="Tahoma" w:cs="Tahoma" w:eastAsia="Tahoma" w:hAnsi="Tahoma"/>
          <w:sz w:val="20"/>
          <w:szCs w:val="20"/>
          <w:color w:val="auto"/>
        </w:rPr>
        <w:t>Minneapolis, Minnesota</w:t>
      </w:r>
    </w:p>
    <w:p>
      <w:pPr>
        <w:spacing w:after="0" w:line="229" w:lineRule="exact"/>
        <w:rPr>
          <w:sz w:val="20"/>
          <w:szCs w:val="20"/>
          <w:color w:val="auto"/>
        </w:rPr>
      </w:pPr>
    </w:p>
    <w:p>
      <w:pPr>
        <w:ind w:right="20"/>
        <w:spacing w:after="0" w:line="245" w:lineRule="auto"/>
        <w:rPr>
          <w:sz w:val="20"/>
          <w:szCs w:val="20"/>
          <w:color w:val="auto"/>
        </w:rPr>
      </w:pPr>
      <w:r>
        <w:rPr>
          <w:rFonts w:ascii="Tahoma" w:cs="Tahoma" w:eastAsia="Tahoma" w:hAnsi="Tahoma"/>
          <w:sz w:val="20"/>
          <w:szCs w:val="20"/>
          <w:b w:val="1"/>
          <w:bCs w:val="1"/>
          <w:i w:val="1"/>
          <w:iCs w:val="1"/>
          <w:color w:val="auto"/>
        </w:rPr>
        <w:t>Independent Registered Public Accounting Firm</w:t>
      </w:r>
    </w:p>
    <w:p>
      <w:pPr>
        <w:spacing w:after="0" w:line="2" w:lineRule="exact"/>
        <w:rPr>
          <w:sz w:val="20"/>
          <w:szCs w:val="20"/>
          <w:color w:val="auto"/>
        </w:rPr>
      </w:pPr>
    </w:p>
    <w:p>
      <w:pPr>
        <w:spacing w:after="0"/>
        <w:rPr>
          <w:sz w:val="20"/>
          <w:szCs w:val="20"/>
          <w:color w:val="auto"/>
        </w:rPr>
      </w:pPr>
      <w:r>
        <w:rPr>
          <w:rFonts w:ascii="Tahoma" w:cs="Tahoma" w:eastAsia="Tahoma" w:hAnsi="Tahoma"/>
          <w:sz w:val="20"/>
          <w:szCs w:val="20"/>
          <w:color w:val="auto"/>
        </w:rPr>
        <w:t>Grant Thornton LLP</w:t>
      </w:r>
    </w:p>
    <w:p>
      <w:pPr>
        <w:spacing w:after="0" w:line="1" w:lineRule="exact"/>
        <w:rPr>
          <w:sz w:val="20"/>
          <w:szCs w:val="20"/>
          <w:color w:val="auto"/>
        </w:rPr>
      </w:pPr>
    </w:p>
    <w:p>
      <w:pPr>
        <w:spacing w:after="0"/>
        <w:rPr>
          <w:sz w:val="20"/>
          <w:szCs w:val="20"/>
          <w:color w:val="auto"/>
        </w:rPr>
      </w:pPr>
      <w:r>
        <w:rPr>
          <w:rFonts w:ascii="Tahoma" w:cs="Tahoma" w:eastAsia="Tahoma" w:hAnsi="Tahoma"/>
          <w:sz w:val="20"/>
          <w:szCs w:val="20"/>
          <w:color w:val="auto"/>
        </w:rPr>
        <w:t>Minneapolis, Minnesota</w:t>
      </w:r>
    </w:p>
    <w:p>
      <w:pPr>
        <w:sectPr>
          <w:pgSz w:w="12240" w:h="15840" w:orient="portrait"/>
          <w:cols w:equalWidth="0" w:num="2">
            <w:col w:w="4320" w:space="720"/>
            <w:col w:w="4320"/>
          </w:cols>
          <w:pgMar w:left="1440" w:top="1428"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2835910</wp:posOffset>
            </wp:positionH>
            <wp:positionV relativeFrom="page">
              <wp:posOffset>6584315</wp:posOffset>
            </wp:positionV>
            <wp:extent cx="2100580" cy="2043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
                      <a:extLst>
                        <a:ext uri="{28A0092B-C50C-407E-A947-70E740481C1C}"/>
                      </a:extLst>
                    </a:blip>
                    <a:srcRect/>
                    <a:stretch>
                      <a:fillRect/>
                    </a:stretch>
                  </pic:blipFill>
                  <pic:spPr bwMode="auto">
                    <a:xfrm>
                      <a:off x="0" y="0"/>
                      <a:ext cx="2100580" cy="204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ahoma" w:cs="Tahoma" w:eastAsia="Tahoma" w:hAnsi="Tahoma"/>
          <w:sz w:val="20"/>
          <w:szCs w:val="20"/>
          <w:b w:val="1"/>
          <w:bCs w:val="1"/>
          <w:color w:val="auto"/>
        </w:rPr>
        <w:t>664 Cruiser Lane</w:t>
      </w:r>
    </w:p>
    <w:p>
      <w:pPr>
        <w:spacing w:after="0" w:line="12" w:lineRule="exact"/>
        <w:rPr>
          <w:sz w:val="20"/>
          <w:szCs w:val="20"/>
          <w:color w:val="auto"/>
        </w:rPr>
      </w:pPr>
    </w:p>
    <w:p>
      <w:pPr>
        <w:jc w:val="center"/>
        <w:spacing w:after="0"/>
        <w:rPr>
          <w:sz w:val="20"/>
          <w:szCs w:val="20"/>
          <w:color w:val="auto"/>
        </w:rPr>
      </w:pPr>
      <w:r>
        <w:rPr>
          <w:rFonts w:ascii="Tahoma" w:cs="Tahoma" w:eastAsia="Tahoma" w:hAnsi="Tahoma"/>
          <w:sz w:val="20"/>
          <w:szCs w:val="20"/>
          <w:b w:val="1"/>
          <w:bCs w:val="1"/>
          <w:color w:val="auto"/>
        </w:rPr>
        <w:t>Belgrade, Montana 59714</w:t>
      </w:r>
    </w:p>
    <w:p>
      <w:pPr>
        <w:jc w:val="center"/>
        <w:spacing w:after="0"/>
        <w:rPr>
          <w:sz w:val="20"/>
          <w:szCs w:val="20"/>
          <w:color w:val="auto"/>
        </w:rPr>
      </w:pPr>
      <w:r>
        <w:rPr>
          <w:rFonts w:ascii="Tahoma" w:cs="Tahoma" w:eastAsia="Tahoma" w:hAnsi="Tahoma"/>
          <w:sz w:val="20"/>
          <w:szCs w:val="20"/>
          <w:b w:val="1"/>
          <w:bCs w:val="1"/>
          <w:i w:val="1"/>
          <w:iCs w:val="1"/>
          <w:color w:val="auto"/>
        </w:rPr>
        <w:t>www.xtantmedical.com</w:t>
      </w:r>
    </w:p>
    <w:sectPr>
      <w:pgSz w:w="12240" w:h="15840" w:orient="portrait"/>
      <w:cols w:equalWidth="0" w:num="1">
        <w:col w:w="9360"/>
      </w:cols>
      <w:pgMar w:left="1440" w:top="1440" w:right="1440" w:bottom="7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200101FF" w:csb1="2028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 w:name="Courier New">
    <w:panose1 w:val="02070309020205020404"/>
    <w:charset w:val="00"/>
    <w:family w:val="auto"/>
    <w:pitch w:val="fixed"/>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x"/>
      <w:numFmt w:val="bullet"/>
      <w:start w:val="1"/>
    </w:lvl>
  </w:abstractNum>
  <w:abstractNum w:abstractNumId="2">
    <w:nsid w:val="5E884ADC"/>
    <w:multiLevelType w:val="hybridMultilevel"/>
    <w:lvl w:ilvl="0">
      <w:lvlJc w:val="left"/>
      <w:lvlText w:val="x"/>
      <w:numFmt w:val="bullet"/>
      <w:start w:val="1"/>
    </w:lvl>
  </w:abstractNum>
  <w:abstractNum w:abstractNumId="3">
    <w:nsid w:val="51EAD36B"/>
    <w:multiLevelType w:val="hybridMultilevel"/>
    <w:lvl w:ilvl="0">
      <w:lvlJc w:val="left"/>
      <w:lvlText w:val="x"/>
      <w:numFmt w:val="bullet"/>
      <w:start w:val="1"/>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x"/>
      <w:numFmt w:val="bullet"/>
      <w:start w:val="1"/>
    </w:lvl>
  </w:abstractNum>
  <w:abstractNum w:abstractNumId="6">
    <w:nsid w:val="153EA438"/>
    <w:multiLevelType w:val="hybridMultilevel"/>
    <w:lvl w:ilvl="0">
      <w:lvlJc w:val="left"/>
      <w:lvlText w:val="x"/>
      <w:numFmt w:val="bullet"/>
      <w:start w:val="1"/>
    </w:lvl>
  </w:abstractNum>
  <w:abstractNum w:abstractNumId="7">
    <w:nsid w:val="3855585C"/>
    <w:multiLevelType w:val="hybridMultilevel"/>
    <w:lvl w:ilvl="0">
      <w:lvlJc w:val="left"/>
      <w:lvlText w:val="6"/>
      <w:numFmt w:val="bullet"/>
      <w:start w:val="1"/>
    </w:lvl>
  </w:abstractNum>
  <w:abstractNum w:abstractNumId="8">
    <w:nsid w:val="70A64E2A"/>
    <w:multiLevelType w:val="hybridMultilevel"/>
    <w:lvl w:ilvl="0">
      <w:lvlJc w:val="left"/>
      <w:lvlText w:val=""/>
      <w:numFmt w:val="bullet"/>
      <w:start w:val="1"/>
    </w:lvl>
  </w:abstractNum>
  <w:abstractNum w:abstractNumId="9">
    <w:nsid w:val="6A2342EC"/>
    <w:multiLevelType w:val="hybridMultilevel"/>
    <w:lvl w:ilvl="0">
      <w:lvlJc w:val="left"/>
      <w:lvlText w:val="x"/>
      <w:numFmt w:val="bullet"/>
      <w:start w:val="1"/>
    </w:lvl>
  </w:abstractNum>
  <w:abstractNum w:abstractNumId="10">
    <w:nsid w:val="2A487CB0"/>
    <w:multiLevelType w:val="hybridMultilevel"/>
    <w:lvl w:ilvl="0">
      <w:lvlJc w:val="left"/>
      <w:lvlText w:val="x"/>
      <w:numFmt w:val="bullet"/>
      <w:start w:val="1"/>
    </w:lvl>
  </w:abstractNum>
  <w:abstractNum w:abstractNumId="11">
    <w:nsid w:val="1D4ED43B"/>
    <w:multiLevelType w:val="hybridMultilevel"/>
    <w:lvl w:ilvl="0">
      <w:lvlJc w:val="left"/>
      <w:lvlText w:val="x"/>
      <w:numFmt w:val="bullet"/>
      <w:start w:val="1"/>
    </w:lvl>
  </w:abstractNum>
  <w:abstractNum w:abstractNumId="12">
    <w:nsid w:val="725A06FB"/>
    <w:multiLevelType w:val="hybridMultilevel"/>
    <w:lvl w:ilvl="0">
      <w:lvlJc w:val="left"/>
      <w:lvlText w:val="x"/>
      <w:numFmt w:val="bullet"/>
      <w:start w:val="1"/>
    </w:lvl>
  </w:abstractNum>
  <w:abstractNum w:abstractNumId="13">
    <w:nsid w:val="2CD89A32"/>
    <w:multiLevelType w:val="hybridMultilevel"/>
    <w:lvl w:ilvl="0">
      <w:lvlJc w:val="left"/>
      <w:lvlText w:val="x"/>
      <w:numFmt w:val="bullet"/>
      <w:start w:val="1"/>
    </w:lvl>
  </w:abstractNum>
  <w:abstractNum w:abstractNumId="14">
    <w:nsid w:val="57E4CCAF"/>
    <w:multiLevelType w:val="hybridMultilevel"/>
    <w:lvl w:ilvl="0">
      <w:lvlJc w:val="left"/>
      <w:lvlText w:val="x"/>
      <w:numFmt w:val="bullet"/>
      <w:start w:val="1"/>
    </w:lvl>
  </w:abstractNum>
  <w:abstractNum w:abstractNumId="15">
    <w:nsid w:val="7A6D8D3C"/>
    <w:multiLevelType w:val="hybridMultilevel"/>
    <w:lvl w:ilvl="0">
      <w:lvlJc w:val="left"/>
      <w:lvlText w:val="x"/>
      <w:numFmt w:val="bullet"/>
      <w:start w:val="1"/>
    </w:lvl>
  </w:abstractNum>
  <w:abstractNum w:abstractNumId="16">
    <w:nsid w:val="4B588F54"/>
    <w:multiLevelType w:val="hybridMultilevel"/>
    <w:lvl w:ilvl="0">
      <w:lvlJc w:val="left"/>
      <w:lvlText w:val="x"/>
      <w:numFmt w:val="bullet"/>
      <w:start w:val="1"/>
    </w:lvl>
  </w:abstractNum>
  <w:abstractNum w:abstractNumId="17">
    <w:nsid w:val="542289EC"/>
    <w:multiLevelType w:val="hybridMultilevel"/>
    <w:lvl w:ilvl="0">
      <w:lvlJc w:val="left"/>
      <w:lvlText w:val="%1)"/>
      <w:numFmt w:val="decimal"/>
      <w:start w:val="1"/>
    </w:lvl>
    <w:lvl w:ilvl="1">
      <w:lvlJc w:val="left"/>
      <w:lvlText w:val="%2)"/>
      <w:numFmt w:val="lowerRoman"/>
      <w:start w:val="1"/>
    </w:lvl>
  </w:abstractNum>
  <w:abstractNum w:abstractNumId="18">
    <w:nsid w:val="6DE91B18"/>
    <w:multiLevelType w:val="hybridMultilevel"/>
    <w:lvl w:ilvl="0">
      <w:lvlJc w:val="left"/>
      <w:lvlText w:val="x"/>
      <w:numFmt w:val="bullet"/>
      <w:start w:val="1"/>
    </w:lvl>
  </w:abstractNum>
  <w:abstractNum w:abstractNumId="19">
    <w:nsid w:val="38437FDB"/>
    <w:multiLevelType w:val="hybridMultilevel"/>
    <w:lvl w:ilvl="0">
      <w:lvlJc w:val="left"/>
      <w:lvlText w:val="&amp;"/>
      <w:numFmt w:val="bullet"/>
      <w:start w:val="1"/>
    </w:lvl>
  </w:abstractNum>
  <w:abstractNum w:abstractNumId="20">
    <w:nsid w:val="7644A45C"/>
    <w:multiLevelType w:val="hybridMultilevel"/>
    <w:lvl w:ilvl="0">
      <w:lvlJc w:val="left"/>
      <w:lvlText w:val="x"/>
      <w:numFmt w:val="bullet"/>
      <w:start w:val="1"/>
    </w:lvl>
  </w:abstractNum>
  <w:abstractNum w:abstractNumId="21">
    <w:nsid w:val="32FFF902"/>
    <w:multiLevelType w:val="hybridMultilevel"/>
    <w:lvl w:ilvl="0">
      <w:lvlJc w:val="left"/>
      <w:lvlText w:val="x"/>
      <w:numFmt w:val="bullet"/>
      <w:start w:val="1"/>
    </w:lvl>
  </w:abstractNum>
  <w:abstractNum w:abstractNumId="22">
    <w:nsid w:val="684A481A"/>
    <w:multiLevelType w:val="hybridMultilevel"/>
    <w:lvl w:ilvl="0">
      <w:lvlJc w:val="left"/>
      <w:lvlText w:val="x"/>
      <w:numFmt w:val="bullet"/>
      <w:start w:val="1"/>
    </w:lvl>
  </w:abstractNum>
  <w:abstractNum w:abstractNumId="23">
    <w:nsid w:val="579478FE"/>
    <w:multiLevelType w:val="hybridMultilevel"/>
    <w:lvl w:ilvl="0">
      <w:lvlJc w:val="left"/>
      <w:lvlText w:val="x"/>
      <w:numFmt w:val="bullet"/>
      <w:start w:val="1"/>
    </w:lvl>
  </w:abstractNum>
  <w:abstractNum w:abstractNumId="24">
    <w:nsid w:val="749ABB43"/>
    <w:multiLevelType w:val="hybridMultilevel"/>
    <w:lvl w:ilvl="0">
      <w:lvlJc w:val="left"/>
      <w:lvlText w:val="x"/>
      <w:numFmt w:val="bullet"/>
      <w:start w:val="1"/>
    </w:lvl>
  </w:abstractNum>
  <w:abstractNum w:abstractNumId="25">
    <w:nsid w:val="3DC240FB"/>
    <w:multiLevelType w:val="hybridMultilevel"/>
    <w:lvl w:ilvl="0">
      <w:lvlJc w:val="left"/>
      <w:lvlText w:val="x"/>
      <w:numFmt w:val="bullet"/>
      <w:start w:val="1"/>
    </w:lvl>
  </w:abstractNum>
  <w:abstractNum w:abstractNumId="26">
    <w:nsid w:val="1BA026FA"/>
    <w:multiLevelType w:val="hybridMultilevel"/>
    <w:lvl w:ilvl="0">
      <w:lvlJc w:val="left"/>
      <w:lvlText w:val="x"/>
      <w:numFmt w:val="bullet"/>
      <w:start w:val="1"/>
    </w:lvl>
  </w:abstractNum>
  <w:abstractNum w:abstractNumId="27">
    <w:nsid w:val="79A1DEAA"/>
    <w:multiLevelType w:val="hybridMultilevel"/>
    <w:lvl w:ilvl="0">
      <w:lvlJc w:val="left"/>
      <w:lvlText w:val="x"/>
      <w:numFmt w:val="bullet"/>
      <w:start w:val="1"/>
    </w:lvl>
  </w:abstractNum>
  <w:abstractNum w:abstractNumId="28">
    <w:nsid w:val="75C6C33A"/>
    <w:multiLevelType w:val="hybridMultilevel"/>
    <w:lvl w:ilvl="0">
      <w:lvlJc w:val="left"/>
      <w:lvlText w:val="x"/>
      <w:numFmt w:val="bullet"/>
      <w:start w:val="1"/>
    </w:lvl>
  </w:abstractNum>
  <w:abstractNum w:abstractNumId="29">
    <w:nsid w:val="12E685FB"/>
    <w:multiLevelType w:val="hybridMultilevel"/>
    <w:lvl w:ilvl="0">
      <w:lvlJc w:val="left"/>
      <w:lvlText w:val="x"/>
      <w:numFmt w:val="bullet"/>
      <w:start w:val="1"/>
    </w:lvl>
  </w:abstractNum>
  <w:abstractNum w:abstractNumId="30">
    <w:nsid w:val="70C6A529"/>
    <w:multiLevelType w:val="hybridMultilevel"/>
    <w:lvl w:ilvl="0">
      <w:lvlJc w:val="left"/>
      <w:lvlText w:val="x"/>
      <w:numFmt w:val="bullet"/>
      <w:start w:val="1"/>
    </w:lvl>
  </w:abstractNum>
  <w:abstractNum w:abstractNumId="31">
    <w:nsid w:val="520EEDD1"/>
    <w:multiLevelType w:val="hybridMultilevel"/>
    <w:lvl w:ilvl="0">
      <w:lvlJc w:val="left"/>
      <w:lvlText w:val="x"/>
      <w:numFmt w:val="bullet"/>
      <w:start w:val="1"/>
    </w:lvl>
  </w:abstractNum>
  <w:abstractNum w:abstractNumId="32">
    <w:nsid w:val="374A3FE6"/>
    <w:multiLevelType w:val="hybridMultilevel"/>
    <w:lvl w:ilvl="0">
      <w:lvlJc w:val="left"/>
      <w:lvlText w:val="x"/>
      <w:numFmt w:val="bullet"/>
      <w:start w:val="1"/>
    </w:lvl>
  </w:abstractNum>
  <w:abstractNum w:abstractNumId="33">
    <w:nsid w:val="4F4EF005"/>
    <w:multiLevelType w:val="hybridMultilevel"/>
    <w:lvl w:ilvl="0">
      <w:lvlJc w:val="left"/>
      <w:lvlText w:val="(%1)"/>
      <w:numFmt w:val="lowerRoman"/>
      <w:start w:val="1"/>
    </w:lvl>
  </w:abstractNum>
  <w:abstractNum w:abstractNumId="34">
    <w:nsid w:val="23F9C13C"/>
    <w:multiLevelType w:val="hybridMultilevel"/>
    <w:lvl w:ilvl="0">
      <w:lvlJc w:val="left"/>
      <w:lvlText w:val="(%1)"/>
      <w:numFmt w:val="lowerRoman"/>
      <w:start w:val="3"/>
    </w:lvl>
  </w:abstractNum>
  <w:abstractNum w:abstractNumId="35">
    <w:nsid w:val="649BB77C"/>
    <w:multiLevelType w:val="hybridMultilevel"/>
    <w:lvl w:ilvl="0">
      <w:lvlJc w:val="left"/>
      <w:lvlText w:val="x"/>
      <w:numFmt w:val="bullet"/>
      <w:start w:val="1"/>
    </w:lvl>
  </w:abstractNum>
  <w:abstractNum w:abstractNumId="36">
    <w:nsid w:val="275AC794"/>
    <w:multiLevelType w:val="hybridMultilevel"/>
    <w:lvl w:ilvl="0">
      <w:lvlJc w:val="left"/>
      <w:lvlText w:val="x"/>
      <w:numFmt w:val="bullet"/>
      <w:start w:val="1"/>
    </w:lvl>
  </w:abstractNum>
  <w:abstractNum w:abstractNumId="37">
    <w:nsid w:val="39386575"/>
    <w:multiLevelType w:val="hybridMultilevel"/>
    <w:lvl w:ilvl="0">
      <w:lvlJc w:val="left"/>
      <w:lvlText w:val="x"/>
      <w:numFmt w:val="bullet"/>
      <w:start w:val="1"/>
    </w:lvl>
  </w:abstractNum>
  <w:abstractNum w:abstractNumId="38">
    <w:nsid w:val="1CF10FD8"/>
    <w:multiLevelType w:val="hybridMultilevel"/>
    <w:lvl w:ilvl="0">
      <w:lvlJc w:val="left"/>
      <w:lvlText w:val="x"/>
      <w:numFmt w:val="bullet"/>
      <w:start w:val="1"/>
    </w:lvl>
  </w:abstractNum>
  <w:abstractNum w:abstractNumId="39">
    <w:nsid w:val="180115BE"/>
    <w:multiLevelType w:val="hybridMultilevel"/>
    <w:lvl w:ilvl="0">
      <w:lvlJc w:val="left"/>
      <w:lvlText w:val="x"/>
      <w:numFmt w:val="bullet"/>
      <w:start w:val="1"/>
    </w:lvl>
  </w:abstractNum>
  <w:abstractNum w:abstractNumId="40">
    <w:nsid w:val="235BA861"/>
    <w:multiLevelType w:val="hybridMultilevel"/>
    <w:lvl w:ilvl="0">
      <w:lvlJc w:val="left"/>
      <w:lvlText w:val="x"/>
      <w:numFmt w:val="bullet"/>
      <w:start w:val="1"/>
    </w:lvl>
  </w:abstractNum>
  <w:abstractNum w:abstractNumId="41">
    <w:nsid w:val="47398C89"/>
    <w:multiLevelType w:val="hybridMultilevel"/>
    <w:lvl w:ilvl="0">
      <w:lvlJc w:val="left"/>
      <w:lvlText w:val="x"/>
      <w:numFmt w:val="bullet"/>
      <w:start w:val="1"/>
    </w:lvl>
  </w:abstractNum>
  <w:abstractNum w:abstractNumId="42">
    <w:nsid w:val="354FE9F9"/>
    <w:multiLevelType w:val="hybridMultilevel"/>
    <w:lvl w:ilvl="0">
      <w:lvlJc w:val="left"/>
      <w:lvlText w:val="x"/>
      <w:numFmt w:val="bullet"/>
      <w:start w:val="1"/>
    </w:lvl>
  </w:abstractNum>
  <w:abstractNum w:abstractNumId="43">
    <w:nsid w:val="15B5AF5C"/>
    <w:multiLevelType w:val="hybridMultilevel"/>
    <w:lvl w:ilvl="0">
      <w:lvlJc w:val="left"/>
      <w:lvlText w:val="x"/>
      <w:numFmt w:val="bullet"/>
      <w:start w:val="1"/>
    </w:lvl>
  </w:abstractNum>
  <w:abstractNum w:abstractNumId="44">
    <w:nsid w:val="741226BB"/>
    <w:multiLevelType w:val="hybridMultilevel"/>
    <w:lvl w:ilvl="0">
      <w:lvlJc w:val="left"/>
      <w:lvlText w:val="x"/>
      <w:numFmt w:val="bullet"/>
      <w:start w:val="1"/>
    </w:lvl>
  </w:abstractNum>
  <w:abstractNum w:abstractNumId="45">
    <w:nsid w:val="D34B6A8"/>
    <w:multiLevelType w:val="hybridMultilevel"/>
    <w:lvl w:ilvl="0">
      <w:lvlJc w:val="left"/>
      <w:lvlText w:val="x"/>
      <w:numFmt w:val="bullet"/>
      <w:start w:val="1"/>
    </w:lvl>
  </w:abstractNum>
  <w:abstractNum w:abstractNumId="46">
    <w:nsid w:val="10233C99"/>
    <w:multiLevelType w:val="hybridMultilevel"/>
    <w:lvl w:ilvl="0">
      <w:lvlJc w:val="left"/>
      <w:lvlText w:val="x"/>
      <w:numFmt w:val="bullet"/>
      <w:start w:val="1"/>
    </w:lvl>
  </w:abstractNum>
  <w:abstractNum w:abstractNumId="47">
    <w:nsid w:val="3F6AB60F"/>
    <w:multiLevelType w:val="hybridMultilevel"/>
    <w:lvl w:ilvl="0">
      <w:lvlJc w:val="left"/>
      <w:lvlText w:val="x"/>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9"/>
    </w:lvl>
  </w:abstractNum>
  <w:abstractNum w:abstractNumId="50">
    <w:nsid w:val="77AE35EB"/>
    <w:multiLevelType w:val="hybridMultilevel"/>
    <w:lvl w:ilvl="0">
      <w:lvlJc w:val="left"/>
      <w:lvlText w:val="(%1)"/>
      <w:numFmt w:val="lowerRoman"/>
      <w:start w:val="3"/>
    </w:lvl>
  </w:abstractNum>
  <w:abstractNum w:abstractNumId="51">
    <w:nsid w:val="579BE4F1"/>
    <w:multiLevelType w:val="hybridMultilevel"/>
    <w:lvl w:ilvl="0">
      <w:lvlJc w:val="left"/>
      <w:lvlText w:val="(%1)"/>
      <w:numFmt w:val="decimal"/>
      <w:start w:val="12"/>
    </w:lvl>
  </w:abstractNum>
  <w:abstractNum w:abstractNumId="52">
    <w:nsid w:val="310C50B3"/>
    <w:multiLevelType w:val="hybridMultilevel"/>
    <w:lvl w:ilvl="0">
      <w:lvlJc w:val="left"/>
      <w:lvlText w:val="(%1)"/>
      <w:numFmt w:val="lowerRoman"/>
      <w:start w:val="2"/>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amp;"/>
      <w:numFmt w:val="bullet"/>
      <w:start w:val="1"/>
    </w:lvl>
  </w:abstractNum>
  <w:abstractNum w:abstractNumId="55">
    <w:nsid w:val="25A70BF7"/>
    <w:multiLevelType w:val="hybridMultilevel"/>
    <w:lvl w:ilvl="0">
      <w:lvlJc w:val="left"/>
      <w:lvlText w:val="x"/>
      <w:numFmt w:val="bullet"/>
      <w:start w:val="1"/>
    </w:lvl>
  </w:abstractNum>
  <w:abstractNum w:abstractNumId="56">
    <w:nsid w:val="1DBABF00"/>
    <w:multiLevelType w:val="hybridMultilevel"/>
    <w:lvl w:ilvl="0">
      <w:lvlJc w:val="left"/>
      <w:lvlText w:val="x"/>
      <w:numFmt w:val="bullet"/>
      <w:start w:val="1"/>
    </w:lvl>
  </w:abstractNum>
  <w:abstractNum w:abstractNumId="57">
    <w:nsid w:val="4AD084E9"/>
    <w:multiLevelType w:val="hybridMultilevel"/>
    <w:lvl w:ilvl="0">
      <w:lvlJc w:val="left"/>
      <w:lvlText w:val="x"/>
      <w:numFmt w:val="bullet"/>
      <w:start w:val="1"/>
    </w:lvl>
  </w:abstractNum>
  <w:abstractNum w:abstractNumId="58">
    <w:nsid w:val="1F48EAA1"/>
    <w:multiLevelType w:val="hybridMultilevel"/>
    <w:lvl w:ilvl="0">
      <w:lvlJc w:val="left"/>
      <w:lvlText w:val="x"/>
      <w:numFmt w:val="bullet"/>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2"/>
    </w:lvl>
  </w:abstractNum>
  <w:abstractNum w:abstractNumId="62">
    <w:nsid w:val="6590700B"/>
    <w:multiLevelType w:val="hybridMultilevel"/>
    <w:lvl w:ilvl="0">
      <w:lvlJc w:val="left"/>
      <w:lvlText w:val="x"/>
      <w:numFmt w:val="bullet"/>
      <w:start w:val="1"/>
    </w:lvl>
  </w:abstractNum>
  <w:abstractNum w:abstractNumId="63">
    <w:nsid w:val="15014ACB"/>
    <w:multiLevelType w:val="hybridMultilevel"/>
    <w:lvl w:ilvl="0">
      <w:lvlJc w:val="left"/>
      <w:lvlText w:val="x"/>
      <w:numFmt w:val="bullet"/>
      <w:start w:val="1"/>
    </w:lvl>
  </w:abstractNum>
  <w:abstractNum w:abstractNumId="64">
    <w:nsid w:val="5F5E7FD0"/>
    <w:multiLevelType w:val="hybridMultilevel"/>
    <w:lvl w:ilvl="0">
      <w:lvlJc w:val="left"/>
      <w:lvlText w:val="x"/>
      <w:numFmt w:val="bullet"/>
      <w:start w:val="1"/>
    </w:lvl>
  </w:abstractNum>
  <w:abstractNum w:abstractNumId="65">
    <w:nsid w:val="98A3148"/>
    <w:multiLevelType w:val="hybridMultilevel"/>
    <w:lvl w:ilvl="0">
      <w:lvlJc w:val="left"/>
      <w:lvlText w:val="x"/>
      <w:numFmt w:val="bullet"/>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x"/>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2"/>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x"/>
      <w:numFmt w:val="bullet"/>
      <w:start w:val="1"/>
    </w:lvl>
  </w:abstractNum>
  <w:abstractNum w:abstractNumId="74">
    <w:nsid w:val="7BD3EE7B"/>
    <w:multiLevelType w:val="hybridMultilevel"/>
    <w:lvl w:ilvl="0">
      <w:lvlJc w:val="left"/>
      <w:lvlText w:val="Ɣ"/>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2026-06-23T06:08:44Z</dcterms:created>
  <dcterms:modified xsi:type="dcterms:W3CDTF">2026-06-23T06:08:44Z</dcterms:modified>
</cp:coreProperties>
</file>