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UNITED STATES</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4"/>
        </w:rPr>
      </w:pPr>
      <w:r>
        <w:rPr>
          <w:rFonts w:ascii="Times New Roman;Times;Serif" w:hAnsi="Times New Roman;Times;Serif"/>
          <w:b/>
          <w:i w:val="false"/>
          <w:caps/>
          <w:sz w:val="24"/>
        </w:rPr>
        <w:t>Washington, D.C. 20549</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 xml:space="preserve">FORM </w:t>
      </w:r>
      <w:bookmarkStart w:id="2" w:name="xdx_904_edei--DocumentType_c20260811__20"/>
      <w:bookmarkEnd w:id="2"/>
      <w:r>
        <w:rPr>
          <w:rFonts w:ascii="Times New Roman;Times;Serif" w:hAnsi="Times New Roman;Times;Serif"/>
          <w:b/>
          <w:i w:val="false"/>
          <w:caps/>
          <w:sz w:val="36"/>
        </w:rPr>
        <w:t>8-K</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drawing>
          <wp:inline distT="0" distB="0" distL="0" distR="0">
            <wp:extent cx="18288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23875"/>
                    </a:xfrm>
                    <a:prstGeom prst="rect">
                      <a:avLst/>
                    </a:prstGeom>
                  </pic:spPr>
                </pic:pic>
              </a:graphicData>
            </a:graphic>
          </wp:inline>
        </w:drawing>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36"/>
        </w:rPr>
      </w:pPr>
      <w:bookmarkStart w:id="4" w:name="xdx_906_edei--EntityRegistrantName_c2026"/>
      <w:bookmarkEnd w:id="4"/>
      <w:r>
        <w:rPr>
          <w:rFonts w:ascii="Times New Roman;Times;Serif" w:hAnsi="Times New Roman;Times;Serif"/>
          <w:b/>
          <w:i w:val="false"/>
          <w:caps/>
          <w:sz w:val="36"/>
        </w:rPr>
        <w:t>XTANT MEDICAL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811"/>
            <w:bookmarkEnd w:id="6"/>
            <w:r>
              <w:rPr>
                <w:rFonts w:ascii="Times New Roman;Times;Serif" w:hAnsi="Times New Roman;Times;Serif"/>
                <w:b/>
                <w:i w:val="false"/>
                <w:caps w:val="false"/>
                <w:smallCaps w:val="false"/>
                <w:sz w:val="20"/>
              </w:rPr>
              <w:t>001-34951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20-5313323</w:t>
            </w:r>
          </w:p>
        </w:tc>
      </w:tr>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664 Cruiser Lane</w:t>
            </w:r>
          </w:p>
          <w:p>
            <w:pPr>
              <w:pStyle w:val="TableContents"/>
              <w:bidi w:val="0"/>
              <w:spacing w:before="0" w:after="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Belgrade, </w:t>
            </w:r>
            <w:bookmarkStart w:id="10" w:name="xdx_901_edei--EntityAddressStateOrProvin"/>
            <w:bookmarkEnd w:id="10"/>
            <w:r>
              <w:rPr>
                <w:rFonts w:ascii="Times New Roman;Times;Serif" w:hAnsi="Times New Roman;Times;Serif"/>
                <w:b/>
                <w:i w:val="false"/>
                <w:caps w:val="false"/>
                <w:smallCaps w:val="false"/>
                <w:sz w:val="20"/>
              </w:rPr>
              <w:t>Montana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bookmarkStart w:id="11" w:name="xdx_90A_edei--EntityAddressPostalZipCode"/>
            <w:bookmarkEnd w:id="11"/>
            <w:r>
              <w:rPr>
                <w:rFonts w:ascii="Times New Roman;Times;Serif" w:hAnsi="Times New Roman;Times;Serif"/>
                <w:b/>
                <w:i w:val="false"/>
                <w:caps w:val="false"/>
                <w:smallCaps w:val="false"/>
                <w:sz w:val="20"/>
              </w:rPr>
              <w:t>59714</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xdx_90C_edei--CityAreaCode_c20260811__20"/>
      <w:bookmarkEnd w:id="12"/>
      <w:r>
        <w:rPr>
          <w:rFonts w:ascii="Times New Roman;Times;Serif" w:hAnsi="Times New Roman;Times;Serif"/>
          <w:b/>
          <w:i w:val="false"/>
          <w:caps/>
          <w:sz w:val="20"/>
        </w:rPr>
        <w:t xml:space="preserve">(406) </w:t>
      </w:r>
      <w:bookmarkStart w:id="13" w:name="xdx_904_edei--LocalPhoneNumber_c20260811"/>
      <w:bookmarkEnd w:id="13"/>
      <w:r>
        <w:rPr>
          <w:rFonts w:ascii="Times New Roman;Times;Serif" w:hAnsi="Times New Roman;Times;Serif"/>
          <w:b/>
          <w:i w:val="false"/>
          <w:caps/>
          <w:sz w:val="20"/>
        </w:rPr>
        <w:t>388-0480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9065"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B_edei--SolicitingMaterial_c202608"/>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A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045" w:type="dxa"/>
        <w:jc w:val="left"/>
        <w:tblInd w:w="0" w:type="dxa"/>
        <w:tblLayout w:type="fixed"/>
        <w:tblCellMar>
          <w:top w:w="0" w:type="dxa"/>
          <w:left w:w="0" w:type="dxa"/>
          <w:bottom w:w="28" w:type="dxa"/>
          <w:right w:w="0" w:type="dxa"/>
        </w:tblCellMar>
      </w:tblPr>
      <w:tblGrid>
        <w:gridCol w:w="3800"/>
        <w:gridCol w:w="60"/>
        <w:gridCol w:w="1535"/>
        <w:gridCol w:w="60"/>
        <w:gridCol w:w="3590"/>
      </w:tblGrid>
      <w:tr>
        <w:trPr/>
        <w:tc>
          <w:tcPr>
            <w:tcW w:w="38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1_edei--Security12bTitle_c20260811"/>
            <w:bookmarkEnd w:id="18"/>
            <w:r>
              <w:rPr>
                <w:rFonts w:ascii="Times New Roman;Times;Serif" w:hAnsi="Times New Roman;Times;Serif"/>
                <w:b w:val="false"/>
                <w:i w:val="false"/>
                <w:caps w:val="false"/>
                <w:smallCaps w:val="false"/>
                <w:sz w:val="20"/>
              </w:rPr>
              <w:t>Common stock, par value $0.000001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811__2"/>
            <w:bookmarkEnd w:id="19"/>
            <w:r>
              <w:rPr>
                <w:rFonts w:ascii="Times New Roman;Times;Serif" w:hAnsi="Times New Roman;Times;Serif"/>
                <w:b w:val="false"/>
                <w:i w:val="false"/>
                <w:caps w:val="false"/>
                <w:smallCaps w:val="false"/>
                <w:sz w:val="20"/>
              </w:rPr>
              <w:t>XTNT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ExchangeName_c2026"/>
            <w:bookmarkEnd w:id="20"/>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815"/>
        <w:gridCol w:w="3965"/>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2.02</w:t>
            </w:r>
          </w:p>
        </w:tc>
        <w:tc>
          <w:tcPr>
            <w:tcW w:w="39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Xtant Medical Holdings, Inc. (the “Company”) announced its financial results for the second quarter of 2026. The full text of the press release issued in connection with the announcement is furnished as Exhibit 99.1 to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2.02 of this report (including Exhibit 99.1) shall not be deemed “filed” for purposes of Section 18 of the Securities Exchange Act of 1934, as amended (the “Exchange Act”), or otherwise subject to the liabilities of that section, nor shall it be deemed incorporated by reference in any registration statement or other document filed by the Company under the Securities Act of 1933, as amended, or the Exchange Act, except as expressly provided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its consolidated financial statements prepared in accordance with United States generally accepted accounting principles (“GAAP”), the Company uses certain non-GAAP financial measures, such as non-GAAP adjusted EBITDA, which are included in the press release furnished as Exhibit 99.1 to this report. The Company defines non-GAAP adjusted EBITDA as net income (loss) from operations before depreciation and amortization expense; interest expense, net; and tax benefit (expense), and as further adjusted to add back in or exclude, non-cash compensation and unrealized foreign currency translation losses or gains and other special items, including write-off of distribution agreement deposit, divestiture/acquisition-related income and expenses and income related to transition services agreements, acquisition-related fair value adjustments, and separation-related expenses, in each case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non-GAAP adjusted EBITDA in making operating decisions because it believes this measure provides meaningful supplemental information regarding its core operational performance. Additionally, this measure gives the Company a better understanding of how it should invest in sales and marketing and research and development activities and how it should allocate resources to both ongoing and prospective business initiatives. The Company also uses non-GAAP adjusted EBITDA to help make budgeting and spending decisions, for example, among sales and marketing expenses, general and administrative expenses, and research and development expenses. Additionally, the Company believes its use of non-GAAP adjusted EBITDA facilitates management’s internal comparisons to historical operating results by factoring out potential differences caused by charges not related to its regular, ongoing business, including, without limitation, non-cash charges and certain large and unpredictable charges or gains.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the Company excludes the effect of the following items from its non-GAAP adjusted EBITDA for the following reasons: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Non-cash compensation</w:t>
      </w:r>
      <w:r>
        <w:rPr>
          <w:rFonts w:ascii="Times New Roman;Times;Serif" w:hAnsi="Times New Roman;Times;Serif"/>
          <w:b w:val="false"/>
          <w:i w:val="false"/>
          <w:caps w:val="false"/>
          <w:smallCaps w:val="false"/>
          <w:sz w:val="20"/>
        </w:rPr>
        <w:t>. The Company excludes non-cash compensation, which is a non-cash charge related to equity awards granted by the Company. Although non-cash compensation is a recurring charge to the Company’s operations, management has excluded it because it relies on valuations based on future events, such as the market price of the Company’s common stock, that are difficult to predict and are affected by market factors that are largely not within the control of the Company. Thus, management believes that excluding non-cash compensation facilitates comparisons of the Company’s operational performance in different periods, as well as with similarly determined non-GAAP financial measures of comparable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Unrealized foreign currency translation gains or losses</w:t>
      </w:r>
      <w:r>
        <w:rPr>
          <w:rFonts w:ascii="Times New Roman;Times;Serif" w:hAnsi="Times New Roman;Times;Serif"/>
          <w:b w:val="false"/>
          <w:i w:val="false"/>
          <w:caps w:val="false"/>
          <w:smallCaps w:val="false"/>
          <w:sz w:val="20"/>
        </w:rPr>
        <w:t>. The Company excludes unrealized foreign currency translation gains or losses, as applicable, from non-GAAP adjusted EBITDA primarily because such gains or losses are not reflective of the Company’s ongoing operating results and are not used by management to assess the core profitability of the Company’s business operations. The Company further believes that excluding this item from its non-GAAP results is useful to investors in that it allows for period-over-period comparability.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Write-off of distribution agreement deposit</w:t>
      </w:r>
      <w:r>
        <w:rPr>
          <w:rFonts w:ascii="Times New Roman;Times;Serif" w:hAnsi="Times New Roman;Times;Serif"/>
          <w:b w:val="false"/>
          <w:i w:val="false"/>
          <w:caps w:val="false"/>
          <w:smallCaps w:val="false"/>
          <w:sz w:val="20"/>
        </w:rPr>
        <w:t>. The Company excludes the write-off of a distribution deposit from non-GAAP adjusted EBITDA primarily because such write-off is not reflective of the Company’s ongoing operating results and is not used by management to assess the core profitability of the Company’s business operations. The Company further believes that excluding this item from its non-GAAP results is useful to investors in that it allows for period-over-period comparability.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Divestiture/acquisition-related expenses and income related to transition services agreements</w:t>
      </w:r>
      <w:r>
        <w:rPr>
          <w:rFonts w:ascii="Times New Roman;Times;Serif" w:hAnsi="Times New Roman;Times;Serif"/>
          <w:b w:val="false"/>
          <w:i w:val="false"/>
          <w:caps w:val="false"/>
          <w:smallCaps w:val="false"/>
          <w:sz w:val="20"/>
        </w:rPr>
        <w:t>. The Company excludes expenses and income directly related to the Company’s divestitures and acquisitions and subsequent integration and transition activities from non-GAAP adjusted EBITDA primarily because such expenses and income are not reflective of the Company’s ongoing operating results and are not used by management to assess the core profitability of the Company’s business operations. These expenses and income include legal and accounting fees, as well fees charged by the Company in connection with post-divestiture transition services performed for divested operations. These expenses and income are not considered normal, recurring, cash operating expenses/income necessary to operate the Company’s business. The Company further believes that excluding these expenses and income from its non-GAAP results is useful to investors in that it allows for period-over-period comparability.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Acquisition-related fair value adjustments</w:t>
      </w:r>
      <w:r>
        <w:rPr>
          <w:rFonts w:ascii="Times New Roman;Times;Serif" w:hAnsi="Times New Roman;Times;Serif"/>
          <w:b w:val="false"/>
          <w:i w:val="false"/>
          <w:caps w:val="false"/>
          <w:smallCaps w:val="false"/>
          <w:sz w:val="20"/>
        </w:rPr>
        <w:t>. The Company excludes acquisition-related fair value adjustments from non-GAAP adjusted EBITDA primarily because such adjustments are not reflective of the Company’s ongoing operating results and are not used by management to assess the core profitability of the Company’s business operations. The Company further believes that excluding this item from its non-GAAP results is useful to investors in that it allows for period-over-period comparability.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Separation-related expens</w:t>
      </w:r>
      <w:r>
        <w:rPr>
          <w:rFonts w:ascii="Times New Roman;Times;Serif" w:hAnsi="Times New Roman;Times;Serif"/>
          <w:b w:val="false"/>
          <w:i w:val="false"/>
          <w:caps w:val="false"/>
          <w:smallCaps w:val="false"/>
          <w:sz w:val="20"/>
        </w:rPr>
        <w:t>es. The Company excludes separation-related expenses primarily because such expenses are not reflective of the Company’s ongoing operating results and are not used by management to assess the core profitability of the Company’s business operations. The Company further believes that excluding this item from its non-GAAP results is useful to investors in that it allows for period over-period comparability.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EBITDA is reconciled to net income (loss), the most directly comparable GAAP measure in the press release. The Company also presents in the press release EBITDA as a percentage of total revenue and adjusted EBITDA as a percentage of total revenue and reconciles these two non-GAAP measures in the press release to net income (loss) as a percentage of total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are not in accordance with, or an alternative for, GAAP measures and may be different from non-GAAP financial measures used by other companies. In addition, non-GAAP financial measures are not based on any comprehensive or standard set of accounting rules or principles. Accordingly, the calculation of the Company’s non-GAAP financial measures may differ from the definitions of other companies using the same or similar names, limiting, to some extent, the usefulness of such measures for comparison purposes. Non-GAAP financial measures have limitations in that they do not reflect all of the amounts associated with the Company’s financial results as determined in accordance with GAAP. Non-GAAP financial measures should only be used to evaluate the Company’s financial results in conjunction with the corresponding GAAP measures. Accordingly, the Company qualifies its use of non-GAAP financial information in a statement when non-GAAP financial information is presented.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9.01</w:t>
            </w:r>
          </w:p>
        </w:tc>
        <w:tc>
          <w:tcPr>
            <w:tcW w:w="29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 Exhibits.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7"/>
        <w:gridCol w:w="60"/>
        <w:gridCol w:w="9258"/>
      </w:tblGrid>
      <w:tr>
        <w:trPr/>
        <w:tc>
          <w:tcPr>
            <w:tcW w:w="887"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258" w:type="dxa"/>
            <w:tcBorders/>
            <w:vAlign w:val="center"/>
          </w:tcPr>
          <w:p>
            <w:pPr>
              <w:pStyle w:val="TableContents"/>
              <w:pBdr>
                <w:bottom w:val="single" w:sz="8"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9258" w:type="dxa"/>
            <w:tcBorders/>
            <w:vAlign w:val="center"/>
          </w:tcPr>
          <w:p>
            <w:pPr>
              <w:pStyle w:val="TableContents"/>
              <w:bidi w:val="0"/>
              <w:spacing w:before="0" w:after="0"/>
              <w:ind w:left="0" w:right="0" w:hanging="0"/>
              <w:jc w:val="both"/>
              <w:rPr/>
            </w:pPr>
            <w:hyperlink w:anchor="ex99-1.htm">
              <w:r>
                <w:rPr>
                  <w:rStyle w:val="InternetLink"/>
                  <w:rFonts w:ascii="Times New Roman;Times;Serif" w:hAnsi="Times New Roman;Times;Serif"/>
                  <w:b w:val="false"/>
                  <w:i w:val="false"/>
                  <w:caps w:val="false"/>
                  <w:smallCaps w:val="false"/>
                  <w:sz w:val="20"/>
                </w:rPr>
                <w:t>Press Release of Xtant Medical Holdings, Inc. dated August 11, 2026 entitled “Xtant Medical Reports Second Quarter 2026 Financial Results” (furnished herewith)</w:t>
              </w:r>
            </w:hyperlink>
          </w:p>
        </w:tc>
      </w:tr>
      <w:tr>
        <w:trPr/>
        <w:tc>
          <w:tcPr>
            <w:tcW w:w="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92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319" w:type="dxa"/>
        <w:jc w:val="left"/>
        <w:tblInd w:w="0" w:type="dxa"/>
        <w:tblLayout w:type="fixed"/>
        <w:tblCellMar>
          <w:top w:w="0" w:type="dxa"/>
          <w:left w:w="0" w:type="dxa"/>
          <w:bottom w:w="0" w:type="dxa"/>
          <w:right w:w="0" w:type="dxa"/>
        </w:tblCellMar>
      </w:tblPr>
      <w:tblGrid>
        <w:gridCol w:w="75"/>
        <w:gridCol w:w="500"/>
        <w:gridCol w:w="274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44"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Scott C. Neils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27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C. Neils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274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Chief Financial Officer </w:t>
            </w:r>
          </w:p>
        </w:tc>
      </w:tr>
    </w:tbl>
    <w:p>
      <w:pPr>
        <w:pStyle w:val="TextBody"/>
        <w:bidi w:val="0"/>
        <w:spacing w:before="0" w:after="0"/>
        <w:ind w:left="459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Reports Second Quarter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Launched Trivium™ Shaped, an extension of its Trivium line of premium, next-generation demineralized bone matrix allograft for bone grafting procedures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host investor conference call and webcast today, August 11</w:t>
      </w:r>
      <w:r>
        <w:rPr>
          <w:rFonts w:ascii="Times New Roman;Times;Serif" w:hAnsi="Times New Roman;Times;Serif"/>
          <w:b w:val="false"/>
          <w:i/>
          <w:caps w:val="false"/>
          <w:smallCaps w:val="false"/>
          <w:position w:val="7"/>
          <w:sz w:val="16"/>
          <w:sz w:val="20"/>
        </w:rPr>
        <w:t>th</w:t>
      </w:r>
      <w:r>
        <w:rPr>
          <w:rFonts w:ascii="Times New Roman;Times;Serif" w:hAnsi="Times New Roman;Times;Serif"/>
          <w:b w:val="false"/>
          <w:i/>
          <w:caps w:val="false"/>
          <w:smallCaps w:val="false"/>
          <w:sz w:val="20"/>
        </w:rPr>
        <w:t>, at 8:30am 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BELGRADE, Mont., August 11, 2026 — Xtant Medical Holdings, Inc. </w:t>
      </w:r>
      <w:r>
        <w:rPr>
          <w:rFonts w:ascii="Times New Roman;Times;Serif" w:hAnsi="Times New Roman;Times;Serif"/>
          <w:b w:val="false"/>
          <w:i w:val="false"/>
          <w:caps w:val="false"/>
          <w:smallCaps w:val="false"/>
          <w:sz w:val="20"/>
        </w:rPr>
        <w:t>(NYSE American: XTNT), a medical technology company focused on surgical solutions for spinal and other orthopedic conditions, today reported financial and operating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Generated total revenue of $23.0 million for the second quarter of 2026, as compared to $35.4 million for the second quarter of 2025. The decline in revenue relates primarily to the sale of the non-core Coflex/CoFix assets and international hardware business to Companion Spine in December 2025 as well as license revenue that ceased at the end of 2025 due to changes in the reimbursement environment.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and Recent Business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Announced an exclusive U.S. distribution agreement with privately held Dilon Technologies whereby Xtant has acquired the exclusive U.S. commercial rights to Dilon’s HEMOBLAST® Bellows product for high-performance hemostasis following certain surgical procedures. As part of the transaction, Xtant has hired Dilon’s approximately 20-person U.S. sales team, who will support Xtant’s entire biologics portfolio.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Launched Trivium™ Shaped, an extension of its Trivium line of premium, next-generation demineralized bone matrix allograft for bone grafting procedures. Trivium™ Shaped is available in pre-shaped configurations designed to support handling, preparation, and placement across a range of surgical applications.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 President and CEO of Xtant Medical, stated, “The second quarter reflected continued execution of our strategy to broaden our core biologics portfolio while expanding access to more hospitals and surgeons. The Dilon distribution agreement added a complementary hemostatic technology and significant commercial resources, which, together with the introduction of Trivium Shaped, strengthen our platform and position us for sustained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second quarter of 2026 was $23.0 million, compared to $35.4 million for the same period in 2025. The year-over-year decline is primarily due to the sale of the Company’s non-core Coflex/CoFix assets and international hardware business to Companion Spine in December of 2025, as well as license revenue from Xtant’s Q-code and amniotic membrane agreements in the second quarter of 2025 that did not repeat in the second quarter of 2026 due to changes in the reimbursement environment.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second quarter of 2026 was 57.9%, compared to 68.6% for the same period in 2025. The decrease was primarily due to the cessation of Q-code high-margin license revenue from the amniotic membrane agreements that ceased at the end of 2025, together with reduced production efficiencies and increased charges for excess and obsolete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second quarter of 2026 totaled $22.5 million, compared to $19.7 million for the second quarter of 2025. The increase was primarily due to a $5.0 million exclusivity fee paid to Dilon Technologies in connection with the Company’s distribution agreement, partially offset by lower general and administrative and sales and marketing expenses following the Company’s December 2025 sale of its Coflex/CoFix assets and international hardware business to Companion Spine.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2026 net loss was $9.4 million, compared to net income of $3.6 million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EBITDA loss for the second quarter of 2026 totaled $2.7 million, compared to positive adjusted EBITDA of $6.9 million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income/loss from operations before depreciation, amortization and interest income/expense and provision for income tax/benefit, and as further adjusted to add back in or exclude, as applicable, non-cash compensation, the write-off of the distribution agreement deposit, disposition/acquisition-related income and expenses, acquisition-related fair value adjustments, unrealized foreign currency translation gain or loss, and separation-related expenses. A calculation and reconciliation of adjusted EBITDA to net income (loss) can be found in the attached financial tables.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$9.9 million of cash and cash equivalents, total indebtedness of $23.0 million, and availability under its revolving credit facility of $0.7 million, compared to $17.3 million of cash and cash equivalents, total indebtedness of $25.4 million, and availability under its revolving credit facility of $3.8 million as of December 31, 2025. The decrease in total indebtedness reflects a $3.8 million reduction in term loan principal, including $2.8 million from proceeds received from Companion Spine in the first quarter of 2026, partially offset by net borrowings of $1.1 million under the Company’s revolving credit facility during the first half of 2026, used primarily to fund the $5.0 million exclusivity fee paid to Dilon Technologies and for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its current cash and availability under its credit facility are sufficient to fund operations, as currently planned, for at least the next 12 months.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Financial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Reflecting lower-than-expected biologics revenue in the second quarter, as well as ongoing headwinds related to its amnio product line directly tied to the advanced wound care market, Xtant is today modestly reducing its full-year guidance to a range of $99 million to $103 million, from $101 million to $105 million previously.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Xtant Medical will host a webcast and conference call to discuss its second quarter 2026 financial and operating results at 8:30 am ET today, August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access the webcast: </w:t>
      </w:r>
      <w:r>
        <w:rPr>
          <w:rFonts w:ascii="Times New Roman;Times;Serif" w:hAnsi="Times New Roman;Times;Serif"/>
          <w:b w:val="false"/>
          <w:i w:val="false"/>
          <w:caps w:val="false"/>
          <w:smallCaps w:val="false"/>
          <w:sz w:val="20"/>
          <w:u w:val="single"/>
        </w:rPr>
        <w:t>https://www.webcaster5.com/Webcast/Page/3039/54128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access the conference call, dial 888-506-0062 (US) or 973-528-0011 (International) and reference Participant Access Code 844793.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be available on the Investor section of the Company’s website at www.xtantmedical.com for a period of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Xtant Medical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Xtant Medical’s mission of honoring the gift of donation so that our patients can live as full and complete a life as possible, is the driving force behind our company. Xtant Medical Holdings, Inc. (www.xtantmedical.com) is a medical technology company focused on the design, development, and commercialization of a comprehensive portfolio of orthobiologics serving the chronic and surgical wound care and sports medicine markets, as well as spinal implant systems. Xtant people are dedicated and talented, operating with the highest integrity to serve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symbols ™ and ® denote trademarks and registered trademarks of Xtant Medical Holdings, Inc. or its affiliates, registered as indicated in the United States, and in other countries. All other trademarks and trade names referred to in this release are the property of their respective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consolidated financial statements prepared in accordance with U.S. generally accepted accounting principles (GAAP), the Company uses certain non-GAAP financial measures in this release, including adjusted EBITDA, adjusted EBITDA as a percentage of total revenue. Reconciliations of the non-GAAP financial measures used in this release to the most comparable GAAP measures for the respective periods can be found in this release or tables later in this release. The Company’s management believes that the presentation of these measures provides useful information to investors. These measures may assist investors in evaluating the Company’s operations, period over period. Management uses the non-GAAP measures in this release internally for evaluation of the performance of the business, including the allocation of resources. Investors should consider non-GAAP financial measures only as a supplement to, not as a substitute for or as superior to, measures of financial performance prepared in accordance with GAAP.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statements that are predictive in nature, that depend upon or refer to future events or conditions, or that include words such as “intends,” ‘‘expects,’’ ‘‘anticipates,’’ ‘‘plans,’’ ‘‘believes,’’ “continue,” “future,” ‘‘will,’’ “potential,” “guidance,” similar expressions or the negative thereof, and the use of future dates. Forward-looking statements in this release include the Company’s full year 2026 revenue guidance. The Company cautions that its forward-looking statements by their nature involve risks and uncertainties, and actual results may differ materially depending on a variety of important factors, including, among others: the Company’s future operating results, financial performance and need for additional capital; the Company’s ability to achieve sustained long-term growth; the success of the distribution arrangement and the HEMOBLAST® Bellows product, including future U.S. sales and the additional U.S. sales personnel and their impact on the Company’s business and operating results; the possibility that the distribution agreement may be terminated by either party and the effect of any such termination on the Company and its ability to recapture the $5.0 million exclusivity fee it paid Dilon; the effect of the distribution agreement on the Company’s business, including its relationships with other distributors, independent sales representatives and personnel, and its business and operating results; the ability of Dilon to continue to manufacture and supply the Company the HEMOBLAST® Bellows product and the effect of any such non-performance on the Company and its business and operating results; the success of the Company’s expanded field sales force to improve the Company’s reach and leverage its contract portfolio and independent agent network; the Company’s ability to become operationally self-sustaining and less reliant on third-party manufacturers and suppliers; risks associated with acquisitions and dispositions; its ability to implement successfully its future growth initiatives and risks associated therewith; possible future impairment charges to long-lived assets and goodwill and write-downs of excess and obsolete inventory; its ability to continue to innovate, develop and introduce new products and the success of those products; its ability to remain competitive; its ability to engage and retain new and existing independent distributors and agents and qualified sales and other personnel and its dependence on key independent agents for a significant portion of its revenue; the effect of inflation, elevated interest rates and other recessionary factors and supply chain disruptions; the effect of product sales mix changes on its financial results; the effect of government and third-party coverage and reimbursement for its products; its ability to obtain and maintain regulatory approvals and comply with government regulations; the effect of product liability claims and other litigation to which the Company may be subject; the effect of product recalls and defects; its ability to license intellectual property on commercially reasonable terms and to maintain any such licenses and its ability to obtain and protect its intellectual property and proprietary rights and operate without infringing the rights of others; its ability to service its debt, comply with debt covenants, and access additional indebtedness or financing on favorable terms or at all, if and when needed; and other factors described in its Annual Report on Form 10-K for the year ended December 31, 2025 filed with the Securities and Exchange Commission (SEC) on March 30, 2026 and subsequent SEC reports, including its Quarterly Report on Form 10-Q for the quarterly period ended June 30, 2026 to be filed with the SEC on or about August 11, 2026. Investors are encouraged to read the Company’s filings with the SEC, available at www.sec.gov, for a discussion of these and other risks and uncertainties. The Company undertakes no obligation to release publicly any revisions to any forward-looking statements to reflect events or circumstances after the date hereof or to reflect the occurrence of unanticipated events, except as required by law. All forward-looking statements attributable to the Company or persons acting on its behalf are expressly qualified in their entirety by this cautionary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Gardner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kgardner@lifesciadvisors.com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Tables Follow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number of shares and par value)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0"/>
        <w:gridCol w:w="60"/>
        <w:gridCol w:w="149"/>
        <w:gridCol w:w="1037"/>
        <w:gridCol w:w="95"/>
        <w:gridCol w:w="60"/>
        <w:gridCol w:w="165"/>
        <w:gridCol w:w="1036"/>
        <w:gridCol w:w="113"/>
      </w:tblGrid>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3" w:type="dxa"/>
            <w:tcBorders/>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9,870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17,053</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275</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Trade accounts receivable, net of allowance for credit losses and doubtful accounts of $2,234 and $2,165, respectively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19,416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17,803</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33,287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30,263</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Note receivable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10,462</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1,857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2,389</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64,777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78,245</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6,202</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Right-of-use asset,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3,192</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6,074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6,074</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299</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133</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79,667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pPr>
            <w:r>
              <w:rPr/>
              <w:t>94,145</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LIABILITIES &amp; 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6,154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3,844</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7,481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10,626</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3,500</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Current portion of lease liability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622</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Current portion of finance lease obligations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35</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Line of credit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11,985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10,857</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29,963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29,484</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Lease liability, less current portion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2,665</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Finance lease obligation, less current portion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12</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Long-term debt, plus premium and less issuance costs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11,026</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39,652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43,192</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Preferred stock, $0.000001 par value; 10,000,000 shares authorized; no shares issued and outstanding</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Common stock, $0.000001 par value; 300,000,000 shares authorized; 140,262,960 shares issued and outstanding as of June 30, 2026 and 140,039,557 shares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307,004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305,439</w:t>
            </w:r>
          </w:p>
        </w:tc>
        <w:tc>
          <w:tcPr>
            <w:tcW w:w="113"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(266,988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(254,486</w:t>
            </w:r>
          </w:p>
        </w:tc>
        <w:tc>
          <w:tcPr>
            <w:tcW w:w="113"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40,015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50,953</w:t>
            </w:r>
          </w:p>
        </w:tc>
        <w:tc>
          <w:tcPr>
            <w:tcW w:w="113"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Total Liabilities &amp; 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pPr>
            <w:r>
              <w:rPr/>
              <w:t>79,667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94,145</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in thousands, except number of shares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0"/>
        <w:gridCol w:w="60"/>
        <w:gridCol w:w="140"/>
        <w:gridCol w:w="1220"/>
        <w:gridCol w:w="95"/>
        <w:gridCol w:w="60"/>
        <w:gridCol w:w="140"/>
        <w:gridCol w:w="1220"/>
        <w:gridCol w:w="95"/>
        <w:gridCol w:w="60"/>
        <w:gridCol w:w="140"/>
        <w:gridCol w:w="1220"/>
        <w:gridCol w:w="95"/>
        <w:gridCol w:w="60"/>
        <w:gridCol w:w="140"/>
        <w:gridCol w:w="1220"/>
        <w:gridCol w:w="110"/>
      </w:tblGrid>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Product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23,031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30,436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43,915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59,720</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License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8,595</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68,315</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11,127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18,614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23,788</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13,330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24,284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25,301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44,527</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15,011</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22,820</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1,009</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Write-off of distribution agreement deposit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22,499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19,660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37,393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38,840</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(Loss) 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(12,092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5,687</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(2,049</w:t>
            </w:r>
          </w:p>
        </w:tc>
        <w:tc>
          <w:tcPr>
            <w:tcW w:w="110" w:type="dxa"/>
            <w:tcBorders/>
            <w:shd w:fill="CCEEFF" w:val="clear"/>
            <w:vAlign w:val="center"/>
          </w:tcPr>
          <w:p>
            <w:pPr>
              <w:pStyle w:val="TableContents"/>
              <w:bidi w:val="0"/>
              <w:spacing w:before="0" w:after="283"/>
              <w:jc w:val="left"/>
              <w:rPr/>
            </w:pPr>
            <w:r>
              <w:rPr/>
              <w:t>)</w:t>
            </w:r>
          </w:p>
        </w:tc>
      </w:tr>
      <w:tr>
        <w:trPr/>
        <w:tc>
          <w:tcPr>
            <w:tcW w:w="413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Unrealized foreign currency translation gain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p>
        </w:tc>
      </w:tr>
      <w:tr>
        <w:trPr/>
        <w:tc>
          <w:tcPr>
            <w:tcW w:w="4130" w:type="dxa"/>
            <w:tcBorders/>
            <w:shd w:fill="CCEEFF" w:val="clear"/>
            <w:vAlign w:val="center"/>
          </w:tcPr>
          <w:p>
            <w:pPr>
              <w:pStyle w:val="TableContents"/>
              <w:bidi w:val="0"/>
              <w:spacing w:before="0" w:after="283"/>
              <w:jc w:val="left"/>
              <w:rPr/>
            </w:pPr>
            <w:r>
              <w:rPr/>
              <w:t>Total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(1,849</w:t>
            </w:r>
          </w:p>
        </w:tc>
        <w:tc>
          <w:tcPr>
            <w:tcW w:w="110" w:type="dxa"/>
            <w:tcBorders/>
            <w:shd w:fill="CCEEFF" w:val="clear"/>
            <w:vAlign w:val="center"/>
          </w:tcPr>
          <w:p>
            <w:pPr>
              <w:pStyle w:val="TableContents"/>
              <w:bidi w:val="0"/>
              <w:spacing w:before="0" w:after="283"/>
              <w:jc w:val="left"/>
              <w:rPr/>
            </w:pPr>
            <w:r>
              <w:rPr/>
              <w:t>)</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Net (Loss) Income from Operations Before 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(12,402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3,838</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Provision for Income Taxes Current and Deferred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110" w:type="dxa"/>
            <w:tcBorders/>
            <w:shd w:fill="CCEEFF" w:val="clear"/>
            <w:vAlign w:val="center"/>
          </w:tcPr>
          <w:p>
            <w:pPr>
              <w:pStyle w:val="TableContents"/>
              <w:bidi w:val="0"/>
              <w:spacing w:before="0" w:after="283"/>
              <w:jc w:val="left"/>
              <w:rPr/>
            </w:pPr>
            <w:r>
              <w:rPr/>
              <w:t>)</w:t>
            </w:r>
          </w:p>
        </w:tc>
      </w:tr>
      <w:tr>
        <w:trPr/>
        <w:tc>
          <w:tcPr>
            <w:tcW w:w="413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(9,413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(12,502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3,608</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Net (Loss)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0.03</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Dilutive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Shares used in the computation: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140,258,667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139,310,589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140,159,255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139,190,378</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Dilutive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140,258,667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148,574,242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140,159,255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148,339,423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3,608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Adjustments to reconcile net income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2,243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Loss (gain) on sale of fixed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Non-cash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Provision for reserve on 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Provision for excess and obsolete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Write-off of distribution agreement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(6,873</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(1,349</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Prepaid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(880</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2,763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(9,422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2,554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(1,557</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Proceeds from sale of fixed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Distribution agreement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divestitures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(1,460</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Borrowings on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51,812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Repayments on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(26,767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(51,925</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Payments on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Payments on financing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Payment of taxes from withholding of common stock on settlement of restricted stock units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Effect of exchange rate changes on 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Net change in 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816</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 and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6,221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and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10,217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7,037</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Reconciliation of cash and cash equivalents and restricted cash reported in the condensed consolidated balance sheets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6,923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114</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Total cash and restricted cash reported in condensed consolidated balance sheets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10,217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7,037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CALCULATION OF NON-GAAP CONSOLIDATED EBITDA AND ADJUSTED EBITDA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740" w:type="dxa"/>
        <w:jc w:val="left"/>
        <w:tblInd w:w="0" w:type="dxa"/>
        <w:tblLayout w:type="fixed"/>
        <w:tblCellMar>
          <w:top w:w="0" w:type="dxa"/>
          <w:left w:w="0" w:type="dxa"/>
          <w:bottom w:w="0" w:type="dxa"/>
          <w:right w:w="0" w:type="dxa"/>
        </w:tblCellMar>
      </w:tblPr>
      <w:tblGrid>
        <w:gridCol w:w="5405"/>
        <w:gridCol w:w="60"/>
        <w:gridCol w:w="140"/>
        <w:gridCol w:w="635"/>
        <w:gridCol w:w="290"/>
        <w:gridCol w:w="60"/>
        <w:gridCol w:w="140"/>
        <w:gridCol w:w="560"/>
        <w:gridCol w:w="215"/>
        <w:gridCol w:w="60"/>
        <w:gridCol w:w="140"/>
        <w:gridCol w:w="755"/>
        <w:gridCol w:w="290"/>
        <w:gridCol w:w="60"/>
        <w:gridCol w:w="140"/>
        <w:gridCol w:w="560"/>
        <w:gridCol w:w="230"/>
      </w:tblGrid>
      <w:tr>
        <w:trPr/>
        <w:tc>
          <w:tcPr>
            <w:tcW w:w="54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30"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(9,413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3,550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(12,502</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3,608</w:t>
            </w:r>
          </w:p>
        </w:tc>
        <w:tc>
          <w:tcPr>
            <w:tcW w:w="23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508</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1,169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1,042</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2,243</w:t>
            </w:r>
          </w:p>
        </w:tc>
        <w:tc>
          <w:tcPr>
            <w:tcW w:w="23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541</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1,004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921</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2,049</w:t>
            </w:r>
          </w:p>
        </w:tc>
        <w:tc>
          <w:tcPr>
            <w:tcW w:w="23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23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Non-GAAP EBITDA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(8,291</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5,978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(10,439</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8,130</w:t>
            </w:r>
          </w:p>
        </w:tc>
        <w:tc>
          <w:tcPr>
            <w:tcW w:w="23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Net (Loss) Income/Total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(40.9</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5.3</w:t>
            </w:r>
          </w:p>
        </w:tc>
        <w:tc>
          <w:tcPr>
            <w:tcW w:w="23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Non-GAAP EBITDA/Total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(36.0</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(23.8</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11.9</w:t>
            </w:r>
          </w:p>
        </w:tc>
        <w:tc>
          <w:tcPr>
            <w:tcW w:w="23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NON-GAAP ADJUSTED EBITDA CALCULATION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Non-cash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875</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1,621</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1,524</w:t>
            </w:r>
          </w:p>
        </w:tc>
        <w:tc>
          <w:tcPr>
            <w:tcW w:w="23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Write-off of distribution agreement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5,000</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5,000</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Divestiture/acquisition-related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(518</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295</w:t>
            </w:r>
          </w:p>
        </w:tc>
        <w:tc>
          <w:tcPr>
            <w:tcW w:w="23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Acquisition-related fair value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44</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95</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171</w:t>
            </w:r>
          </w:p>
        </w:tc>
        <w:tc>
          <w:tcPr>
            <w:tcW w:w="23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Unrealized foreign currency translation gain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(202</w:t>
            </w:r>
          </w:p>
        </w:tc>
        <w:tc>
          <w:tcPr>
            <w:tcW w:w="23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Separation related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23</w:t>
            </w:r>
          </w:p>
        </w:tc>
        <w:tc>
          <w:tcPr>
            <w:tcW w:w="23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Non-GAAP Adjusted EBITDA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(2,678</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6,904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(4,263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9,941</w:t>
            </w:r>
          </w:p>
        </w:tc>
        <w:tc>
          <w:tcPr>
            <w:tcW w:w="23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Non-GAAP Adjusted EBITDA/Total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(11.6</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4464</Words>
  <Characters>25685</Characters>
  <CharactersWithSpaces>30947</CharactersWithSpaces>
  <Paragraphs>2127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