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Schallenberger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51"/>
        <w:gridCol w:w="440"/>
        <w:gridCol w:w="659"/>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450,000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1,113,157</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7,070</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0.31</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1,106,087</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will vest with respect to 112,500 shares on each of August 15, 2027, August 15, 2028, August 15, 2029, and August 15, 2030 pursuant to a deferred stock unit (DSU) award granted under the Xtant Medical Holdings, Inc. Amended and Restated 2023 Equity Incentive Plan, conditioned upon the Reporting Person remaining an employee of Xtant through the applicable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944,758 shares issuable upon vesting and settlement of restricted stock unit (RSU) awards or DSU awards granted under the Xtant Medical Holdings, Inc. Amended and Restated 2023 Equity Incentive Plan and 22,250 shares issuable upon vesting and settlement of RSU awards granted under the Xtant Medical Holdings, Inc. Amended and Restated 2018 Equity Incentive Plan, in each case conditioned upon the Reporting Person remaining an employee of Xtant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pay tax withholding obligations upon vesting and settlement of restricted stock unit awards.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0742"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4246</Characters>
  <CharactersWithSpaces>4952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