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BAKEWELL JOHN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51"/>
        <w:gridCol w:w="444"/>
        <w:gridCol w:w="607"/>
        <w:gridCol w:w="1309"/>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215,517</w:t>
            </w:r>
            <w:r>
              <w:rPr>
                <w:rFonts w:ascii="Times;serif" w:hAnsi="Times;serif"/>
                <w:color w:val="008000"/>
                <w:position w:val="7"/>
                <w:sz w:val="16"/>
                <w:sz w:val="20"/>
                <w:shd w:fill="FFFFFF" w:val="clear"/>
              </w:rPr>
              <w:t>(1)</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1,129,633</w:t>
            </w:r>
            <w:r>
              <w:rPr>
                <w:rFonts w:ascii="Times;serif" w:hAnsi="Times;serif"/>
                <w:color w:val="008000"/>
                <w:position w:val="7"/>
                <w:sz w:val="16"/>
                <w:sz w:val="20"/>
                <w:shd w:fill="FFFFFF" w:val="clear"/>
              </w:rPr>
              <w:t>(2)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subject to a deferred stock unit (DSU) award granted under the Xtant Medical Holdings, Inc. Amended and Restated 2023 Equity Incentive Plan and will vest on August 15, 2027, conditioned upon the Reporting Person remaining a director of Xtant through the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681,087 shares issuable upon settlement of DSUs granted under the Xtant Medial Holdings, Inc. Amended and Restated 2023 Equity Incentive Plan, conditioned upon the Reporting Person remaining a director of Xtant through the respective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553"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3753</Characters>
  <CharactersWithSpaces>4379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